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F52CE" w14:textId="77777777" w:rsidR="00C45836" w:rsidRDefault="00017F82">
      <w:pPr>
        <w:ind w:left="3900" w:right="3860"/>
        <w:rPr>
          <w:sz w:val="2"/>
        </w:rPr>
      </w:pPr>
      <w:r>
        <w:pict w14:anchorId="18EFCD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76.5pt">
            <v:imagedata r:id="rId6" o:title=""/>
          </v:shape>
        </w:pict>
      </w:r>
    </w:p>
    <w:p w14:paraId="42E856FE" w14:textId="77777777" w:rsidR="00C45836" w:rsidRDefault="00C45836">
      <w:pPr>
        <w:spacing w:after="160" w:line="240" w:lineRule="exact"/>
      </w:pPr>
    </w:p>
    <w:tbl>
      <w:tblPr>
        <w:tblW w:w="0" w:type="auto"/>
        <w:tblLayout w:type="fixed"/>
        <w:tblLook w:val="04A0" w:firstRow="1" w:lastRow="0" w:firstColumn="1" w:lastColumn="0" w:noHBand="0" w:noVBand="1"/>
      </w:tblPr>
      <w:tblGrid>
        <w:gridCol w:w="9620"/>
      </w:tblGrid>
      <w:tr w:rsidR="00C45836" w:rsidRPr="00017F82" w14:paraId="4494B973" w14:textId="77777777">
        <w:tc>
          <w:tcPr>
            <w:tcW w:w="9620" w:type="dxa"/>
            <w:shd w:val="clear" w:color="666553" w:fill="666553"/>
            <w:tcMar>
              <w:top w:w="30" w:type="dxa"/>
              <w:left w:w="0" w:type="dxa"/>
              <w:bottom w:w="0" w:type="dxa"/>
              <w:right w:w="0" w:type="dxa"/>
            </w:tcMar>
            <w:vAlign w:val="center"/>
          </w:tcPr>
          <w:p w14:paraId="665E23EA" w14:textId="77777777" w:rsidR="00C45836" w:rsidRDefault="00FA1439">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189B4AC5" w14:textId="77777777" w:rsidR="00C45836" w:rsidRPr="00FA1439" w:rsidRDefault="00FA1439">
      <w:pPr>
        <w:spacing w:line="240" w:lineRule="exact"/>
        <w:rPr>
          <w:lang w:val="fr-FR"/>
        </w:rPr>
      </w:pPr>
      <w:r w:rsidRPr="00FA1439">
        <w:rPr>
          <w:lang w:val="fr-FR"/>
        </w:rPr>
        <w:t xml:space="preserve"> </w:t>
      </w:r>
    </w:p>
    <w:p w14:paraId="189020D0" w14:textId="77777777" w:rsidR="00C45836" w:rsidRPr="00FA1439" w:rsidRDefault="00C45836">
      <w:pPr>
        <w:spacing w:after="220" w:line="240" w:lineRule="exact"/>
        <w:rPr>
          <w:lang w:val="fr-FR"/>
        </w:rPr>
      </w:pPr>
    </w:p>
    <w:p w14:paraId="6C479CB5" w14:textId="77777777" w:rsidR="00C45836" w:rsidRDefault="00FA1439">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1253C118" w14:textId="77777777" w:rsidR="00C45836" w:rsidRPr="00FA1439" w:rsidRDefault="00C45836">
      <w:pPr>
        <w:spacing w:line="240" w:lineRule="exact"/>
        <w:rPr>
          <w:lang w:val="fr-FR"/>
        </w:rPr>
      </w:pPr>
    </w:p>
    <w:p w14:paraId="32237A94" w14:textId="77777777" w:rsidR="00C45836" w:rsidRPr="00FA1439" w:rsidRDefault="00C45836">
      <w:pPr>
        <w:spacing w:line="240" w:lineRule="exact"/>
        <w:rPr>
          <w:lang w:val="fr-FR"/>
        </w:rPr>
      </w:pPr>
    </w:p>
    <w:p w14:paraId="162256D6" w14:textId="77777777" w:rsidR="00C45836" w:rsidRPr="00FA1439" w:rsidRDefault="00C45836">
      <w:pPr>
        <w:spacing w:line="240" w:lineRule="exact"/>
        <w:rPr>
          <w:lang w:val="fr-FR"/>
        </w:rPr>
      </w:pPr>
    </w:p>
    <w:p w14:paraId="3E6A05C4" w14:textId="77777777" w:rsidR="00C45836" w:rsidRPr="00FA1439" w:rsidRDefault="00C45836">
      <w:pPr>
        <w:spacing w:line="240" w:lineRule="exact"/>
        <w:rPr>
          <w:lang w:val="fr-FR"/>
        </w:rPr>
      </w:pPr>
    </w:p>
    <w:p w14:paraId="046C089F" w14:textId="77777777" w:rsidR="00C45836" w:rsidRPr="00FA1439" w:rsidRDefault="00C45836">
      <w:pPr>
        <w:spacing w:line="240" w:lineRule="exact"/>
        <w:rPr>
          <w:lang w:val="fr-FR"/>
        </w:rPr>
      </w:pPr>
    </w:p>
    <w:p w14:paraId="3F937C20" w14:textId="77777777" w:rsidR="00C45836" w:rsidRPr="00FA1439" w:rsidRDefault="00C45836">
      <w:pPr>
        <w:spacing w:line="240" w:lineRule="exact"/>
        <w:rPr>
          <w:lang w:val="fr-FR"/>
        </w:rPr>
      </w:pPr>
    </w:p>
    <w:p w14:paraId="180DB297" w14:textId="77777777" w:rsidR="00C45836" w:rsidRPr="00FA1439" w:rsidRDefault="00C45836">
      <w:pPr>
        <w:spacing w:line="240" w:lineRule="exact"/>
        <w:rPr>
          <w:lang w:val="fr-FR"/>
        </w:rPr>
      </w:pPr>
    </w:p>
    <w:p w14:paraId="608911F6" w14:textId="77777777" w:rsidR="00C45836" w:rsidRPr="00FA1439" w:rsidRDefault="00C45836">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C45836" w:rsidRPr="00017F82" w14:paraId="0BA45DF8"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582F2AC" w14:textId="77777777" w:rsidR="00C45836" w:rsidRDefault="00FA1439">
            <w:pPr>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Acquisition d’un diffractomètre de rayons X </w:t>
            </w:r>
          </w:p>
        </w:tc>
      </w:tr>
    </w:tbl>
    <w:p w14:paraId="3BB5B063" w14:textId="77777777" w:rsidR="00C45836" w:rsidRPr="00FA1439" w:rsidRDefault="00FA1439">
      <w:pPr>
        <w:spacing w:line="240" w:lineRule="exact"/>
        <w:rPr>
          <w:lang w:val="fr-FR"/>
        </w:rPr>
      </w:pPr>
      <w:r w:rsidRPr="00FA1439">
        <w:rPr>
          <w:lang w:val="fr-FR"/>
        </w:rPr>
        <w:t xml:space="preserve"> </w:t>
      </w:r>
    </w:p>
    <w:p w14:paraId="443C8FC5" w14:textId="77777777" w:rsidR="00C45836" w:rsidRPr="00FA1439" w:rsidRDefault="00C45836">
      <w:pPr>
        <w:spacing w:line="240" w:lineRule="exact"/>
        <w:rPr>
          <w:lang w:val="fr-FR"/>
        </w:rPr>
      </w:pPr>
    </w:p>
    <w:p w14:paraId="62644F2F" w14:textId="77777777" w:rsidR="00C45836" w:rsidRPr="00FA1439" w:rsidRDefault="00C45836">
      <w:pPr>
        <w:spacing w:line="240" w:lineRule="exact"/>
        <w:rPr>
          <w:lang w:val="fr-FR"/>
        </w:rPr>
      </w:pPr>
    </w:p>
    <w:p w14:paraId="3D3E9704" w14:textId="77777777" w:rsidR="00C45836" w:rsidRPr="00FA1439" w:rsidRDefault="00C45836">
      <w:pPr>
        <w:spacing w:line="240" w:lineRule="exact"/>
        <w:rPr>
          <w:lang w:val="fr-FR"/>
        </w:rPr>
      </w:pPr>
    </w:p>
    <w:p w14:paraId="25343F3C" w14:textId="77777777" w:rsidR="00C45836" w:rsidRPr="00FA1439" w:rsidRDefault="00C45836">
      <w:pPr>
        <w:spacing w:line="240" w:lineRule="exact"/>
        <w:rPr>
          <w:lang w:val="fr-FR"/>
        </w:rPr>
      </w:pPr>
    </w:p>
    <w:p w14:paraId="606A9EE9" w14:textId="77777777" w:rsidR="00C45836" w:rsidRPr="00FA1439" w:rsidRDefault="00C45836">
      <w:pPr>
        <w:spacing w:line="240" w:lineRule="exact"/>
        <w:rPr>
          <w:lang w:val="fr-FR"/>
        </w:rPr>
      </w:pPr>
    </w:p>
    <w:p w14:paraId="755F40BC" w14:textId="77777777" w:rsidR="00C45836" w:rsidRPr="00FA1439" w:rsidRDefault="00C45836">
      <w:pPr>
        <w:spacing w:line="240" w:lineRule="exact"/>
        <w:rPr>
          <w:lang w:val="fr-FR"/>
        </w:rPr>
      </w:pPr>
    </w:p>
    <w:p w14:paraId="6243624F" w14:textId="77777777" w:rsidR="00C45836" w:rsidRPr="00FA1439" w:rsidRDefault="00C45836">
      <w:pPr>
        <w:spacing w:line="240" w:lineRule="exact"/>
        <w:rPr>
          <w:lang w:val="fr-FR"/>
        </w:rPr>
      </w:pPr>
    </w:p>
    <w:p w14:paraId="4E1F4DD6" w14:textId="77777777" w:rsidR="00C45836" w:rsidRPr="00FA1439" w:rsidRDefault="00C45836">
      <w:pPr>
        <w:spacing w:after="220" w:line="240" w:lineRule="exact"/>
        <w:rPr>
          <w:lang w:val="fr-FR"/>
        </w:rPr>
      </w:pPr>
    </w:p>
    <w:p w14:paraId="21F9DC1E" w14:textId="77777777" w:rsidR="00C45836" w:rsidRDefault="00FA143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École Nationale Supérieure d’ingénieurs de Caen </w:t>
      </w:r>
    </w:p>
    <w:p w14:paraId="097E286B" w14:textId="77777777" w:rsidR="00C45836" w:rsidRDefault="00FA143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6 Boulevard Maréchal </w:t>
      </w:r>
      <w:proofErr w:type="gramStart"/>
      <w:r>
        <w:rPr>
          <w:rFonts w:ascii="Trebuchet MS" w:eastAsia="Trebuchet MS" w:hAnsi="Trebuchet MS" w:cs="Trebuchet MS"/>
          <w:color w:val="000000"/>
          <w:lang w:val="fr-FR"/>
        </w:rPr>
        <w:t>Juin</w:t>
      </w:r>
      <w:proofErr w:type="gramEnd"/>
    </w:p>
    <w:p w14:paraId="47E14938" w14:textId="77777777" w:rsidR="00C45836" w:rsidRDefault="00FA143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45053</w:t>
      </w:r>
    </w:p>
    <w:p w14:paraId="28C2B399" w14:textId="77777777" w:rsidR="00C45836" w:rsidRDefault="00FA143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14050 CAEN CEDEX 4</w:t>
      </w:r>
    </w:p>
    <w:p w14:paraId="5070CEA5" w14:textId="77777777" w:rsidR="00C45836" w:rsidRDefault="00C45836">
      <w:pPr>
        <w:spacing w:line="279" w:lineRule="exact"/>
        <w:jc w:val="center"/>
        <w:rPr>
          <w:rFonts w:ascii="Trebuchet MS" w:eastAsia="Trebuchet MS" w:hAnsi="Trebuchet MS" w:cs="Trebuchet MS"/>
          <w:color w:val="000000"/>
          <w:lang w:val="fr-FR"/>
        </w:rPr>
        <w:sectPr w:rsidR="00C45836">
          <w:pgSz w:w="11900" w:h="16840"/>
          <w:pgMar w:top="1400" w:right="1140" w:bottom="1440" w:left="1140" w:header="1400" w:footer="1440" w:gutter="0"/>
          <w:cols w:space="708"/>
        </w:sectPr>
      </w:pPr>
    </w:p>
    <w:p w14:paraId="12B47685" w14:textId="77777777" w:rsidR="00C45836" w:rsidRPr="00FA1439" w:rsidRDefault="00C45836">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C45836" w14:paraId="468E9451"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30339958" w14:textId="77777777" w:rsidR="00C45836" w:rsidRDefault="00FA1439">
            <w:pPr>
              <w:pStyle w:val="Titletable"/>
              <w:jc w:val="center"/>
              <w:rPr>
                <w:lang w:val="fr-FR"/>
              </w:rPr>
            </w:pPr>
            <w:r>
              <w:rPr>
                <w:lang w:val="fr-FR"/>
              </w:rPr>
              <w:t>L'ESSENTIEL DU CONTRAT</w:t>
            </w:r>
          </w:p>
        </w:tc>
      </w:tr>
      <w:tr w:rsidR="00C45836" w:rsidRPr="00017F82" w14:paraId="53CA67D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DCCEFA" w14:textId="77777777" w:rsidR="00C45836" w:rsidRDefault="00C45836">
            <w:pPr>
              <w:spacing w:line="140" w:lineRule="exact"/>
              <w:rPr>
                <w:sz w:val="14"/>
              </w:rPr>
            </w:pPr>
          </w:p>
          <w:p w14:paraId="3FFD27B5" w14:textId="77777777" w:rsidR="00C45836" w:rsidRDefault="00017F82">
            <w:pPr>
              <w:ind w:left="420"/>
              <w:rPr>
                <w:sz w:val="2"/>
              </w:rPr>
            </w:pPr>
            <w:r>
              <w:pict w14:anchorId="42AAB17D">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E93141" w14:textId="77777777" w:rsidR="00C45836" w:rsidRDefault="00FA14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37709" w14:textId="77777777" w:rsidR="00C45836" w:rsidRDefault="00FA14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Acquisition d’un diffractomètre de rayons X </w:t>
            </w:r>
          </w:p>
        </w:tc>
      </w:tr>
      <w:tr w:rsidR="00C45836" w14:paraId="4A1A80C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FD84B6" w14:textId="77777777" w:rsidR="00C45836" w:rsidRPr="00FA1439" w:rsidRDefault="00C45836">
            <w:pPr>
              <w:spacing w:line="140" w:lineRule="exact"/>
              <w:rPr>
                <w:sz w:val="14"/>
                <w:lang w:val="fr-FR"/>
              </w:rPr>
            </w:pPr>
          </w:p>
          <w:p w14:paraId="16D8EE0C" w14:textId="77777777" w:rsidR="00C45836" w:rsidRDefault="00017F82">
            <w:pPr>
              <w:ind w:left="420"/>
              <w:rPr>
                <w:sz w:val="2"/>
              </w:rPr>
            </w:pPr>
            <w:r>
              <w:pict w14:anchorId="2967DF07">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0F11E" w14:textId="77777777" w:rsidR="00C45836" w:rsidRDefault="00FA14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9ECC90" w14:textId="77777777" w:rsidR="00C45836" w:rsidRDefault="00FA14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C45836" w14:paraId="68F5D3C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CB7C01" w14:textId="77777777" w:rsidR="00C45836" w:rsidRDefault="00C45836">
            <w:pPr>
              <w:spacing w:line="100" w:lineRule="exact"/>
              <w:rPr>
                <w:sz w:val="10"/>
              </w:rPr>
            </w:pPr>
          </w:p>
          <w:p w14:paraId="1A611C2A" w14:textId="77777777" w:rsidR="00C45836" w:rsidRDefault="00017F82">
            <w:pPr>
              <w:ind w:left="420"/>
              <w:rPr>
                <w:sz w:val="2"/>
              </w:rPr>
            </w:pPr>
            <w:r>
              <w:pict w14:anchorId="10E3E87C">
                <v:shape id="_x0000_i1028" type="#_x0000_t75" style="width:18pt;height:21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823D05" w14:textId="77777777" w:rsidR="00C45836" w:rsidRDefault="00FA14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6BA06B" w14:textId="77777777" w:rsidR="00C45836" w:rsidRDefault="00FA14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C45836" w14:paraId="36BE841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CB62BF" w14:textId="77777777" w:rsidR="00C45836" w:rsidRDefault="00C45836">
            <w:pPr>
              <w:spacing w:line="140" w:lineRule="exact"/>
              <w:rPr>
                <w:sz w:val="14"/>
              </w:rPr>
            </w:pPr>
          </w:p>
          <w:p w14:paraId="4A981C38" w14:textId="77777777" w:rsidR="00C45836" w:rsidRDefault="00017F82">
            <w:pPr>
              <w:ind w:left="420"/>
              <w:rPr>
                <w:sz w:val="2"/>
              </w:rPr>
            </w:pPr>
            <w:r>
              <w:pict w14:anchorId="125AA7D4">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7F5A39" w14:textId="77777777" w:rsidR="00C45836" w:rsidRDefault="00FA14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B51A4B" w14:textId="77777777" w:rsidR="00C45836" w:rsidRDefault="00FA14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45836" w14:paraId="489D83A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DD4B54" w14:textId="77777777" w:rsidR="00C45836" w:rsidRDefault="00C45836">
            <w:pPr>
              <w:spacing w:line="140" w:lineRule="exact"/>
              <w:rPr>
                <w:sz w:val="14"/>
              </w:rPr>
            </w:pPr>
          </w:p>
          <w:p w14:paraId="559FB679" w14:textId="77777777" w:rsidR="00C45836" w:rsidRDefault="00017F82">
            <w:pPr>
              <w:ind w:left="420"/>
              <w:rPr>
                <w:sz w:val="2"/>
              </w:rPr>
            </w:pPr>
            <w:r>
              <w:pict w14:anchorId="3AE52E22">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281B71" w14:textId="77777777" w:rsidR="00C45836" w:rsidRDefault="00FA143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B1B5EF" w14:textId="77777777" w:rsidR="00C45836" w:rsidRDefault="00FA14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45836" w14:paraId="1029F2D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D0011E" w14:textId="77777777" w:rsidR="00C45836" w:rsidRDefault="00C45836">
            <w:pPr>
              <w:spacing w:line="140" w:lineRule="exact"/>
              <w:rPr>
                <w:sz w:val="14"/>
              </w:rPr>
            </w:pPr>
          </w:p>
          <w:p w14:paraId="0FC7D43D" w14:textId="77777777" w:rsidR="00C45836" w:rsidRDefault="00017F82">
            <w:pPr>
              <w:ind w:left="420"/>
              <w:rPr>
                <w:sz w:val="2"/>
              </w:rPr>
            </w:pPr>
            <w:r>
              <w:pict w14:anchorId="05279816">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25D0B3" w14:textId="77777777" w:rsidR="00C45836" w:rsidRDefault="00FA14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C420C5" w14:textId="77777777" w:rsidR="00C45836" w:rsidRDefault="00FA14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24 mois</w:t>
            </w:r>
          </w:p>
        </w:tc>
      </w:tr>
      <w:tr w:rsidR="00C45836" w14:paraId="220366D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52E91" w14:textId="77777777" w:rsidR="00C45836" w:rsidRDefault="00C45836">
            <w:pPr>
              <w:spacing w:line="80" w:lineRule="exact"/>
              <w:rPr>
                <w:sz w:val="8"/>
              </w:rPr>
            </w:pPr>
          </w:p>
          <w:p w14:paraId="42E84711" w14:textId="77777777" w:rsidR="00C45836" w:rsidRDefault="00017F82">
            <w:pPr>
              <w:ind w:left="420"/>
              <w:rPr>
                <w:sz w:val="2"/>
              </w:rPr>
            </w:pPr>
            <w:r>
              <w:pict w14:anchorId="5B022D47">
                <v:shape id="_x0000_i1032" type="#_x0000_t75" style="width:18pt;height:23.2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FB4192" w14:textId="77777777" w:rsidR="00C45836" w:rsidRDefault="00FA14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0F7B8B" w14:textId="77777777" w:rsidR="00C45836" w:rsidRDefault="00C45836"/>
        </w:tc>
      </w:tr>
      <w:tr w:rsidR="00C45836" w14:paraId="0433B6B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8D8D7D" w14:textId="77777777" w:rsidR="00C45836" w:rsidRDefault="00C45836">
            <w:pPr>
              <w:spacing w:line="140" w:lineRule="exact"/>
              <w:rPr>
                <w:sz w:val="14"/>
              </w:rPr>
            </w:pPr>
          </w:p>
          <w:p w14:paraId="0C79DB84" w14:textId="77777777" w:rsidR="00C45836" w:rsidRDefault="00017F82">
            <w:pPr>
              <w:ind w:left="420"/>
              <w:rPr>
                <w:sz w:val="2"/>
              </w:rPr>
            </w:pPr>
            <w:r>
              <w:pict w14:anchorId="7D8FD9DA">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E70808" w14:textId="77777777" w:rsidR="00C45836" w:rsidRDefault="00FA14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2BF3C5" w14:textId="77777777" w:rsidR="00C45836" w:rsidRDefault="00FA14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C45836" w14:paraId="5FC7344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F65956" w14:textId="77777777" w:rsidR="00C45836" w:rsidRDefault="00C45836">
            <w:pPr>
              <w:spacing w:line="80" w:lineRule="exact"/>
              <w:rPr>
                <w:sz w:val="8"/>
              </w:rPr>
            </w:pPr>
          </w:p>
          <w:p w14:paraId="5BCE0890" w14:textId="77777777" w:rsidR="00C45836" w:rsidRDefault="00017F82">
            <w:pPr>
              <w:ind w:left="420"/>
              <w:rPr>
                <w:sz w:val="2"/>
              </w:rPr>
            </w:pPr>
            <w:r>
              <w:pict w14:anchorId="12A570F7">
                <v:shape id="_x0000_i1034" type="#_x0000_t75" style="width:18pt;height:23.2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2B71BB" w14:textId="77777777" w:rsidR="00C45836" w:rsidRDefault="00FA14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B6B840" w14:textId="77777777" w:rsidR="00C45836" w:rsidRDefault="00FA14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C45836" w14:paraId="366345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2CACFA" w14:textId="77777777" w:rsidR="00C45836" w:rsidRDefault="00C45836">
            <w:pPr>
              <w:spacing w:line="180" w:lineRule="exact"/>
              <w:rPr>
                <w:sz w:val="18"/>
              </w:rPr>
            </w:pPr>
          </w:p>
          <w:p w14:paraId="64F4ED53" w14:textId="77777777" w:rsidR="00C45836" w:rsidRDefault="00017F82">
            <w:pPr>
              <w:ind w:left="420"/>
              <w:rPr>
                <w:sz w:val="2"/>
              </w:rPr>
            </w:pPr>
            <w:r>
              <w:pict w14:anchorId="6FEB7571">
                <v:shape id="_x0000_i1035" type="#_x0000_t75" style="width:18pt;height:12.75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4188C2" w14:textId="77777777" w:rsidR="00C45836" w:rsidRDefault="00FA143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283AC4" w14:textId="77777777" w:rsidR="00C45836" w:rsidRDefault="00FA143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196280C2" w14:textId="77777777" w:rsidR="00C45836" w:rsidRDefault="00C45836">
      <w:pPr>
        <w:sectPr w:rsidR="00C45836">
          <w:pgSz w:w="11900" w:h="16840"/>
          <w:pgMar w:top="1440" w:right="1160" w:bottom="1440" w:left="1140" w:header="1440" w:footer="1440" w:gutter="0"/>
          <w:cols w:space="708"/>
        </w:sectPr>
      </w:pPr>
    </w:p>
    <w:p w14:paraId="72F25409" w14:textId="77777777" w:rsidR="00C45836" w:rsidRDefault="00FA1439">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58EDB00" w14:textId="77777777" w:rsidR="00C45836" w:rsidRDefault="00C45836">
      <w:pPr>
        <w:spacing w:after="80" w:line="240" w:lineRule="exact"/>
      </w:pPr>
    </w:p>
    <w:p w14:paraId="6474610B" w14:textId="77777777" w:rsidR="00C45836" w:rsidRDefault="00FA1439">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FBBDF3A" w14:textId="77777777" w:rsidR="00C45836" w:rsidRDefault="00FA1439">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56F940E" w14:textId="77777777" w:rsidR="00C45836" w:rsidRDefault="00FA1439">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Décomposition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48FAAB6" w14:textId="77777777" w:rsidR="00C45836" w:rsidRDefault="00FA1439">
      <w:pPr>
        <w:pStyle w:val="TM1"/>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2 - Pièces contractuelles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694E8D9" w14:textId="77777777" w:rsidR="00C45836" w:rsidRDefault="00FA1439">
      <w:pPr>
        <w:pStyle w:val="TM1"/>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3 - Durée et délais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9B5B9C7" w14:textId="77777777" w:rsidR="00C45836" w:rsidRDefault="00FA1439">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3.1 - Durée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BA4E554" w14:textId="77777777" w:rsidR="00C45836" w:rsidRDefault="00FA1439">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4 -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FFE9FC8" w14:textId="77777777" w:rsidR="00C45836" w:rsidRDefault="00FA1439">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4.1 - Caractéristiques des prix pratiqués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46449472" w14:textId="77777777" w:rsidR="00C45836" w:rsidRDefault="00FA1439">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4.2 - Modalités de variation des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4FFFBC9E" w14:textId="77777777" w:rsidR="00C45836" w:rsidRDefault="00FA1439">
      <w:pPr>
        <w:pStyle w:val="TM1"/>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5 - Garanties Financières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20F3E61F" w14:textId="77777777" w:rsidR="00C45836" w:rsidRDefault="00FA1439">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6 -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47CFFC3E" w14:textId="77777777" w:rsidR="00C45836" w:rsidRDefault="00FA1439">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6.1 - Conditions de versement et de remboursement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110CAD38" w14:textId="77777777" w:rsidR="00C45836" w:rsidRDefault="00FA1439">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6.2 - Garanties financières de l'avance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2E5DF6E4" w14:textId="77777777" w:rsidR="00C45836" w:rsidRDefault="00FA1439">
      <w:pPr>
        <w:pStyle w:val="TM1"/>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7 - Modalités de règlement des comptes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5D54F7C" w14:textId="77777777" w:rsidR="00C45836" w:rsidRDefault="00FA1439">
      <w:pPr>
        <w:pStyle w:val="TM2"/>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7.1 - Acomptes et paiements partiels définitifs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43572CE7" w14:textId="77777777" w:rsidR="00C45836" w:rsidRDefault="00FA1439">
      <w:pPr>
        <w:pStyle w:val="TM2"/>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7.2 - Présentation des demandes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02626021" w14:textId="77777777" w:rsidR="00C45836" w:rsidRDefault="00FA1439">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7.3 - Délai global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130E8D09" w14:textId="77777777" w:rsidR="00C45836" w:rsidRDefault="00FA1439">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7.4 - Paiement des cotraitants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30454AD8" w14:textId="77777777" w:rsidR="00C45836" w:rsidRDefault="00FA1439">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7.5 - Paiement des sous-traitants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D551044" w14:textId="77777777" w:rsidR="00C45836" w:rsidRDefault="00FA1439">
      <w:pPr>
        <w:pStyle w:val="TM1"/>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8 - Conditions d'exécution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735DEBB3" w14:textId="77777777" w:rsidR="00C45836" w:rsidRDefault="00FA1439">
      <w:pPr>
        <w:pStyle w:val="TM1"/>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9 - Développement durable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75281A8D" w14:textId="77777777" w:rsidR="00C45836" w:rsidRDefault="00FA1439">
      <w:pPr>
        <w:pStyle w:val="TM1"/>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10 - Constatation de l'exécution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1E8F7C0D" w14:textId="77777777" w:rsidR="00C45836" w:rsidRDefault="00FA1439">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10.1 - Vérifications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0196B6B3" w14:textId="77777777" w:rsidR="00C45836" w:rsidRDefault="00FA1439">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10.2 - Décision après vérification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0DEB9871" w14:textId="77777777" w:rsidR="00C45836" w:rsidRDefault="00FA1439">
      <w:pPr>
        <w:pStyle w:val="TM1"/>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11 - Garantie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243EF5C" w14:textId="77777777" w:rsidR="00C45836" w:rsidRDefault="00FA1439">
      <w:pPr>
        <w:pStyle w:val="TM1"/>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12 - Pénalités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3426644" w14:textId="77777777" w:rsidR="00C45836" w:rsidRDefault="00FA1439">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12.1 - Pénalités de retard</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455A059F" w14:textId="77777777" w:rsidR="00C45836" w:rsidRDefault="00FA1439">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12.2 - Pénalité pour travail dissimulé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9968ED3" w14:textId="77777777" w:rsidR="00C45836" w:rsidRDefault="00FA1439">
      <w:pPr>
        <w:pStyle w:val="TM1"/>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13 - Assurances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0FF1FF95" w14:textId="77777777" w:rsidR="00C45836" w:rsidRDefault="00FA1439">
      <w:pPr>
        <w:pStyle w:val="TM1"/>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14 - Résiliation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51E6C32E" w14:textId="77777777" w:rsidR="00C45836" w:rsidRDefault="00FA1439">
      <w:pPr>
        <w:pStyle w:val="TM2"/>
        <w:tabs>
          <w:tab w:val="right" w:leader="dot" w:pos="9610"/>
        </w:tabs>
        <w:rPr>
          <w:rFonts w:ascii="Calibri" w:hAnsi="Calibri"/>
          <w:noProof/>
          <w:sz w:val="22"/>
        </w:rPr>
      </w:pPr>
      <w:hyperlink w:anchor="_Toc256000030" w:history="1">
        <w:r>
          <w:rPr>
            <w:rStyle w:val="Lienhypertexte"/>
            <w:rFonts w:ascii="Trebuchet MS" w:eastAsia="Trebuchet MS" w:hAnsi="Trebuchet MS" w:cs="Trebuchet MS"/>
            <w:lang w:val="fr-FR"/>
          </w:rPr>
          <w:t>14.1 - Conditions de résiliation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1CDAA390" w14:textId="77777777" w:rsidR="00C45836" w:rsidRDefault="00FA1439">
      <w:pPr>
        <w:pStyle w:val="TM2"/>
        <w:tabs>
          <w:tab w:val="right" w:leader="dot" w:pos="9610"/>
        </w:tabs>
        <w:rPr>
          <w:rFonts w:ascii="Calibri" w:hAnsi="Calibri"/>
          <w:noProof/>
          <w:sz w:val="22"/>
        </w:rPr>
      </w:pPr>
      <w:hyperlink w:anchor="_Toc256000031" w:history="1">
        <w:r>
          <w:rPr>
            <w:rStyle w:val="Lienhypertexte"/>
            <w:rFonts w:ascii="Trebuchet MS" w:eastAsia="Trebuchet MS" w:hAnsi="Trebuchet MS" w:cs="Trebuchet MS"/>
            <w:lang w:val="fr-FR"/>
          </w:rPr>
          <w:t>14.2 - Redressement ou liquidation judiciaire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0AC19BB7" w14:textId="77777777" w:rsidR="00C45836" w:rsidRDefault="00FA1439">
      <w:pPr>
        <w:pStyle w:val="TM1"/>
        <w:tabs>
          <w:tab w:val="right" w:leader="dot" w:pos="9610"/>
        </w:tabs>
        <w:rPr>
          <w:rFonts w:ascii="Calibri" w:hAnsi="Calibri"/>
          <w:noProof/>
          <w:sz w:val="22"/>
        </w:rPr>
      </w:pPr>
      <w:hyperlink w:anchor="_Toc256000032" w:history="1">
        <w:r>
          <w:rPr>
            <w:rStyle w:val="Lienhypertexte"/>
            <w:rFonts w:ascii="Trebuchet MS" w:eastAsia="Trebuchet MS" w:hAnsi="Trebuchet MS" w:cs="Trebuchet MS"/>
            <w:lang w:val="fr-FR"/>
          </w:rPr>
          <w:t>15 - Règlement des litiges et langues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407F6B23" w14:textId="77777777" w:rsidR="00C45836" w:rsidRDefault="00FA1439">
      <w:pPr>
        <w:pStyle w:val="TM1"/>
        <w:tabs>
          <w:tab w:val="right" w:leader="dot" w:pos="9610"/>
        </w:tabs>
        <w:rPr>
          <w:rFonts w:ascii="Calibri" w:hAnsi="Calibri"/>
          <w:noProof/>
          <w:sz w:val="22"/>
        </w:rPr>
      </w:pPr>
      <w:hyperlink w:anchor="_Toc256000033" w:history="1">
        <w:r>
          <w:rPr>
            <w:rStyle w:val="Lienhypertexte"/>
            <w:rFonts w:ascii="Trebuchet MS" w:eastAsia="Trebuchet MS" w:hAnsi="Trebuchet MS" w:cs="Trebuchet MS"/>
            <w:lang w:val="fr-FR"/>
          </w:rPr>
          <w:t>16 - Dérogations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733DE545" w14:textId="77777777" w:rsidR="00C45836" w:rsidRDefault="00FA1439">
      <w:pPr>
        <w:spacing w:after="100"/>
        <w:rPr>
          <w:rFonts w:ascii="Trebuchet MS" w:eastAsia="Trebuchet MS" w:hAnsi="Trebuchet MS" w:cs="Trebuchet MS"/>
          <w:color w:val="000000"/>
          <w:sz w:val="22"/>
          <w:lang w:val="fr-FR"/>
        </w:rPr>
        <w:sectPr w:rsidR="00C45836">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289173D1"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6F14D431" w14:textId="77777777" w:rsidR="00C45836" w:rsidRPr="00FA1439" w:rsidRDefault="00FA1439">
      <w:pPr>
        <w:spacing w:line="60" w:lineRule="exact"/>
        <w:rPr>
          <w:sz w:val="6"/>
          <w:lang w:val="fr-FR"/>
        </w:rPr>
      </w:pPr>
      <w:r w:rsidRPr="00FA1439">
        <w:rPr>
          <w:lang w:val="fr-FR"/>
        </w:rPr>
        <w:t xml:space="preserve"> </w:t>
      </w:r>
    </w:p>
    <w:p w14:paraId="0D1D4FA5" w14:textId="77777777" w:rsidR="00C45836" w:rsidRDefault="00FA1439">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65310670" w14:textId="79D90C47" w:rsidR="00C45836" w:rsidRDefault="00FA1439">
      <w:pPr>
        <w:pStyle w:val="ParagrapheIndent2"/>
        <w:spacing w:line="232" w:lineRule="exact"/>
        <w:jc w:val="both"/>
        <w:rPr>
          <w:color w:val="000000"/>
          <w:lang w:val="fr-FR"/>
        </w:rPr>
      </w:pPr>
      <w:r>
        <w:rPr>
          <w:color w:val="000000"/>
          <w:lang w:val="fr-FR"/>
        </w:rPr>
        <w:t>Les stipulations du présent Cahier des clauses administratives particulières (CCAP) concernent l’acquisition d’un diffractomètre de rayons X</w:t>
      </w:r>
    </w:p>
    <w:p w14:paraId="24D0F1F2" w14:textId="77777777" w:rsidR="00C45836" w:rsidRDefault="00C45836">
      <w:pPr>
        <w:pStyle w:val="ParagrapheIndent2"/>
        <w:spacing w:line="232" w:lineRule="exact"/>
        <w:jc w:val="both"/>
        <w:rPr>
          <w:color w:val="000000"/>
          <w:lang w:val="fr-FR"/>
        </w:rPr>
      </w:pPr>
    </w:p>
    <w:p w14:paraId="7EDEA308" w14:textId="77777777" w:rsidR="00C45836" w:rsidRDefault="00FA1439">
      <w:pPr>
        <w:pStyle w:val="ParagrapheIndent2"/>
        <w:spacing w:line="232" w:lineRule="exact"/>
        <w:jc w:val="both"/>
        <w:rPr>
          <w:color w:val="000000"/>
          <w:lang w:val="fr-FR"/>
        </w:rPr>
      </w:pPr>
      <w:r>
        <w:rPr>
          <w:color w:val="000000"/>
          <w:lang w:val="fr-FR"/>
        </w:rPr>
        <w:t>L’ENSICAEN est une école publique d’ingénieurs dont l’une des spécialités porte sur les matériaux, à travers la formation « Matériaux-Chimie », proposée sous statut étudiant et en apprentissage. Dans le cadre de ces formations, nous souhaitons offrir à nos élèves (environ 85 élèves par promotion) un enseignement à la pointe des techniques d’analyse structurale et chimique des matériaux.</w:t>
      </w:r>
    </w:p>
    <w:p w14:paraId="3E216D1B" w14:textId="77777777" w:rsidR="00C45836" w:rsidRDefault="00FA1439">
      <w:pPr>
        <w:pStyle w:val="ParagrapheIndent2"/>
        <w:spacing w:line="232" w:lineRule="exact"/>
        <w:jc w:val="both"/>
        <w:rPr>
          <w:color w:val="000000"/>
          <w:lang w:val="fr-FR"/>
        </w:rPr>
      </w:pPr>
      <w:r>
        <w:rPr>
          <w:color w:val="000000"/>
          <w:lang w:val="fr-FR"/>
        </w:rPr>
        <w:t>La diffraction des rayons X (DRX) figure parmi les outils incontournables de cette discipline. Si les principes de fonctionnement et l’interprétation des résultats sont déjà enseignés dans la spécialité, l’acquisition d’un diffractomètre à rayons-x nous permettrait d’intégrer cette technologie directement dans les travaux pratiques et les projets industriels. Les élèves pourraient ainsi découvrir cette technique de manière concrète en réalisant eux-mêmes des expériences classiques de DRX. Cet équipement renforcerait leurs compétences en caractérisation structurale et chimique des matériaux, un atout précieux pour leur future carrière d’ingénieur.</w:t>
      </w:r>
    </w:p>
    <w:p w14:paraId="236380BF" w14:textId="77777777" w:rsidR="00C45836" w:rsidRDefault="00FA1439">
      <w:pPr>
        <w:pStyle w:val="ParagrapheIndent2"/>
        <w:spacing w:line="232" w:lineRule="exact"/>
        <w:jc w:val="both"/>
        <w:rPr>
          <w:color w:val="000000"/>
          <w:lang w:val="fr-FR"/>
        </w:rPr>
      </w:pPr>
      <w:r>
        <w:rPr>
          <w:color w:val="000000"/>
          <w:lang w:val="fr-FR"/>
        </w:rPr>
        <w:t>Nous recherchons un diffractomètre à rayons-x compact, adapté à une installation dans une salle de travaux pratiques (largeur de salle 2,30 m et longueur de la salle 6,00 m). Ce nouvel outil viendrait enrichir la plateforme technologique (FABLAB) de l’école, que nous développons année après année pour en faire une vitrine auprès de nos partenaires industriels (environ 300 entreprises). En plus de son utilisation pédagogique, cet appareil permettra à nos élèves de mener des projets en collaboration avec l’industrie, les préparant ainsi à répondre aux problématiques concrètes liées aux matériaux.</w:t>
      </w:r>
    </w:p>
    <w:p w14:paraId="3B4EF45B" w14:textId="77777777" w:rsidR="00C45836" w:rsidRDefault="00C45836">
      <w:pPr>
        <w:pStyle w:val="ParagrapheIndent2"/>
        <w:spacing w:after="240" w:line="232" w:lineRule="exact"/>
        <w:jc w:val="both"/>
        <w:rPr>
          <w:color w:val="000000"/>
          <w:lang w:val="fr-FR"/>
        </w:rPr>
      </w:pPr>
    </w:p>
    <w:p w14:paraId="5F012026" w14:textId="77777777" w:rsidR="00C45836" w:rsidRDefault="00FA1439">
      <w:pPr>
        <w:pStyle w:val="ParagrapheIndent2"/>
        <w:spacing w:line="232" w:lineRule="exact"/>
        <w:jc w:val="both"/>
        <w:rPr>
          <w:color w:val="000000"/>
          <w:lang w:val="fr-FR"/>
        </w:rPr>
      </w:pPr>
      <w:r>
        <w:rPr>
          <w:color w:val="000000"/>
          <w:lang w:val="fr-FR"/>
        </w:rPr>
        <w:t>Lieu(x) d'exécution :</w:t>
      </w:r>
    </w:p>
    <w:p w14:paraId="493B2A85" w14:textId="77777777" w:rsidR="00C45836" w:rsidRDefault="00FA1439">
      <w:pPr>
        <w:pStyle w:val="ParagrapheIndent2"/>
        <w:spacing w:line="232" w:lineRule="exact"/>
        <w:jc w:val="both"/>
        <w:rPr>
          <w:color w:val="000000"/>
          <w:lang w:val="fr-FR"/>
        </w:rPr>
      </w:pPr>
      <w:r>
        <w:rPr>
          <w:color w:val="000000"/>
          <w:lang w:val="fr-FR"/>
        </w:rPr>
        <w:t xml:space="preserve">ENSICAEN - Laboratoire CIMAP – 6 Boulevard Maréchal </w:t>
      </w:r>
      <w:proofErr w:type="gramStart"/>
      <w:r>
        <w:rPr>
          <w:color w:val="000000"/>
          <w:lang w:val="fr-FR"/>
        </w:rPr>
        <w:t>Juin</w:t>
      </w:r>
      <w:proofErr w:type="gramEnd"/>
    </w:p>
    <w:p w14:paraId="7DDB0C8D" w14:textId="77777777" w:rsidR="00C45836" w:rsidRDefault="00FA1439">
      <w:pPr>
        <w:pStyle w:val="ParagrapheIndent2"/>
        <w:spacing w:after="240" w:line="232" w:lineRule="exact"/>
        <w:jc w:val="both"/>
        <w:rPr>
          <w:color w:val="000000"/>
          <w:lang w:val="fr-FR"/>
        </w:rPr>
      </w:pPr>
      <w:r>
        <w:rPr>
          <w:color w:val="000000"/>
          <w:lang w:val="fr-FR"/>
        </w:rPr>
        <w:t>14050 CAEN</w:t>
      </w:r>
    </w:p>
    <w:p w14:paraId="13EB749D"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4" w:name="ArtL2_CCAP-1-A1.2"/>
      <w:bookmarkStart w:id="5" w:name="ArtL1_CCAP-1-A2"/>
      <w:bookmarkStart w:id="6" w:name="_Toc256000003"/>
      <w:bookmarkEnd w:id="4"/>
      <w:bookmarkEnd w:id="5"/>
      <w:r>
        <w:rPr>
          <w:rFonts w:ascii="Trebuchet MS" w:eastAsia="Trebuchet MS" w:hAnsi="Trebuchet MS" w:cs="Trebuchet MS"/>
          <w:color w:val="FFFFFF"/>
          <w:sz w:val="28"/>
          <w:lang w:val="fr-FR"/>
        </w:rPr>
        <w:t>2 - Pièces contractuelles</w:t>
      </w:r>
      <w:bookmarkEnd w:id="6"/>
    </w:p>
    <w:p w14:paraId="4AE570F2" w14:textId="77777777" w:rsidR="00C45836" w:rsidRPr="00FA1439" w:rsidRDefault="00FA1439">
      <w:pPr>
        <w:spacing w:line="60" w:lineRule="exact"/>
        <w:rPr>
          <w:sz w:val="6"/>
          <w:lang w:val="fr-FR"/>
        </w:rPr>
      </w:pPr>
      <w:r w:rsidRPr="00FA1439">
        <w:rPr>
          <w:lang w:val="fr-FR"/>
        </w:rPr>
        <w:t xml:space="preserve"> </w:t>
      </w:r>
    </w:p>
    <w:p w14:paraId="5F2AD073" w14:textId="77777777" w:rsidR="00C45836" w:rsidRDefault="00FA1439">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088BB222" w14:textId="507B7FD1" w:rsidR="00C45836" w:rsidRDefault="00FA1439">
      <w:pPr>
        <w:pStyle w:val="ParagrapheIndent1"/>
        <w:spacing w:line="232" w:lineRule="exact"/>
        <w:jc w:val="both"/>
        <w:rPr>
          <w:color w:val="000000"/>
          <w:lang w:val="fr-FR"/>
        </w:rPr>
      </w:pPr>
      <w:r>
        <w:rPr>
          <w:color w:val="000000"/>
          <w:lang w:val="fr-FR"/>
        </w:rPr>
        <w:t>- L'acte d'engagement (AE)</w:t>
      </w:r>
    </w:p>
    <w:p w14:paraId="723D7A78" w14:textId="77777777" w:rsidR="00C45836" w:rsidRDefault="00FA1439">
      <w:pPr>
        <w:pStyle w:val="ParagrapheIndent1"/>
        <w:spacing w:line="232" w:lineRule="exact"/>
        <w:jc w:val="both"/>
        <w:rPr>
          <w:color w:val="000000"/>
          <w:lang w:val="fr-FR"/>
        </w:rPr>
      </w:pPr>
      <w:r>
        <w:rPr>
          <w:color w:val="000000"/>
          <w:lang w:val="fr-FR"/>
        </w:rPr>
        <w:t>- Le cahier des clauses administratives particulières (CCAP)</w:t>
      </w:r>
    </w:p>
    <w:p w14:paraId="3B904FAB" w14:textId="77777777" w:rsidR="00C45836" w:rsidRDefault="00FA1439">
      <w:pPr>
        <w:pStyle w:val="ParagrapheIndent1"/>
        <w:spacing w:line="232" w:lineRule="exact"/>
        <w:jc w:val="both"/>
        <w:rPr>
          <w:color w:val="000000"/>
          <w:lang w:val="fr-FR"/>
        </w:rPr>
      </w:pPr>
      <w:r>
        <w:rPr>
          <w:color w:val="000000"/>
          <w:lang w:val="fr-FR"/>
        </w:rPr>
        <w:t>- Le cahier des clauses techniques particulières (CCTP) et ses annexes</w:t>
      </w:r>
    </w:p>
    <w:p w14:paraId="2A4D398D" w14:textId="77777777" w:rsidR="00C45836" w:rsidRDefault="00FA1439">
      <w:pPr>
        <w:pStyle w:val="ParagrapheIndent1"/>
        <w:spacing w:line="232"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6FA5954F" w14:textId="135D3660" w:rsidR="00C45836" w:rsidRDefault="00FA1439">
      <w:pPr>
        <w:pStyle w:val="ParagrapheIndent1"/>
        <w:spacing w:line="232" w:lineRule="exact"/>
        <w:jc w:val="both"/>
        <w:rPr>
          <w:color w:val="000000"/>
          <w:lang w:val="fr-FR"/>
        </w:rPr>
      </w:pPr>
      <w:r>
        <w:rPr>
          <w:color w:val="000000"/>
          <w:lang w:val="fr-FR"/>
        </w:rPr>
        <w:t xml:space="preserve">- Le mémoire technique </w:t>
      </w:r>
    </w:p>
    <w:p w14:paraId="3E5DF5A7" w14:textId="77777777" w:rsidR="00C45836" w:rsidRDefault="00FA1439">
      <w:pPr>
        <w:pStyle w:val="ParagrapheIndent1"/>
        <w:spacing w:after="240" w:line="232" w:lineRule="exact"/>
        <w:jc w:val="both"/>
        <w:rPr>
          <w:color w:val="000000"/>
          <w:lang w:val="fr-FR"/>
        </w:rPr>
      </w:pPr>
      <w:r>
        <w:rPr>
          <w:color w:val="000000"/>
          <w:lang w:val="fr-FR"/>
        </w:rPr>
        <w:t>- La décomposition du prix global forfaitaire (DPGF)</w:t>
      </w:r>
    </w:p>
    <w:p w14:paraId="35A5EE8C"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7" w:name="ArtL1_CCAP-1-A9"/>
      <w:bookmarkStart w:id="8" w:name="_Toc256000004"/>
      <w:bookmarkEnd w:id="7"/>
      <w:r>
        <w:rPr>
          <w:rFonts w:ascii="Trebuchet MS" w:eastAsia="Trebuchet MS" w:hAnsi="Trebuchet MS" w:cs="Trebuchet MS"/>
          <w:color w:val="FFFFFF"/>
          <w:sz w:val="28"/>
          <w:lang w:val="fr-FR"/>
        </w:rPr>
        <w:t>3 - Durée et délais d'exécution</w:t>
      </w:r>
      <w:bookmarkEnd w:id="8"/>
    </w:p>
    <w:p w14:paraId="39BD3365" w14:textId="77777777" w:rsidR="00C45836" w:rsidRPr="00FA1439" w:rsidRDefault="00FA1439">
      <w:pPr>
        <w:spacing w:line="60" w:lineRule="exact"/>
        <w:rPr>
          <w:sz w:val="6"/>
          <w:lang w:val="fr-FR"/>
        </w:rPr>
      </w:pPr>
      <w:r w:rsidRPr="00FA1439">
        <w:rPr>
          <w:lang w:val="fr-FR"/>
        </w:rPr>
        <w:t xml:space="preserve"> </w:t>
      </w:r>
    </w:p>
    <w:p w14:paraId="2A698EEC" w14:textId="77777777" w:rsidR="00C45836" w:rsidRDefault="00FA1439">
      <w:pPr>
        <w:pStyle w:val="Titre2"/>
        <w:ind w:left="280"/>
        <w:rPr>
          <w:rFonts w:ascii="Trebuchet MS" w:eastAsia="Trebuchet MS" w:hAnsi="Trebuchet MS" w:cs="Trebuchet MS"/>
          <w:i w:val="0"/>
          <w:color w:val="000000"/>
          <w:sz w:val="24"/>
          <w:lang w:val="fr-FR"/>
        </w:rPr>
      </w:pPr>
      <w:bookmarkStart w:id="9" w:name="ArtL2_CCAP-1-A9.3"/>
      <w:bookmarkStart w:id="10" w:name="_Toc256000005"/>
      <w:bookmarkEnd w:id="9"/>
      <w:r>
        <w:rPr>
          <w:rFonts w:ascii="Trebuchet MS" w:eastAsia="Trebuchet MS" w:hAnsi="Trebuchet MS" w:cs="Trebuchet MS"/>
          <w:i w:val="0"/>
          <w:color w:val="000000"/>
          <w:sz w:val="24"/>
          <w:lang w:val="fr-FR"/>
        </w:rPr>
        <w:t>3.1 - Durée du contrat</w:t>
      </w:r>
      <w:bookmarkEnd w:id="10"/>
    </w:p>
    <w:p w14:paraId="2E9CB66C" w14:textId="033B0BEE" w:rsidR="00C45836" w:rsidRDefault="00FA1439">
      <w:pPr>
        <w:pStyle w:val="ParagrapheIndent2"/>
        <w:spacing w:after="240"/>
        <w:jc w:val="both"/>
        <w:rPr>
          <w:color w:val="000000"/>
          <w:lang w:val="fr-FR"/>
        </w:rPr>
      </w:pPr>
      <w:r>
        <w:rPr>
          <w:color w:val="000000"/>
          <w:lang w:val="fr-FR"/>
        </w:rPr>
        <w:t xml:space="preserve">La durée du contrat court jusqu’à la fin de la garantie. </w:t>
      </w:r>
    </w:p>
    <w:p w14:paraId="4D0F1A09" w14:textId="77777777" w:rsidR="00C45836" w:rsidRDefault="00FA1439">
      <w:pPr>
        <w:pStyle w:val="ParagrapheIndent2"/>
        <w:spacing w:after="240"/>
        <w:jc w:val="both"/>
        <w:rPr>
          <w:color w:val="000000"/>
          <w:lang w:val="fr-FR"/>
        </w:rPr>
      </w:pPr>
      <w:r>
        <w:rPr>
          <w:color w:val="000000"/>
          <w:lang w:val="fr-FR"/>
        </w:rPr>
        <w:t>L'exécution des prestations débute à compter de la date de notification du contrat.</w:t>
      </w:r>
    </w:p>
    <w:p w14:paraId="5766AC13" w14:textId="77777777" w:rsidR="00C45836" w:rsidRDefault="00FA1439">
      <w:pPr>
        <w:pStyle w:val="ParagrapheIndent2"/>
        <w:spacing w:line="232" w:lineRule="exact"/>
        <w:jc w:val="both"/>
        <w:rPr>
          <w:color w:val="000000"/>
          <w:lang w:val="fr-FR"/>
        </w:rPr>
        <w:sectPr w:rsidR="00C45836">
          <w:footerReference w:type="default" r:id="rId17"/>
          <w:pgSz w:w="11900" w:h="16840"/>
          <w:pgMar w:top="1140" w:right="1140" w:bottom="1140" w:left="1140" w:header="1140" w:footer="1140" w:gutter="0"/>
          <w:cols w:space="708"/>
        </w:sectPr>
      </w:pPr>
      <w:r>
        <w:rPr>
          <w:color w:val="000000"/>
          <w:lang w:val="fr-FR"/>
        </w:rPr>
        <w:t>Une prolongation du délai d'exécution peut être accordée par le pouvoir adjudicateur dans les conditions de l'article 13.3 du CCAG-FCS.</w:t>
      </w:r>
      <w:r>
        <w:rPr>
          <w:color w:val="000000"/>
          <w:lang w:val="fr-FR"/>
        </w:rPr>
        <w:cr/>
      </w:r>
    </w:p>
    <w:p w14:paraId="18E448D2"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11" w:name="ArtL1_CCAP-1-A10"/>
      <w:bookmarkStart w:id="12" w:name="_Toc256000006"/>
      <w:bookmarkEnd w:id="11"/>
      <w:r>
        <w:rPr>
          <w:rFonts w:ascii="Trebuchet MS" w:eastAsia="Trebuchet MS" w:hAnsi="Trebuchet MS" w:cs="Trebuchet MS"/>
          <w:color w:val="FFFFFF"/>
          <w:sz w:val="28"/>
          <w:lang w:val="fr-FR"/>
        </w:rPr>
        <w:lastRenderedPageBreak/>
        <w:t>4 - Prix</w:t>
      </w:r>
      <w:bookmarkEnd w:id="12"/>
    </w:p>
    <w:p w14:paraId="08CA53B2" w14:textId="77777777" w:rsidR="00C45836" w:rsidRPr="00FA1439" w:rsidRDefault="00FA1439">
      <w:pPr>
        <w:spacing w:line="60" w:lineRule="exact"/>
        <w:rPr>
          <w:sz w:val="6"/>
          <w:lang w:val="fr-FR"/>
        </w:rPr>
      </w:pPr>
      <w:r w:rsidRPr="00FA1439">
        <w:rPr>
          <w:lang w:val="fr-FR"/>
        </w:rPr>
        <w:t xml:space="preserve"> </w:t>
      </w:r>
    </w:p>
    <w:p w14:paraId="54F97801" w14:textId="77777777" w:rsidR="00C45836" w:rsidRDefault="00FA1439">
      <w:pPr>
        <w:pStyle w:val="Titre2"/>
        <w:ind w:left="280"/>
        <w:rPr>
          <w:rFonts w:ascii="Trebuchet MS" w:eastAsia="Trebuchet MS" w:hAnsi="Trebuchet MS" w:cs="Trebuchet MS"/>
          <w:i w:val="0"/>
          <w:color w:val="000000"/>
          <w:sz w:val="24"/>
          <w:lang w:val="fr-FR"/>
        </w:rPr>
      </w:pPr>
      <w:bookmarkStart w:id="13" w:name="ArtL2_CCAP-1-A10.1"/>
      <w:bookmarkStart w:id="14" w:name="_Toc256000007"/>
      <w:bookmarkEnd w:id="13"/>
      <w:r>
        <w:rPr>
          <w:rFonts w:ascii="Trebuchet MS" w:eastAsia="Trebuchet MS" w:hAnsi="Trebuchet MS" w:cs="Trebuchet MS"/>
          <w:i w:val="0"/>
          <w:color w:val="000000"/>
          <w:sz w:val="24"/>
          <w:lang w:val="fr-FR"/>
        </w:rPr>
        <w:t>4.1 - Caractéristiques des prix pratiqués</w:t>
      </w:r>
      <w:bookmarkEnd w:id="14"/>
    </w:p>
    <w:p w14:paraId="017D9BE1" w14:textId="77777777" w:rsidR="00C45836" w:rsidRDefault="00FA1439">
      <w:pPr>
        <w:pStyle w:val="ParagrapheIndent2"/>
        <w:spacing w:after="240"/>
        <w:jc w:val="both"/>
        <w:rPr>
          <w:color w:val="000000"/>
          <w:lang w:val="fr-FR"/>
        </w:rPr>
      </w:pPr>
      <w:r>
        <w:rPr>
          <w:color w:val="000000"/>
          <w:lang w:val="fr-FR"/>
        </w:rPr>
        <w:t>Les prestations sont réglées par un prix global forfaitaire selon les stipulations de l'acte d'engagement.</w:t>
      </w:r>
    </w:p>
    <w:p w14:paraId="4AD1AE3A" w14:textId="77777777" w:rsidR="00C45836" w:rsidRDefault="00FA1439">
      <w:pPr>
        <w:pStyle w:val="Titre2"/>
        <w:ind w:left="280"/>
        <w:rPr>
          <w:rFonts w:ascii="Trebuchet MS" w:eastAsia="Trebuchet MS" w:hAnsi="Trebuchet MS" w:cs="Trebuchet MS"/>
          <w:i w:val="0"/>
          <w:color w:val="000000"/>
          <w:sz w:val="24"/>
          <w:lang w:val="fr-FR"/>
        </w:rPr>
      </w:pPr>
      <w:bookmarkStart w:id="15" w:name="ArtL2_CCAP-1-A10.3"/>
      <w:bookmarkStart w:id="16" w:name="_Toc256000008"/>
      <w:bookmarkEnd w:id="15"/>
      <w:r>
        <w:rPr>
          <w:rFonts w:ascii="Trebuchet MS" w:eastAsia="Trebuchet MS" w:hAnsi="Trebuchet MS" w:cs="Trebuchet MS"/>
          <w:i w:val="0"/>
          <w:color w:val="000000"/>
          <w:sz w:val="24"/>
          <w:lang w:val="fr-FR"/>
        </w:rPr>
        <w:t>4.2 - Modalités de variation des prix</w:t>
      </w:r>
      <w:bookmarkEnd w:id="16"/>
    </w:p>
    <w:p w14:paraId="6915B658" w14:textId="77777777" w:rsidR="00C45836" w:rsidRDefault="00FA1439">
      <w:pPr>
        <w:pStyle w:val="ParagrapheIndent2"/>
        <w:spacing w:after="240" w:line="232" w:lineRule="exact"/>
        <w:jc w:val="both"/>
        <w:rPr>
          <w:color w:val="000000"/>
          <w:lang w:val="fr-FR"/>
        </w:rPr>
      </w:pPr>
      <w:r>
        <w:rPr>
          <w:color w:val="000000"/>
          <w:lang w:val="fr-FR"/>
        </w:rPr>
        <w:t>La date d'établissement des prix est la date à laquelle le titulaire a fixé son prix dans l'offre. Cette date permet de définir le "mois zéro".</w:t>
      </w:r>
    </w:p>
    <w:p w14:paraId="01013A05" w14:textId="77777777" w:rsidR="00C45836" w:rsidRDefault="00FA1439">
      <w:pPr>
        <w:pStyle w:val="ParagrapheIndent2"/>
        <w:spacing w:line="232" w:lineRule="exact"/>
        <w:jc w:val="both"/>
        <w:rPr>
          <w:color w:val="000000"/>
          <w:lang w:val="fr-FR"/>
        </w:rPr>
      </w:pPr>
      <w:proofErr w:type="gramStart"/>
      <w:r>
        <w:rPr>
          <w:color w:val="000000"/>
          <w:lang w:val="fr-FR"/>
        </w:rPr>
        <w:t>selon</w:t>
      </w:r>
      <w:proofErr w:type="gramEnd"/>
      <w:r>
        <w:rPr>
          <w:color w:val="000000"/>
          <w:lang w:val="fr-FR"/>
        </w:rPr>
        <w:t xml:space="preserve"> les dispositions suivantes :</w:t>
      </w:r>
    </w:p>
    <w:p w14:paraId="271B8272" w14:textId="77777777" w:rsidR="00C45836" w:rsidRDefault="00FA1439">
      <w:pPr>
        <w:pStyle w:val="ParagrapheIndent2"/>
        <w:spacing w:line="232"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d'actualisation.</w:t>
      </w:r>
    </w:p>
    <w:p w14:paraId="656824D5" w14:textId="77777777" w:rsidR="00C45836" w:rsidRDefault="00FA1439">
      <w:pPr>
        <w:pStyle w:val="ParagrapheIndent2"/>
        <w:spacing w:line="232" w:lineRule="exact"/>
        <w:jc w:val="both"/>
        <w:rPr>
          <w:color w:val="000000"/>
          <w:lang w:val="fr-FR"/>
        </w:rPr>
      </w:pPr>
      <w:r>
        <w:rPr>
          <w:color w:val="000000"/>
          <w:lang w:val="fr-FR"/>
        </w:rPr>
        <w:t>- d : mois de début d'exécution des prestations.</w:t>
      </w:r>
    </w:p>
    <w:p w14:paraId="6759E76A" w14:textId="77777777" w:rsidR="00C45836" w:rsidRDefault="00FA1439">
      <w:pPr>
        <w:pStyle w:val="ParagrapheIndent2"/>
        <w:spacing w:line="232" w:lineRule="exact"/>
        <w:jc w:val="both"/>
        <w:rPr>
          <w:color w:val="000000"/>
          <w:lang w:val="fr-FR"/>
        </w:rPr>
      </w:pPr>
      <w:r>
        <w:rPr>
          <w:color w:val="000000"/>
          <w:lang w:val="fr-FR"/>
        </w:rPr>
        <w:t>- Index (d-nombre de mois de décalage) : valeur de l'index de référence au mois d diminué du nombre de mois de décalage (sous réserve que le mois d du début d'exécution des prestations soit postérieur au mois zéro augmenté du nombre de mois de décalage).</w:t>
      </w:r>
    </w:p>
    <w:p w14:paraId="7F0FC28B" w14:textId="77777777" w:rsidR="00C45836" w:rsidRDefault="00FA1439">
      <w:pPr>
        <w:pStyle w:val="ParagrapheIndent2"/>
        <w:spacing w:after="240" w:line="232" w:lineRule="exact"/>
        <w:jc w:val="both"/>
        <w:rPr>
          <w:color w:val="000000"/>
          <w:lang w:val="fr-FR"/>
        </w:rPr>
      </w:pPr>
      <w:r>
        <w:rPr>
          <w:color w:val="000000"/>
          <w:lang w:val="fr-FR"/>
        </w:rPr>
        <w:t>- Index (o) : valeur de l'index de référence au mois zéro.</w:t>
      </w:r>
    </w:p>
    <w:p w14:paraId="1AA74410" w14:textId="77777777" w:rsidR="00C45836" w:rsidRDefault="00FA1439">
      <w:pPr>
        <w:pStyle w:val="ParagrapheIndent2"/>
        <w:spacing w:after="240" w:line="232" w:lineRule="exact"/>
        <w:jc w:val="both"/>
        <w:rPr>
          <w:color w:val="000000"/>
          <w:lang w:val="fr-FR"/>
        </w:rPr>
      </w:pPr>
      <w:r>
        <w:rPr>
          <w:color w:val="000000"/>
          <w:lang w:val="fr-FR"/>
        </w:rPr>
        <w:t>Lorsqu'une actualisation est effectuée provisoirement en utilisant une valeur d'index antérieure à celle qui doit être appliquée, l'actualisation définitive, calculée sur la base de la valeur finale de l'index correspondant, intervient au plus tard trois mois après la publication de cette valeur.</w:t>
      </w:r>
    </w:p>
    <w:p w14:paraId="1DEACD24"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17" w:name="ArtL1_CCAP-1-A11"/>
      <w:bookmarkStart w:id="18" w:name="_Toc256000009"/>
      <w:bookmarkEnd w:id="17"/>
      <w:r>
        <w:rPr>
          <w:rFonts w:ascii="Trebuchet MS" w:eastAsia="Trebuchet MS" w:hAnsi="Trebuchet MS" w:cs="Trebuchet MS"/>
          <w:color w:val="FFFFFF"/>
          <w:sz w:val="28"/>
          <w:lang w:val="fr-FR"/>
        </w:rPr>
        <w:t>5 - Garanties Financières</w:t>
      </w:r>
      <w:bookmarkEnd w:id="18"/>
    </w:p>
    <w:p w14:paraId="53CCA1D0" w14:textId="77777777" w:rsidR="00C45836" w:rsidRPr="00FA1439" w:rsidRDefault="00FA1439">
      <w:pPr>
        <w:spacing w:line="60" w:lineRule="exact"/>
        <w:rPr>
          <w:sz w:val="6"/>
          <w:lang w:val="fr-FR"/>
        </w:rPr>
      </w:pPr>
      <w:r w:rsidRPr="00FA1439">
        <w:rPr>
          <w:lang w:val="fr-FR"/>
        </w:rPr>
        <w:t xml:space="preserve"> </w:t>
      </w:r>
    </w:p>
    <w:p w14:paraId="6C688A31" w14:textId="77777777" w:rsidR="00C45836" w:rsidRDefault="00FA1439">
      <w:pPr>
        <w:pStyle w:val="ParagrapheIndent1"/>
        <w:spacing w:after="240"/>
        <w:jc w:val="both"/>
        <w:rPr>
          <w:color w:val="000000"/>
          <w:lang w:val="fr-FR"/>
        </w:rPr>
      </w:pPr>
      <w:r>
        <w:rPr>
          <w:color w:val="000000"/>
          <w:lang w:val="fr-FR"/>
        </w:rPr>
        <w:t>Aucune clause de garantie financière ne sera appliquée.</w:t>
      </w:r>
    </w:p>
    <w:p w14:paraId="018A6DA5"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19" w:name="ArtL1_CCAP-1-A12"/>
      <w:bookmarkStart w:id="20" w:name="_Toc256000010"/>
      <w:bookmarkEnd w:id="19"/>
      <w:r>
        <w:rPr>
          <w:rFonts w:ascii="Trebuchet MS" w:eastAsia="Trebuchet MS" w:hAnsi="Trebuchet MS" w:cs="Trebuchet MS"/>
          <w:color w:val="FFFFFF"/>
          <w:sz w:val="28"/>
          <w:lang w:val="fr-FR"/>
        </w:rPr>
        <w:t>6 - Avance</w:t>
      </w:r>
      <w:bookmarkEnd w:id="20"/>
    </w:p>
    <w:p w14:paraId="369CFF86" w14:textId="77777777" w:rsidR="00C45836" w:rsidRPr="00FA1439" w:rsidRDefault="00FA1439">
      <w:pPr>
        <w:spacing w:line="60" w:lineRule="exact"/>
        <w:rPr>
          <w:sz w:val="6"/>
          <w:lang w:val="fr-FR"/>
        </w:rPr>
      </w:pPr>
      <w:r w:rsidRPr="00FA1439">
        <w:rPr>
          <w:lang w:val="fr-FR"/>
        </w:rPr>
        <w:t xml:space="preserve"> </w:t>
      </w:r>
    </w:p>
    <w:p w14:paraId="40039471" w14:textId="77777777" w:rsidR="00C45836" w:rsidRDefault="00FA1439">
      <w:pPr>
        <w:pStyle w:val="ParagrapheIndent1"/>
        <w:spacing w:after="240"/>
        <w:jc w:val="both"/>
        <w:rPr>
          <w:color w:val="000000"/>
          <w:lang w:val="fr-FR"/>
        </w:rPr>
      </w:pPr>
      <w:r>
        <w:rPr>
          <w:color w:val="000000"/>
          <w:lang w:val="fr-FR"/>
        </w:rPr>
        <w:t>L'option retenue pour le calcul de l'avance est l'option B du CCAG - Fournitures Courantes et Services.</w:t>
      </w:r>
    </w:p>
    <w:p w14:paraId="64629368" w14:textId="77777777" w:rsidR="00C45836" w:rsidRDefault="00FA1439">
      <w:pPr>
        <w:pStyle w:val="Titre2"/>
        <w:ind w:left="280"/>
        <w:rPr>
          <w:rFonts w:ascii="Trebuchet MS" w:eastAsia="Trebuchet MS" w:hAnsi="Trebuchet MS" w:cs="Trebuchet MS"/>
          <w:i w:val="0"/>
          <w:color w:val="000000"/>
          <w:sz w:val="24"/>
          <w:lang w:val="fr-FR"/>
        </w:rPr>
      </w:pPr>
      <w:bookmarkStart w:id="21" w:name="ArtL2_CCAP-1-A12.3"/>
      <w:bookmarkStart w:id="22" w:name="_Toc256000011"/>
      <w:bookmarkEnd w:id="21"/>
      <w:r>
        <w:rPr>
          <w:rFonts w:ascii="Trebuchet MS" w:eastAsia="Trebuchet MS" w:hAnsi="Trebuchet MS" w:cs="Trebuchet MS"/>
          <w:i w:val="0"/>
          <w:color w:val="000000"/>
          <w:sz w:val="24"/>
          <w:lang w:val="fr-FR"/>
        </w:rPr>
        <w:t>6.1 - Conditions de versement et de remboursement</w:t>
      </w:r>
      <w:bookmarkEnd w:id="22"/>
    </w:p>
    <w:p w14:paraId="34BDED40" w14:textId="77777777" w:rsidR="00C45836" w:rsidRDefault="00FA1439">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75437C60" w14:textId="77777777" w:rsidR="00C45836" w:rsidRDefault="00FA1439">
      <w:pPr>
        <w:pStyle w:val="ParagrapheIndent2"/>
        <w:spacing w:line="232" w:lineRule="exact"/>
        <w:jc w:val="both"/>
        <w:rPr>
          <w:color w:val="000000"/>
          <w:lang w:val="fr-FR"/>
        </w:rPr>
      </w:pPr>
      <w:r>
        <w:rPr>
          <w:color w:val="000000"/>
          <w:lang w:val="fr-FR"/>
        </w:rPr>
        <w:t xml:space="preserve">Le montant de l'avance est fixé à 5,00 % du montant initial, toutes taxes comprises, du </w:t>
      </w:r>
      <w:proofErr w:type="gramStart"/>
      <w:r>
        <w:rPr>
          <w:color w:val="000000"/>
          <w:lang w:val="fr-FR"/>
        </w:rPr>
        <w:t>marché ,</w:t>
      </w:r>
      <w:proofErr w:type="gramEnd"/>
      <w:r>
        <w:rPr>
          <w:color w:val="000000"/>
          <w:lang w:val="fr-FR"/>
        </w:rPr>
        <w:t xml:space="preserve"> si sa durée est inférieure ou égale à douze mois ; si cette durée est supérieure à douze mois, l'avance est égale à 5,00 % d'une somme égale à douze fois le montant mentionné ci-dessus divisé par cette durée exprimée en mois.</w:t>
      </w:r>
    </w:p>
    <w:p w14:paraId="39075DB2" w14:textId="77777777" w:rsidR="00C45836" w:rsidRDefault="00C45836">
      <w:pPr>
        <w:pStyle w:val="ParagrapheIndent2"/>
        <w:spacing w:line="232" w:lineRule="exact"/>
        <w:jc w:val="both"/>
        <w:rPr>
          <w:color w:val="000000"/>
          <w:lang w:val="fr-FR"/>
        </w:rPr>
      </w:pPr>
    </w:p>
    <w:p w14:paraId="6AA24204" w14:textId="77777777" w:rsidR="00C45836" w:rsidRDefault="00FA1439">
      <w:pPr>
        <w:pStyle w:val="ParagrapheIndent2"/>
        <w:spacing w:line="232" w:lineRule="exact"/>
        <w:jc w:val="both"/>
        <w:rPr>
          <w:color w:val="000000"/>
          <w:lang w:val="fr-FR"/>
        </w:rPr>
      </w:pPr>
      <w:r>
        <w:rPr>
          <w:color w:val="000000"/>
          <w:lang w:val="fr-FR"/>
        </w:rPr>
        <w:t>Le montant de l'avance ne peut être affecté par la mise en œuvre d'une clause de variation de prix.</w:t>
      </w:r>
    </w:p>
    <w:p w14:paraId="6DCB70D0" w14:textId="77777777" w:rsidR="00C45836" w:rsidRDefault="00C45836">
      <w:pPr>
        <w:pStyle w:val="ParagrapheIndent2"/>
        <w:spacing w:line="232" w:lineRule="exact"/>
        <w:jc w:val="both"/>
        <w:rPr>
          <w:color w:val="000000"/>
          <w:lang w:val="fr-FR"/>
        </w:rPr>
      </w:pPr>
    </w:p>
    <w:p w14:paraId="30B3C1D7" w14:textId="77777777" w:rsidR="00C45836" w:rsidRDefault="00FA1439">
      <w:pPr>
        <w:pStyle w:val="ParagrapheIndent2"/>
        <w:spacing w:after="240" w:line="232" w:lineRule="exact"/>
        <w:jc w:val="both"/>
        <w:rPr>
          <w:color w:val="000000"/>
          <w:lang w:val="fr-FR"/>
        </w:rPr>
      </w:pPr>
      <w:r>
        <w:rPr>
          <w:color w:val="000000"/>
          <w:lang w:val="fr-FR"/>
        </w:rPr>
        <w:t>Aucune garantie financière ne sera demandée au titulaire pour le versement de l'avance.</w:t>
      </w:r>
    </w:p>
    <w:p w14:paraId="7B202CB1" w14:textId="77777777" w:rsidR="00C45836" w:rsidRDefault="00FA1439">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toutes taxes comprises du marché. Il doit être terminé lorsque ledit montant atteint 80,00 %.</w:t>
      </w:r>
    </w:p>
    <w:p w14:paraId="1C5F8F78" w14:textId="77777777" w:rsidR="00C45836" w:rsidRDefault="00FA1439">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190FAA2A" w14:textId="77777777" w:rsidR="00C45836" w:rsidRDefault="00FA1439">
      <w:pPr>
        <w:pStyle w:val="ParagrapheIndent2"/>
        <w:spacing w:line="232" w:lineRule="exact"/>
        <w:jc w:val="both"/>
        <w:rPr>
          <w:color w:val="000000"/>
          <w:lang w:val="fr-FR"/>
        </w:rPr>
        <w:sectPr w:rsidR="00C45836">
          <w:footerReference w:type="default" r:id="rId18"/>
          <w:pgSz w:w="11900" w:h="16840"/>
          <w:pgMar w:top="1140" w:right="1140" w:bottom="1140" w:left="1140" w:header="1140" w:footer="1140" w:gutter="0"/>
          <w:cols w:space="708"/>
        </w:sect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r>
        <w:rPr>
          <w:color w:val="000000"/>
          <w:lang w:val="fr-FR"/>
        </w:rPr>
        <w:cr/>
      </w:r>
    </w:p>
    <w:p w14:paraId="08FFD03F" w14:textId="77777777" w:rsidR="00C45836" w:rsidRDefault="00FA1439">
      <w:pPr>
        <w:pStyle w:val="ParagrapheIndent2"/>
        <w:spacing w:after="240" w:line="232" w:lineRule="exact"/>
        <w:jc w:val="both"/>
        <w:rPr>
          <w:color w:val="000000"/>
          <w:lang w:val="fr-FR"/>
        </w:rPr>
      </w:pPr>
      <w:r>
        <w:rPr>
          <w:color w:val="000000"/>
          <w:lang w:val="fr-FR"/>
        </w:rPr>
        <w:lastRenderedPageBreak/>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58E4C332" w14:textId="77777777" w:rsidR="00C45836" w:rsidRDefault="00FA1439">
      <w:pPr>
        <w:pStyle w:val="Titre2"/>
        <w:ind w:left="280"/>
        <w:rPr>
          <w:rFonts w:ascii="Trebuchet MS" w:eastAsia="Trebuchet MS" w:hAnsi="Trebuchet MS" w:cs="Trebuchet MS"/>
          <w:i w:val="0"/>
          <w:color w:val="000000"/>
          <w:sz w:val="24"/>
          <w:lang w:val="fr-FR"/>
        </w:rPr>
      </w:pPr>
      <w:bookmarkStart w:id="23" w:name="ArtL2_CCAP-1-A12.5"/>
      <w:bookmarkStart w:id="24" w:name="_Toc256000012"/>
      <w:bookmarkEnd w:id="23"/>
      <w:r>
        <w:rPr>
          <w:rFonts w:ascii="Trebuchet MS" w:eastAsia="Trebuchet MS" w:hAnsi="Trebuchet MS" w:cs="Trebuchet MS"/>
          <w:i w:val="0"/>
          <w:color w:val="000000"/>
          <w:sz w:val="24"/>
          <w:lang w:val="fr-FR"/>
        </w:rPr>
        <w:t>6.2 - Garanties financières de l'avance</w:t>
      </w:r>
      <w:bookmarkEnd w:id="24"/>
    </w:p>
    <w:p w14:paraId="5B214BD9" w14:textId="77777777" w:rsidR="00C45836" w:rsidRDefault="00FA1439">
      <w:pPr>
        <w:pStyle w:val="ParagrapheIndent2"/>
        <w:spacing w:after="240"/>
        <w:jc w:val="both"/>
        <w:rPr>
          <w:color w:val="000000"/>
          <w:lang w:val="fr-FR"/>
        </w:rPr>
      </w:pPr>
      <w:r>
        <w:rPr>
          <w:color w:val="000000"/>
          <w:lang w:val="fr-FR"/>
        </w:rPr>
        <w:t>Aucune garantie financière ne sera demandée au titulaire pour le versement de l'avance.</w:t>
      </w:r>
    </w:p>
    <w:p w14:paraId="2767B93F"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25" w:name="ArtL1_CCAP-1-A13"/>
      <w:bookmarkStart w:id="26" w:name="_Toc256000013"/>
      <w:bookmarkEnd w:id="25"/>
      <w:r>
        <w:rPr>
          <w:rFonts w:ascii="Trebuchet MS" w:eastAsia="Trebuchet MS" w:hAnsi="Trebuchet MS" w:cs="Trebuchet MS"/>
          <w:color w:val="FFFFFF"/>
          <w:sz w:val="28"/>
          <w:lang w:val="fr-FR"/>
        </w:rPr>
        <w:t>7 - Modalités de règlement des comptes</w:t>
      </w:r>
      <w:bookmarkEnd w:id="26"/>
    </w:p>
    <w:p w14:paraId="513A7190" w14:textId="77777777" w:rsidR="00C45836" w:rsidRPr="00FA1439" w:rsidRDefault="00FA1439">
      <w:pPr>
        <w:spacing w:line="60" w:lineRule="exact"/>
        <w:rPr>
          <w:sz w:val="6"/>
          <w:lang w:val="fr-FR"/>
        </w:rPr>
      </w:pPr>
      <w:r w:rsidRPr="00FA1439">
        <w:rPr>
          <w:lang w:val="fr-FR"/>
        </w:rPr>
        <w:t xml:space="preserve"> </w:t>
      </w:r>
    </w:p>
    <w:p w14:paraId="4A238CAF" w14:textId="77777777" w:rsidR="00C45836" w:rsidRDefault="00FA1439">
      <w:pPr>
        <w:pStyle w:val="Titre2"/>
        <w:ind w:left="280"/>
        <w:rPr>
          <w:rFonts w:ascii="Trebuchet MS" w:eastAsia="Trebuchet MS" w:hAnsi="Trebuchet MS" w:cs="Trebuchet MS"/>
          <w:i w:val="0"/>
          <w:color w:val="000000"/>
          <w:sz w:val="24"/>
          <w:lang w:val="fr-FR"/>
        </w:rPr>
      </w:pPr>
      <w:bookmarkStart w:id="27" w:name="ArtL2_CCAP-1-A13.1"/>
      <w:bookmarkStart w:id="28" w:name="_Toc256000014"/>
      <w:bookmarkEnd w:id="27"/>
      <w:r>
        <w:rPr>
          <w:rFonts w:ascii="Trebuchet MS" w:eastAsia="Trebuchet MS" w:hAnsi="Trebuchet MS" w:cs="Trebuchet MS"/>
          <w:i w:val="0"/>
          <w:color w:val="000000"/>
          <w:sz w:val="24"/>
          <w:lang w:val="fr-FR"/>
        </w:rPr>
        <w:t>7.1 - Acomptes et paiements partiels définitifs</w:t>
      </w:r>
      <w:bookmarkEnd w:id="28"/>
    </w:p>
    <w:p w14:paraId="50D8FA94" w14:textId="77777777" w:rsidR="00C45836" w:rsidRDefault="00FA1439">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2F11D3E9" w14:textId="77777777" w:rsidR="00C45836" w:rsidRDefault="00FA1439">
      <w:pPr>
        <w:pStyle w:val="Titre2"/>
        <w:ind w:left="280"/>
        <w:rPr>
          <w:rFonts w:ascii="Trebuchet MS" w:eastAsia="Trebuchet MS" w:hAnsi="Trebuchet MS" w:cs="Trebuchet MS"/>
          <w:i w:val="0"/>
          <w:color w:val="000000"/>
          <w:sz w:val="24"/>
          <w:lang w:val="fr-FR"/>
        </w:rPr>
      </w:pPr>
      <w:bookmarkStart w:id="29" w:name="ArtL2_CCAP-1-A13.4"/>
      <w:bookmarkStart w:id="30" w:name="_Toc256000015"/>
      <w:bookmarkEnd w:id="29"/>
      <w:r>
        <w:rPr>
          <w:rFonts w:ascii="Trebuchet MS" w:eastAsia="Trebuchet MS" w:hAnsi="Trebuchet MS" w:cs="Trebuchet MS"/>
          <w:i w:val="0"/>
          <w:color w:val="000000"/>
          <w:sz w:val="24"/>
          <w:lang w:val="fr-FR"/>
        </w:rPr>
        <w:t>7.2 - Présentation des demandes de paiement</w:t>
      </w:r>
      <w:bookmarkEnd w:id="30"/>
    </w:p>
    <w:p w14:paraId="59FB6ACF" w14:textId="77777777" w:rsidR="00C45836" w:rsidRDefault="00FA1439">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1D3D66E3" w14:textId="77777777" w:rsidR="00C45836" w:rsidRDefault="00C45836">
      <w:pPr>
        <w:pStyle w:val="ParagrapheIndent2"/>
        <w:spacing w:line="232" w:lineRule="exact"/>
        <w:jc w:val="both"/>
        <w:rPr>
          <w:color w:val="000000"/>
          <w:lang w:val="fr-FR"/>
        </w:rPr>
      </w:pPr>
    </w:p>
    <w:p w14:paraId="57A0C437" w14:textId="77777777" w:rsidR="00C45836" w:rsidRDefault="00FA1439">
      <w:pPr>
        <w:pStyle w:val="ParagrapheIndent2"/>
        <w:spacing w:after="240"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4D946332" w14:textId="77777777" w:rsidR="00C45836" w:rsidRDefault="00FA1439">
      <w:pPr>
        <w:pStyle w:val="ParagrapheIndent2"/>
        <w:spacing w:line="232" w:lineRule="exact"/>
        <w:jc w:val="both"/>
        <w:rPr>
          <w:color w:val="000000"/>
          <w:lang w:val="fr-FR"/>
        </w:rPr>
      </w:pPr>
      <w:r>
        <w:rPr>
          <w:color w:val="000000"/>
          <w:u w:val="single"/>
          <w:lang w:val="fr-FR"/>
        </w:rPr>
        <w:t>Informations à utiliser pour la facturation électronique</w:t>
      </w:r>
    </w:p>
    <w:p w14:paraId="50AE609C" w14:textId="77777777" w:rsidR="00C45836" w:rsidRDefault="00C45836">
      <w:pPr>
        <w:pStyle w:val="ParagrapheIndent2"/>
        <w:spacing w:line="232" w:lineRule="exact"/>
        <w:jc w:val="both"/>
        <w:rPr>
          <w:color w:val="000000"/>
          <w:lang w:val="fr-FR"/>
        </w:rPr>
      </w:pPr>
    </w:p>
    <w:p w14:paraId="4CBD2CA5" w14:textId="77777777" w:rsidR="00C45836" w:rsidRDefault="00FA1439">
      <w:pPr>
        <w:pStyle w:val="ParagrapheIndent2"/>
        <w:spacing w:line="232" w:lineRule="exact"/>
        <w:jc w:val="both"/>
        <w:rPr>
          <w:color w:val="000000"/>
          <w:lang w:val="fr-FR"/>
        </w:rPr>
      </w:pPr>
      <w:r>
        <w:rPr>
          <w:color w:val="000000"/>
          <w:lang w:val="fr-FR"/>
        </w:rPr>
        <w:t>- Identifiant de la structure publique (SIRET) : 19141720300012</w:t>
      </w:r>
    </w:p>
    <w:p w14:paraId="106685F8" w14:textId="6752DC3C" w:rsidR="00C45836" w:rsidRDefault="00FA1439">
      <w:pPr>
        <w:pStyle w:val="ParagrapheIndent2"/>
        <w:spacing w:line="232" w:lineRule="exact"/>
        <w:jc w:val="both"/>
        <w:rPr>
          <w:color w:val="000000"/>
          <w:lang w:val="fr-FR"/>
        </w:rPr>
      </w:pPr>
      <w:r>
        <w:rPr>
          <w:color w:val="000000"/>
          <w:lang w:val="fr-FR"/>
        </w:rPr>
        <w:t>- Code service : 010603</w:t>
      </w:r>
    </w:p>
    <w:p w14:paraId="482E2E45" w14:textId="77777777" w:rsidR="00C45836" w:rsidRDefault="00FA1439">
      <w:pPr>
        <w:pStyle w:val="ParagrapheIndent2"/>
        <w:spacing w:after="240" w:line="232" w:lineRule="exact"/>
        <w:jc w:val="both"/>
        <w:rPr>
          <w:color w:val="000000"/>
          <w:lang w:val="fr-FR"/>
        </w:rPr>
      </w:pPr>
      <w:r>
        <w:rPr>
          <w:color w:val="000000"/>
          <w:lang w:val="fr-FR"/>
        </w:rPr>
        <w:t>- Numéro d'engagement juridique : 25CRIFOAS001</w:t>
      </w:r>
    </w:p>
    <w:p w14:paraId="2EB1E93B" w14:textId="77777777" w:rsidR="00C45836" w:rsidRDefault="00FA1439">
      <w:pPr>
        <w:pStyle w:val="Titre2"/>
        <w:ind w:left="280"/>
        <w:rPr>
          <w:rFonts w:ascii="Trebuchet MS" w:eastAsia="Trebuchet MS" w:hAnsi="Trebuchet MS" w:cs="Trebuchet MS"/>
          <w:i w:val="0"/>
          <w:color w:val="000000"/>
          <w:sz w:val="24"/>
          <w:lang w:val="fr-FR"/>
        </w:rPr>
      </w:pPr>
      <w:bookmarkStart w:id="31" w:name="ArtL2_CCAP-1-A13.5"/>
      <w:bookmarkStart w:id="32" w:name="_Toc256000016"/>
      <w:bookmarkEnd w:id="31"/>
      <w:r>
        <w:rPr>
          <w:rFonts w:ascii="Trebuchet MS" w:eastAsia="Trebuchet MS" w:hAnsi="Trebuchet MS" w:cs="Trebuchet MS"/>
          <w:i w:val="0"/>
          <w:color w:val="000000"/>
          <w:sz w:val="24"/>
          <w:lang w:val="fr-FR"/>
        </w:rPr>
        <w:t>7.3 - Délai global de paiement</w:t>
      </w:r>
      <w:bookmarkEnd w:id="32"/>
    </w:p>
    <w:p w14:paraId="7A4D3FF1" w14:textId="77777777" w:rsidR="00C45836" w:rsidRDefault="00FA1439">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009AF3A5" w14:textId="77777777" w:rsidR="00C45836" w:rsidRDefault="00C45836">
      <w:pPr>
        <w:pStyle w:val="ParagrapheIndent2"/>
        <w:spacing w:line="232" w:lineRule="exact"/>
        <w:jc w:val="both"/>
        <w:rPr>
          <w:color w:val="000000"/>
          <w:lang w:val="fr-FR"/>
        </w:rPr>
      </w:pPr>
    </w:p>
    <w:p w14:paraId="5381B46B" w14:textId="77777777" w:rsidR="00C45836" w:rsidRDefault="00FA1439">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1F33E8C" w14:textId="77777777" w:rsidR="00C45836" w:rsidRDefault="00FA1439">
      <w:pPr>
        <w:pStyle w:val="Titre2"/>
        <w:ind w:left="280"/>
        <w:rPr>
          <w:rFonts w:ascii="Trebuchet MS" w:eastAsia="Trebuchet MS" w:hAnsi="Trebuchet MS" w:cs="Trebuchet MS"/>
          <w:i w:val="0"/>
          <w:color w:val="000000"/>
          <w:sz w:val="24"/>
          <w:lang w:val="fr-FR"/>
        </w:rPr>
      </w:pPr>
      <w:bookmarkStart w:id="33" w:name="ArtL2_CCAP-1-A13.6"/>
      <w:bookmarkStart w:id="34" w:name="_Toc256000017"/>
      <w:bookmarkEnd w:id="33"/>
      <w:r>
        <w:rPr>
          <w:rFonts w:ascii="Trebuchet MS" w:eastAsia="Trebuchet MS" w:hAnsi="Trebuchet MS" w:cs="Trebuchet MS"/>
          <w:i w:val="0"/>
          <w:color w:val="000000"/>
          <w:sz w:val="24"/>
          <w:lang w:val="fr-FR"/>
        </w:rPr>
        <w:t>7.4 - Paiement des cotraitants</w:t>
      </w:r>
      <w:bookmarkEnd w:id="34"/>
    </w:p>
    <w:p w14:paraId="5BB33F59" w14:textId="77777777" w:rsidR="00C45836" w:rsidRDefault="00FA1439">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069225E8" w14:textId="77777777" w:rsidR="00C45836" w:rsidRDefault="00FA1439">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14:paraId="2FC4F053" w14:textId="77777777" w:rsidR="00C45836" w:rsidRDefault="00FA1439">
      <w:pPr>
        <w:pStyle w:val="Titre2"/>
        <w:ind w:left="280"/>
        <w:rPr>
          <w:rFonts w:ascii="Trebuchet MS" w:eastAsia="Trebuchet MS" w:hAnsi="Trebuchet MS" w:cs="Trebuchet MS"/>
          <w:i w:val="0"/>
          <w:color w:val="000000"/>
          <w:sz w:val="24"/>
          <w:lang w:val="fr-FR"/>
        </w:rPr>
      </w:pPr>
      <w:bookmarkStart w:id="35" w:name="ArtL2_CCAP-1-A13.7"/>
      <w:bookmarkStart w:id="36" w:name="_Toc256000018"/>
      <w:bookmarkEnd w:id="35"/>
      <w:r>
        <w:rPr>
          <w:rFonts w:ascii="Trebuchet MS" w:eastAsia="Trebuchet MS" w:hAnsi="Trebuchet MS" w:cs="Trebuchet MS"/>
          <w:i w:val="0"/>
          <w:color w:val="000000"/>
          <w:sz w:val="24"/>
          <w:lang w:val="fr-FR"/>
        </w:rPr>
        <w:t>7.5 - Paiement des sous-traitants</w:t>
      </w:r>
      <w:bookmarkEnd w:id="36"/>
    </w:p>
    <w:p w14:paraId="31447F16" w14:textId="77777777" w:rsidR="00C45836" w:rsidRDefault="00FA1439">
      <w:pPr>
        <w:pStyle w:val="ParagrapheIndent2"/>
        <w:spacing w:line="232" w:lineRule="exact"/>
        <w:jc w:val="both"/>
        <w:rPr>
          <w:color w:val="000000"/>
          <w:lang w:val="fr-FR"/>
        </w:rPr>
        <w:sectPr w:rsidR="00C45836">
          <w:footerReference w:type="default" r:id="rId19"/>
          <w:pgSz w:w="11900" w:h="16840"/>
          <w:pgMar w:top="1140" w:right="1140" w:bottom="1140" w:left="1140" w:header="1140" w:footer="1140" w:gutter="0"/>
          <w:cols w:space="708"/>
        </w:sect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r>
        <w:rPr>
          <w:color w:val="000000"/>
          <w:lang w:val="fr-FR"/>
        </w:rPr>
        <w:cr/>
      </w:r>
    </w:p>
    <w:p w14:paraId="2BCC4E27"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37" w:name="ArtL1_CCAP-1-A15"/>
      <w:bookmarkStart w:id="38" w:name="_Toc256000019"/>
      <w:bookmarkEnd w:id="37"/>
      <w:r>
        <w:rPr>
          <w:rFonts w:ascii="Trebuchet MS" w:eastAsia="Trebuchet MS" w:hAnsi="Trebuchet MS" w:cs="Trebuchet MS"/>
          <w:color w:val="FFFFFF"/>
          <w:sz w:val="28"/>
          <w:lang w:val="fr-FR"/>
        </w:rPr>
        <w:lastRenderedPageBreak/>
        <w:t>8 - Conditions d'exécution des prestations</w:t>
      </w:r>
      <w:bookmarkEnd w:id="38"/>
    </w:p>
    <w:p w14:paraId="57DEFBDE" w14:textId="77777777" w:rsidR="00C45836" w:rsidRPr="00FA1439" w:rsidRDefault="00FA1439">
      <w:pPr>
        <w:spacing w:line="60" w:lineRule="exact"/>
        <w:rPr>
          <w:sz w:val="6"/>
          <w:lang w:val="fr-FR"/>
        </w:rPr>
      </w:pPr>
      <w:r w:rsidRPr="00FA1439">
        <w:rPr>
          <w:lang w:val="fr-FR"/>
        </w:rPr>
        <w:t xml:space="preserve"> </w:t>
      </w:r>
    </w:p>
    <w:p w14:paraId="20715B5A" w14:textId="77777777" w:rsidR="00C45836" w:rsidRDefault="00FA1439">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37CA4E28" w14:textId="77777777" w:rsidR="00C45836" w:rsidRDefault="00FA1439">
      <w:pPr>
        <w:pStyle w:val="ParagrapheIndent1"/>
        <w:spacing w:line="232" w:lineRule="exact"/>
        <w:jc w:val="both"/>
        <w:rPr>
          <w:color w:val="000000"/>
          <w:lang w:val="fr-FR"/>
        </w:rPr>
      </w:pPr>
      <w:r>
        <w:rPr>
          <w:color w:val="000000"/>
          <w:u w:val="single"/>
          <w:lang w:val="fr-FR"/>
        </w:rPr>
        <w:t>Notification par le biais du profil d'acheteur</w:t>
      </w:r>
    </w:p>
    <w:p w14:paraId="672532CA" w14:textId="77777777" w:rsidR="00C45836" w:rsidRDefault="00C45836">
      <w:pPr>
        <w:pStyle w:val="ParagrapheIndent1"/>
        <w:spacing w:line="232" w:lineRule="exact"/>
        <w:jc w:val="both"/>
        <w:rPr>
          <w:color w:val="000000"/>
          <w:lang w:val="fr-FR"/>
        </w:rPr>
      </w:pPr>
    </w:p>
    <w:p w14:paraId="191A5C8E" w14:textId="77777777" w:rsidR="00C45836" w:rsidRDefault="00FA1439">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235D8004" w14:textId="77777777" w:rsidR="00C45836" w:rsidRDefault="00FA1439">
      <w:pPr>
        <w:pStyle w:val="ParagrapheIndent1"/>
        <w:spacing w:line="232" w:lineRule="exact"/>
        <w:jc w:val="both"/>
        <w:rPr>
          <w:color w:val="000000"/>
          <w:lang w:val="fr-FR"/>
        </w:rPr>
      </w:pPr>
      <w:r>
        <w:rPr>
          <w:color w:val="000000"/>
          <w:u w:val="single"/>
          <w:lang w:val="fr-FR"/>
        </w:rPr>
        <w:t>Stockage, emballage et transport</w:t>
      </w:r>
      <w:r>
        <w:rPr>
          <w:color w:val="000000"/>
          <w:lang w:val="fr-FR"/>
        </w:rPr>
        <w:t xml:space="preserve"> :</w:t>
      </w:r>
    </w:p>
    <w:p w14:paraId="5504D76B" w14:textId="77777777" w:rsidR="00C45836" w:rsidRDefault="00C45836">
      <w:pPr>
        <w:pStyle w:val="ParagrapheIndent1"/>
        <w:spacing w:line="232" w:lineRule="exact"/>
        <w:jc w:val="both"/>
        <w:rPr>
          <w:color w:val="000000"/>
          <w:lang w:val="fr-FR"/>
        </w:rPr>
      </w:pPr>
    </w:p>
    <w:p w14:paraId="35C90607" w14:textId="77777777" w:rsidR="00C45836" w:rsidRDefault="00FA1439">
      <w:pPr>
        <w:pStyle w:val="ParagrapheIndent1"/>
        <w:spacing w:after="240" w:line="232" w:lineRule="exact"/>
        <w:jc w:val="both"/>
        <w:rPr>
          <w:color w:val="000000"/>
          <w:lang w:val="fr-FR"/>
        </w:rPr>
      </w:pPr>
      <w:r>
        <w:rPr>
          <w:color w:val="000000"/>
          <w:lang w:val="fr-FR"/>
        </w:rP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p>
    <w:p w14:paraId="7BF9126E" w14:textId="77777777" w:rsidR="00C45836" w:rsidRDefault="00FA1439">
      <w:pPr>
        <w:pStyle w:val="ParagrapheIndent1"/>
        <w:spacing w:line="232" w:lineRule="exact"/>
        <w:jc w:val="both"/>
        <w:rPr>
          <w:color w:val="000000"/>
          <w:lang w:val="fr-FR"/>
        </w:rPr>
      </w:pPr>
      <w:r>
        <w:rPr>
          <w:color w:val="000000"/>
          <w:u w:val="single"/>
          <w:lang w:val="fr-FR"/>
        </w:rPr>
        <w:t>Conditions de livraison</w:t>
      </w:r>
      <w:r>
        <w:rPr>
          <w:color w:val="000000"/>
          <w:lang w:val="fr-FR"/>
        </w:rPr>
        <w:t xml:space="preserve"> :</w:t>
      </w:r>
    </w:p>
    <w:p w14:paraId="1D4508A3" w14:textId="77777777" w:rsidR="00C45836" w:rsidRDefault="00C45836">
      <w:pPr>
        <w:pStyle w:val="ParagrapheIndent1"/>
        <w:spacing w:line="232" w:lineRule="exact"/>
        <w:jc w:val="both"/>
        <w:rPr>
          <w:color w:val="000000"/>
          <w:lang w:val="fr-FR"/>
        </w:rPr>
      </w:pPr>
    </w:p>
    <w:p w14:paraId="7C6926A9" w14:textId="77777777" w:rsidR="00C45836" w:rsidRDefault="00FA1439">
      <w:pPr>
        <w:pStyle w:val="ParagrapheIndent1"/>
        <w:spacing w:line="232" w:lineRule="exact"/>
        <w:jc w:val="both"/>
        <w:rPr>
          <w:color w:val="000000"/>
          <w:lang w:val="fr-FR"/>
        </w:rPr>
      </w:pPr>
      <w:r>
        <w:rPr>
          <w:color w:val="000000"/>
          <w:lang w:val="fr-FR"/>
        </w:rPr>
        <w:t>La livraison des fournitures s'effectuera dans les conditions de l'article 21 du CCAG-FCS.</w:t>
      </w:r>
    </w:p>
    <w:p w14:paraId="68FD0C3D" w14:textId="77777777" w:rsidR="00C45836" w:rsidRDefault="00C45836">
      <w:pPr>
        <w:pStyle w:val="ParagrapheIndent1"/>
        <w:spacing w:line="232" w:lineRule="exact"/>
        <w:jc w:val="both"/>
        <w:rPr>
          <w:color w:val="000000"/>
          <w:lang w:val="fr-FR"/>
        </w:rPr>
      </w:pPr>
    </w:p>
    <w:p w14:paraId="4ECB8143" w14:textId="77777777" w:rsidR="00C45836" w:rsidRDefault="00FA1439">
      <w:pPr>
        <w:pStyle w:val="ParagrapheIndent1"/>
        <w:spacing w:line="232" w:lineRule="exact"/>
        <w:jc w:val="both"/>
        <w:rPr>
          <w:color w:val="000000"/>
          <w:lang w:val="fr-FR"/>
        </w:rPr>
      </w:pPr>
      <w:r>
        <w:rPr>
          <w:color w:val="000000"/>
          <w:lang w:val="fr-FR"/>
        </w:rPr>
        <w:t>Livraison bâtiment A de l'École Nationale Supérieure d’ingénieurs de Caen, 6 Boulevard Maréchal Juin CS 45053 14050 CAEN CEDEX 4</w:t>
      </w:r>
    </w:p>
    <w:p w14:paraId="702ABFE7" w14:textId="77777777" w:rsidR="00C45836" w:rsidRDefault="00C45836">
      <w:pPr>
        <w:pStyle w:val="ParagrapheIndent1"/>
        <w:spacing w:after="240" w:line="232" w:lineRule="exact"/>
        <w:jc w:val="both"/>
        <w:rPr>
          <w:color w:val="000000"/>
          <w:lang w:val="fr-FR"/>
        </w:rPr>
      </w:pPr>
    </w:p>
    <w:p w14:paraId="3310F595" w14:textId="77777777" w:rsidR="00C45836" w:rsidRDefault="00FA1439">
      <w:pPr>
        <w:pStyle w:val="ParagrapheIndent1"/>
        <w:spacing w:line="232" w:lineRule="exact"/>
        <w:jc w:val="both"/>
        <w:rPr>
          <w:color w:val="000000"/>
          <w:lang w:val="fr-FR"/>
        </w:rPr>
      </w:pPr>
      <w:r>
        <w:rPr>
          <w:color w:val="000000"/>
          <w:u w:val="single"/>
          <w:lang w:val="fr-FR"/>
        </w:rPr>
        <w:t>Formation du personnel</w:t>
      </w:r>
      <w:r>
        <w:rPr>
          <w:color w:val="000000"/>
          <w:lang w:val="fr-FR"/>
        </w:rPr>
        <w:t xml:space="preserve"> :</w:t>
      </w:r>
    </w:p>
    <w:p w14:paraId="2CAA27ED" w14:textId="77777777" w:rsidR="00C45836" w:rsidRDefault="00C45836">
      <w:pPr>
        <w:pStyle w:val="ParagrapheIndent1"/>
        <w:spacing w:line="232" w:lineRule="exact"/>
        <w:jc w:val="both"/>
        <w:rPr>
          <w:color w:val="000000"/>
          <w:lang w:val="fr-FR"/>
        </w:rPr>
      </w:pPr>
    </w:p>
    <w:p w14:paraId="16CA7DED" w14:textId="77777777" w:rsidR="00C45836" w:rsidRDefault="00FA1439">
      <w:pPr>
        <w:pStyle w:val="ParagrapheIndent1"/>
        <w:spacing w:line="232" w:lineRule="exact"/>
        <w:jc w:val="both"/>
        <w:rPr>
          <w:color w:val="000000"/>
          <w:lang w:val="fr-FR"/>
        </w:rPr>
      </w:pPr>
      <w:r>
        <w:rPr>
          <w:color w:val="000000"/>
          <w:lang w:val="fr-FR"/>
        </w:rPr>
        <w:t>Le titulaire assurera la formation du personnel chargé d'utiliser les prestations.</w:t>
      </w:r>
    </w:p>
    <w:p w14:paraId="714DA3DE" w14:textId="77777777" w:rsidR="00C45836" w:rsidRDefault="00C45836">
      <w:pPr>
        <w:pStyle w:val="ParagrapheIndent1"/>
        <w:spacing w:line="232" w:lineRule="exact"/>
        <w:jc w:val="both"/>
        <w:rPr>
          <w:color w:val="000000"/>
          <w:lang w:val="fr-FR"/>
        </w:rPr>
      </w:pPr>
    </w:p>
    <w:p w14:paraId="4A947362" w14:textId="77777777" w:rsidR="00C45836" w:rsidRDefault="00FA1439">
      <w:pPr>
        <w:pStyle w:val="ParagrapheIndent1"/>
        <w:spacing w:line="232" w:lineRule="exact"/>
        <w:jc w:val="both"/>
        <w:rPr>
          <w:color w:val="000000"/>
          <w:lang w:val="fr-FR"/>
        </w:rPr>
      </w:pPr>
      <w:r>
        <w:rPr>
          <w:color w:val="000000"/>
          <w:lang w:val="fr-FR"/>
        </w:rPr>
        <w:t>Une formation sur site devra être incluse dans l’offre pour l’utilisation du diffractomètre ainsi que de ses logiciels.</w:t>
      </w:r>
    </w:p>
    <w:p w14:paraId="3C1B5AA2" w14:textId="77777777" w:rsidR="00C45836" w:rsidRDefault="00FA1439">
      <w:pPr>
        <w:pStyle w:val="ParagrapheIndent1"/>
        <w:spacing w:line="232" w:lineRule="exact"/>
        <w:jc w:val="both"/>
        <w:rPr>
          <w:color w:val="000000"/>
          <w:lang w:val="fr-FR"/>
        </w:rPr>
      </w:pPr>
      <w:r>
        <w:rPr>
          <w:color w:val="000000"/>
          <w:lang w:val="fr-FR"/>
        </w:rPr>
        <w:t>Les candidats préciseront la durée et le contenu détaillé de cette formation, qui devra être prévue pour au moins 6 personnes. Elle devra garantir une utilisation autonome et optimale de l’appareil, de ses accessoires et des logiciels associés.</w:t>
      </w:r>
    </w:p>
    <w:p w14:paraId="0070BF23" w14:textId="77777777" w:rsidR="00C45836" w:rsidRDefault="00FA1439">
      <w:pPr>
        <w:pStyle w:val="ParagrapheIndent1"/>
        <w:spacing w:line="232" w:lineRule="exact"/>
        <w:jc w:val="both"/>
        <w:rPr>
          <w:color w:val="000000"/>
          <w:lang w:val="fr-FR"/>
        </w:rPr>
      </w:pPr>
      <w:r>
        <w:rPr>
          <w:color w:val="000000"/>
          <w:lang w:val="fr-FR"/>
        </w:rPr>
        <w:t>Afin de permettre une meilleure préparation, l’ensemble des supports de formation (présentations, manuels, guides d’utilisation, etc.) devra être fourni en amont de la session.</w:t>
      </w:r>
    </w:p>
    <w:p w14:paraId="006163BB" w14:textId="77777777" w:rsidR="00C45836" w:rsidRDefault="00FA1439">
      <w:pPr>
        <w:pStyle w:val="ParagrapheIndent1"/>
        <w:spacing w:line="232" w:lineRule="exact"/>
        <w:jc w:val="both"/>
        <w:rPr>
          <w:color w:val="000000"/>
          <w:lang w:val="fr-FR"/>
        </w:rPr>
      </w:pPr>
      <w:r>
        <w:rPr>
          <w:color w:val="000000"/>
          <w:lang w:val="fr-FR"/>
        </w:rPr>
        <w:t>Une documentation complète sur l’ensemble du système devra être fournie, incluant :</w:t>
      </w:r>
    </w:p>
    <w:p w14:paraId="333BB163" w14:textId="77777777" w:rsidR="00C45836" w:rsidRDefault="00FA1439">
      <w:pPr>
        <w:pStyle w:val="ParagrapheIndent1"/>
        <w:spacing w:line="232" w:lineRule="exact"/>
        <w:jc w:val="both"/>
        <w:rPr>
          <w:color w:val="000000"/>
          <w:lang w:val="fr-FR"/>
        </w:rPr>
      </w:pPr>
      <w:r>
        <w:rPr>
          <w:color w:val="000000"/>
          <w:lang w:val="fr-FR"/>
        </w:rPr>
        <w:t>• Un descriptif technique détaillé (caractéristiques, schémas, fonctionnement, spécificités…).</w:t>
      </w:r>
    </w:p>
    <w:p w14:paraId="1410E7A3" w14:textId="77777777" w:rsidR="00C45836" w:rsidRDefault="00FA1439">
      <w:pPr>
        <w:pStyle w:val="ParagrapheIndent1"/>
        <w:spacing w:line="232" w:lineRule="exact"/>
        <w:jc w:val="both"/>
        <w:rPr>
          <w:color w:val="000000"/>
          <w:lang w:val="fr-FR"/>
        </w:rPr>
      </w:pPr>
      <w:r>
        <w:rPr>
          <w:color w:val="000000"/>
          <w:lang w:val="fr-FR"/>
        </w:rPr>
        <w:t>• Les manuels d’utilisation couvrant l’exploitation du diffractomètre, la maintenance, les réglages et les paramètres d’acquisition.</w:t>
      </w:r>
    </w:p>
    <w:p w14:paraId="67931CEC" w14:textId="77777777" w:rsidR="00C45836" w:rsidRDefault="00C45836">
      <w:pPr>
        <w:pStyle w:val="ParagrapheIndent1"/>
        <w:spacing w:after="240" w:line="232" w:lineRule="exact"/>
        <w:jc w:val="both"/>
        <w:rPr>
          <w:color w:val="000000"/>
          <w:lang w:val="fr-FR"/>
        </w:rPr>
      </w:pPr>
    </w:p>
    <w:p w14:paraId="11C9793B"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39" w:name="ArtL1_CCAP-1-A16"/>
      <w:bookmarkStart w:id="40" w:name="_Toc256000020"/>
      <w:bookmarkEnd w:id="39"/>
      <w:r>
        <w:rPr>
          <w:rFonts w:ascii="Trebuchet MS" w:eastAsia="Trebuchet MS" w:hAnsi="Trebuchet MS" w:cs="Trebuchet MS"/>
          <w:color w:val="FFFFFF"/>
          <w:sz w:val="28"/>
          <w:lang w:val="fr-FR"/>
        </w:rPr>
        <w:t>9 - Développement durable</w:t>
      </w:r>
      <w:bookmarkEnd w:id="40"/>
    </w:p>
    <w:p w14:paraId="793C8AB2" w14:textId="77777777" w:rsidR="00C45836" w:rsidRPr="00FA1439" w:rsidRDefault="00FA1439">
      <w:pPr>
        <w:spacing w:line="60" w:lineRule="exact"/>
        <w:rPr>
          <w:sz w:val="6"/>
          <w:lang w:val="fr-FR"/>
        </w:rPr>
      </w:pPr>
      <w:r w:rsidRPr="00FA1439">
        <w:rPr>
          <w:lang w:val="fr-FR"/>
        </w:rPr>
        <w:t xml:space="preserve"> </w:t>
      </w:r>
    </w:p>
    <w:p w14:paraId="22A1CCB2" w14:textId="77777777" w:rsidR="00C45836" w:rsidRDefault="00FA1439">
      <w:pPr>
        <w:pStyle w:val="ParagrapheIndent1"/>
        <w:spacing w:after="240"/>
        <w:jc w:val="both"/>
        <w:rPr>
          <w:color w:val="000000"/>
          <w:lang w:val="fr-FR"/>
        </w:rPr>
      </w:pPr>
      <w:r>
        <w:rPr>
          <w:color w:val="000000"/>
          <w:lang w:val="fr-FR"/>
        </w:rPr>
        <w:t>Il n'est prévu aucune obligation environnementale dans l'exécution du marché.</w:t>
      </w:r>
    </w:p>
    <w:p w14:paraId="34369039"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41" w:name="ArtL1_CCAP-1-A22"/>
      <w:bookmarkStart w:id="42" w:name="_Toc256000021"/>
      <w:bookmarkEnd w:id="41"/>
      <w:r>
        <w:rPr>
          <w:rFonts w:ascii="Trebuchet MS" w:eastAsia="Trebuchet MS" w:hAnsi="Trebuchet MS" w:cs="Trebuchet MS"/>
          <w:color w:val="FFFFFF"/>
          <w:sz w:val="28"/>
          <w:lang w:val="fr-FR"/>
        </w:rPr>
        <w:t>10 - Constatation de l'exécution des prestations</w:t>
      </w:r>
      <w:bookmarkEnd w:id="42"/>
    </w:p>
    <w:p w14:paraId="2C47A018" w14:textId="77777777" w:rsidR="00C45836" w:rsidRPr="00FA1439" w:rsidRDefault="00FA1439">
      <w:pPr>
        <w:spacing w:line="60" w:lineRule="exact"/>
        <w:rPr>
          <w:sz w:val="6"/>
          <w:lang w:val="fr-FR"/>
        </w:rPr>
      </w:pPr>
      <w:r w:rsidRPr="00FA1439">
        <w:rPr>
          <w:lang w:val="fr-FR"/>
        </w:rPr>
        <w:t xml:space="preserve"> </w:t>
      </w:r>
    </w:p>
    <w:p w14:paraId="52D573D6" w14:textId="77777777" w:rsidR="00C45836" w:rsidRDefault="00FA1439">
      <w:pPr>
        <w:pStyle w:val="Titre2"/>
        <w:ind w:left="280"/>
        <w:rPr>
          <w:rFonts w:ascii="Trebuchet MS" w:eastAsia="Trebuchet MS" w:hAnsi="Trebuchet MS" w:cs="Trebuchet MS"/>
          <w:i w:val="0"/>
          <w:color w:val="000000"/>
          <w:sz w:val="24"/>
          <w:lang w:val="fr-FR"/>
        </w:rPr>
      </w:pPr>
      <w:bookmarkStart w:id="43" w:name="ArtL2_CCAP-1-A22.2"/>
      <w:bookmarkStart w:id="44" w:name="_Toc256000022"/>
      <w:bookmarkEnd w:id="43"/>
      <w:r>
        <w:rPr>
          <w:rFonts w:ascii="Trebuchet MS" w:eastAsia="Trebuchet MS" w:hAnsi="Trebuchet MS" w:cs="Trebuchet MS"/>
          <w:i w:val="0"/>
          <w:color w:val="000000"/>
          <w:sz w:val="24"/>
          <w:lang w:val="fr-FR"/>
        </w:rPr>
        <w:t>10.1 - Vérifications</w:t>
      </w:r>
      <w:bookmarkEnd w:id="44"/>
    </w:p>
    <w:p w14:paraId="61C9BEA5" w14:textId="77777777" w:rsidR="00C45836" w:rsidRDefault="00FA1439">
      <w:pPr>
        <w:pStyle w:val="ParagrapheIndent2"/>
        <w:spacing w:line="232" w:lineRule="exact"/>
        <w:jc w:val="both"/>
        <w:rPr>
          <w:color w:val="000000"/>
          <w:lang w:val="fr-FR"/>
        </w:rPr>
        <w:sectPr w:rsidR="00C45836">
          <w:footerReference w:type="default" r:id="rId20"/>
          <w:pgSz w:w="11900" w:h="16840"/>
          <w:pgMar w:top="1140" w:right="1140" w:bottom="1140" w:left="1140" w:header="1140" w:footer="1140" w:gutter="0"/>
          <w:cols w:space="708"/>
        </w:sect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r>
        <w:rPr>
          <w:color w:val="000000"/>
          <w:lang w:val="fr-FR"/>
        </w:rPr>
        <w:cr/>
      </w:r>
    </w:p>
    <w:p w14:paraId="13A39AFB" w14:textId="77777777" w:rsidR="00C45836" w:rsidRDefault="00FA1439">
      <w:pPr>
        <w:pStyle w:val="Titre2"/>
        <w:ind w:left="280"/>
        <w:rPr>
          <w:rFonts w:ascii="Trebuchet MS" w:eastAsia="Trebuchet MS" w:hAnsi="Trebuchet MS" w:cs="Trebuchet MS"/>
          <w:i w:val="0"/>
          <w:color w:val="000000"/>
          <w:sz w:val="24"/>
          <w:lang w:val="fr-FR"/>
        </w:rPr>
      </w:pPr>
      <w:bookmarkStart w:id="45" w:name="ArtL2_CCAP-1-A22.6"/>
      <w:bookmarkStart w:id="46" w:name="_Toc256000023"/>
      <w:bookmarkEnd w:id="45"/>
      <w:r>
        <w:rPr>
          <w:rFonts w:ascii="Trebuchet MS" w:eastAsia="Trebuchet MS" w:hAnsi="Trebuchet MS" w:cs="Trebuchet MS"/>
          <w:i w:val="0"/>
          <w:color w:val="000000"/>
          <w:sz w:val="24"/>
          <w:lang w:val="fr-FR"/>
        </w:rPr>
        <w:lastRenderedPageBreak/>
        <w:t>10.2 - Décision après vérification</w:t>
      </w:r>
      <w:bookmarkEnd w:id="46"/>
    </w:p>
    <w:p w14:paraId="067D5D43" w14:textId="77777777" w:rsidR="00C45836" w:rsidRDefault="00FA1439">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14:paraId="126F9129"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47" w:name="ArtL1_CCAP-1-A23"/>
      <w:bookmarkStart w:id="48" w:name="_Toc256000024"/>
      <w:bookmarkEnd w:id="47"/>
      <w:r>
        <w:rPr>
          <w:rFonts w:ascii="Trebuchet MS" w:eastAsia="Trebuchet MS" w:hAnsi="Trebuchet MS" w:cs="Trebuchet MS"/>
          <w:color w:val="FFFFFF"/>
          <w:sz w:val="28"/>
          <w:lang w:val="fr-FR"/>
        </w:rPr>
        <w:t>11 - Garantie des prestations</w:t>
      </w:r>
      <w:bookmarkEnd w:id="48"/>
    </w:p>
    <w:p w14:paraId="5D207FC0" w14:textId="77777777" w:rsidR="00C45836" w:rsidRPr="00FA1439" w:rsidRDefault="00FA1439">
      <w:pPr>
        <w:spacing w:line="60" w:lineRule="exact"/>
        <w:rPr>
          <w:sz w:val="6"/>
          <w:lang w:val="fr-FR"/>
        </w:rPr>
      </w:pPr>
      <w:r w:rsidRPr="00FA1439">
        <w:rPr>
          <w:lang w:val="fr-FR"/>
        </w:rPr>
        <w:t xml:space="preserve"> </w:t>
      </w:r>
    </w:p>
    <w:p w14:paraId="42D1C8E2" w14:textId="77777777" w:rsidR="00C45836" w:rsidRDefault="00FA1439">
      <w:pPr>
        <w:pStyle w:val="ParagrapheIndent1"/>
        <w:spacing w:line="232" w:lineRule="exact"/>
        <w:jc w:val="both"/>
        <w:rPr>
          <w:color w:val="000000"/>
          <w:lang w:val="fr-FR"/>
        </w:rPr>
      </w:pPr>
      <w:r>
        <w:rPr>
          <w:color w:val="000000"/>
          <w:lang w:val="fr-FR"/>
        </w:rPr>
        <w:t>Les prestations feront l'objet d'une garantie de 2 ans dont le point de départ est la date de notification de la décision d'admission.</w:t>
      </w:r>
    </w:p>
    <w:p w14:paraId="051461AB" w14:textId="77777777" w:rsidR="00C45836" w:rsidRDefault="00C45836">
      <w:pPr>
        <w:pStyle w:val="ParagrapheIndent1"/>
        <w:spacing w:line="232" w:lineRule="exact"/>
        <w:jc w:val="both"/>
        <w:rPr>
          <w:color w:val="000000"/>
          <w:lang w:val="fr-FR"/>
        </w:rPr>
      </w:pPr>
    </w:p>
    <w:p w14:paraId="79F38F3F" w14:textId="77777777" w:rsidR="00C45836" w:rsidRDefault="00FA1439">
      <w:pPr>
        <w:pStyle w:val="ParagrapheIndent1"/>
        <w:spacing w:line="232" w:lineRule="exact"/>
        <w:jc w:val="both"/>
        <w:rPr>
          <w:color w:val="000000"/>
          <w:lang w:val="fr-FR"/>
        </w:rPr>
      </w:pPr>
      <w:r>
        <w:rPr>
          <w:color w:val="000000"/>
          <w:lang w:val="fr-FR"/>
        </w:rPr>
        <w:t>Les modalités de cette garantie sont les suivantes :</w:t>
      </w:r>
    </w:p>
    <w:p w14:paraId="0FCB5196" w14:textId="77777777" w:rsidR="00C45836" w:rsidRDefault="00FA1439">
      <w:pPr>
        <w:pStyle w:val="ParagrapheIndent1"/>
        <w:spacing w:after="240" w:line="232" w:lineRule="exact"/>
        <w:jc w:val="both"/>
        <w:rPr>
          <w:color w:val="000000"/>
          <w:lang w:val="fr-FR"/>
        </w:rPr>
      </w:pPr>
      <w:r>
        <w:rPr>
          <w:color w:val="000000"/>
          <w:lang w:val="fr-FR"/>
        </w:rPr>
        <w:t>Les candidats détailleront dans leur offre les conditions de garantie qu’ils proposent, considérant que les prestations doivent faire l’objet d'une garantie de 24 mois minimum. Le point de départ est la date de notification de réception d’acceptance de l’appareil à la suite des tests. La garantie doit couvrir les pièces, la main d’œuvre et les déplacements.</w:t>
      </w:r>
    </w:p>
    <w:p w14:paraId="060597FA"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49" w:name="ArtL1_CCAP-1-A30"/>
      <w:bookmarkStart w:id="50" w:name="_Toc256000025"/>
      <w:bookmarkEnd w:id="49"/>
      <w:r>
        <w:rPr>
          <w:rFonts w:ascii="Trebuchet MS" w:eastAsia="Trebuchet MS" w:hAnsi="Trebuchet MS" w:cs="Trebuchet MS"/>
          <w:color w:val="FFFFFF"/>
          <w:sz w:val="28"/>
          <w:lang w:val="fr-FR"/>
        </w:rPr>
        <w:t>12 - Pénalités</w:t>
      </w:r>
      <w:bookmarkEnd w:id="50"/>
    </w:p>
    <w:p w14:paraId="1FA3F2F1" w14:textId="77777777" w:rsidR="00C45836" w:rsidRPr="00FA1439" w:rsidRDefault="00FA1439">
      <w:pPr>
        <w:spacing w:line="60" w:lineRule="exact"/>
        <w:rPr>
          <w:sz w:val="6"/>
          <w:lang w:val="fr-FR"/>
        </w:rPr>
      </w:pPr>
      <w:r w:rsidRPr="00FA1439">
        <w:rPr>
          <w:lang w:val="fr-FR"/>
        </w:rPr>
        <w:t xml:space="preserve"> </w:t>
      </w:r>
    </w:p>
    <w:p w14:paraId="6FABC5F7" w14:textId="77777777" w:rsidR="00C45836" w:rsidRDefault="00FA1439">
      <w:pPr>
        <w:pStyle w:val="Titre2"/>
        <w:ind w:left="280"/>
        <w:rPr>
          <w:rFonts w:ascii="Trebuchet MS" w:eastAsia="Trebuchet MS" w:hAnsi="Trebuchet MS" w:cs="Trebuchet MS"/>
          <w:i w:val="0"/>
          <w:color w:val="000000"/>
          <w:sz w:val="24"/>
          <w:lang w:val="fr-FR"/>
        </w:rPr>
      </w:pPr>
      <w:bookmarkStart w:id="51" w:name="ArtL2_CCAP-1-A30.1"/>
      <w:bookmarkStart w:id="52" w:name="_Toc256000026"/>
      <w:bookmarkEnd w:id="51"/>
      <w:r>
        <w:rPr>
          <w:rFonts w:ascii="Trebuchet MS" w:eastAsia="Trebuchet MS" w:hAnsi="Trebuchet MS" w:cs="Trebuchet MS"/>
          <w:i w:val="0"/>
          <w:color w:val="000000"/>
          <w:sz w:val="24"/>
          <w:lang w:val="fr-FR"/>
        </w:rPr>
        <w:t>12.1 - Pénalités de retard</w:t>
      </w:r>
      <w:bookmarkEnd w:id="52"/>
    </w:p>
    <w:p w14:paraId="2BD67A56" w14:textId="77777777" w:rsidR="00C45836" w:rsidRDefault="00FA1439">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1,00/1000, conformément aux stipulations de l'article 14.1.1 du CCAG-FCS.</w:t>
      </w:r>
    </w:p>
    <w:p w14:paraId="5E1FF468" w14:textId="77777777" w:rsidR="00C45836" w:rsidRDefault="00FA1439">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14:paraId="0AF01858" w14:textId="77777777" w:rsidR="00C45836" w:rsidRDefault="00FA1439">
      <w:pPr>
        <w:pStyle w:val="ParagrapheIndent2"/>
        <w:spacing w:after="240"/>
        <w:jc w:val="both"/>
        <w:rPr>
          <w:color w:val="000000"/>
          <w:lang w:val="fr-FR"/>
        </w:rPr>
      </w:pPr>
      <w:r>
        <w:rPr>
          <w:color w:val="000000"/>
          <w:lang w:val="fr-FR"/>
        </w:rPr>
        <w:t>Le montant total des pénalités de retard n'est pas plafonné.</w:t>
      </w:r>
    </w:p>
    <w:p w14:paraId="37E2A449" w14:textId="77777777" w:rsidR="00C45836" w:rsidRDefault="00FA1439">
      <w:pPr>
        <w:pStyle w:val="ParagrapheIndent2"/>
        <w:spacing w:after="240"/>
        <w:jc w:val="both"/>
        <w:rPr>
          <w:color w:val="000000"/>
          <w:lang w:val="fr-FR"/>
        </w:rPr>
      </w:pPr>
      <w:r>
        <w:rPr>
          <w:color w:val="000000"/>
          <w:lang w:val="fr-FR"/>
        </w:rPr>
        <w:t>Les pénalités de retard sont appliquées sans mise en demeure préalable du titulaire.</w:t>
      </w:r>
    </w:p>
    <w:p w14:paraId="0CC566D4" w14:textId="77777777" w:rsidR="00C45836" w:rsidRDefault="00FA1439">
      <w:pPr>
        <w:pStyle w:val="Titre2"/>
        <w:ind w:left="280"/>
        <w:rPr>
          <w:rFonts w:ascii="Trebuchet MS" w:eastAsia="Trebuchet MS" w:hAnsi="Trebuchet MS" w:cs="Trebuchet MS"/>
          <w:i w:val="0"/>
          <w:color w:val="000000"/>
          <w:sz w:val="24"/>
          <w:lang w:val="fr-FR"/>
        </w:rPr>
      </w:pPr>
      <w:bookmarkStart w:id="53" w:name="ArtL2_CCAP-1-A30.3"/>
      <w:bookmarkStart w:id="54" w:name="_Toc256000027"/>
      <w:bookmarkEnd w:id="53"/>
      <w:r>
        <w:rPr>
          <w:rFonts w:ascii="Trebuchet MS" w:eastAsia="Trebuchet MS" w:hAnsi="Trebuchet MS" w:cs="Trebuchet MS"/>
          <w:i w:val="0"/>
          <w:color w:val="000000"/>
          <w:sz w:val="24"/>
          <w:lang w:val="fr-FR"/>
        </w:rPr>
        <w:t>12.2 - Pénalité pour travail dissimulé</w:t>
      </w:r>
      <w:bookmarkEnd w:id="54"/>
    </w:p>
    <w:p w14:paraId="0C06927C" w14:textId="77777777" w:rsidR="00C45836" w:rsidRDefault="00FA1439">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correspondant à 5,00 % du montant TTC du marché.</w:t>
      </w:r>
    </w:p>
    <w:p w14:paraId="732E4CC0" w14:textId="77777777" w:rsidR="00C45836" w:rsidRDefault="00FA1439">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52435A4F"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55" w:name="ArtL1_CCAP-1-A32"/>
      <w:bookmarkStart w:id="56" w:name="_Toc256000028"/>
      <w:bookmarkEnd w:id="55"/>
      <w:r>
        <w:rPr>
          <w:rFonts w:ascii="Trebuchet MS" w:eastAsia="Trebuchet MS" w:hAnsi="Trebuchet MS" w:cs="Trebuchet MS"/>
          <w:color w:val="FFFFFF"/>
          <w:sz w:val="28"/>
          <w:lang w:val="fr-FR"/>
        </w:rPr>
        <w:t>13 - Assurances</w:t>
      </w:r>
      <w:bookmarkEnd w:id="56"/>
    </w:p>
    <w:p w14:paraId="7CEC6C93" w14:textId="77777777" w:rsidR="00C45836" w:rsidRPr="00FA1439" w:rsidRDefault="00FA1439">
      <w:pPr>
        <w:spacing w:line="60" w:lineRule="exact"/>
        <w:rPr>
          <w:sz w:val="6"/>
          <w:lang w:val="fr-FR"/>
        </w:rPr>
      </w:pPr>
      <w:r w:rsidRPr="00FA1439">
        <w:rPr>
          <w:lang w:val="fr-FR"/>
        </w:rPr>
        <w:t xml:space="preserve"> </w:t>
      </w:r>
    </w:p>
    <w:p w14:paraId="150E487A" w14:textId="77777777" w:rsidR="00C45836" w:rsidRDefault="00FA1439">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5FFF3A93"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57" w:name="ArtL1_CCAP-1-A34"/>
      <w:bookmarkStart w:id="58" w:name="_Toc256000029"/>
      <w:bookmarkEnd w:id="57"/>
      <w:r>
        <w:rPr>
          <w:rFonts w:ascii="Trebuchet MS" w:eastAsia="Trebuchet MS" w:hAnsi="Trebuchet MS" w:cs="Trebuchet MS"/>
          <w:color w:val="FFFFFF"/>
          <w:sz w:val="28"/>
          <w:lang w:val="fr-FR"/>
        </w:rPr>
        <w:t>14 - Résiliation du contrat</w:t>
      </w:r>
      <w:bookmarkEnd w:id="58"/>
    </w:p>
    <w:p w14:paraId="5D76F377" w14:textId="77777777" w:rsidR="00C45836" w:rsidRPr="00FA1439" w:rsidRDefault="00FA1439">
      <w:pPr>
        <w:spacing w:line="60" w:lineRule="exact"/>
        <w:rPr>
          <w:sz w:val="6"/>
          <w:lang w:val="fr-FR"/>
        </w:rPr>
      </w:pPr>
      <w:r w:rsidRPr="00FA1439">
        <w:rPr>
          <w:lang w:val="fr-FR"/>
        </w:rPr>
        <w:t xml:space="preserve"> </w:t>
      </w:r>
    </w:p>
    <w:p w14:paraId="376702CF" w14:textId="77777777" w:rsidR="00C45836" w:rsidRDefault="00FA1439">
      <w:pPr>
        <w:pStyle w:val="Titre2"/>
        <w:ind w:left="280"/>
        <w:rPr>
          <w:rFonts w:ascii="Trebuchet MS" w:eastAsia="Trebuchet MS" w:hAnsi="Trebuchet MS" w:cs="Trebuchet MS"/>
          <w:i w:val="0"/>
          <w:color w:val="000000"/>
          <w:sz w:val="24"/>
          <w:lang w:val="fr-FR"/>
        </w:rPr>
      </w:pPr>
      <w:bookmarkStart w:id="59" w:name="ArtL2_CCAP-1-A34.2"/>
      <w:bookmarkStart w:id="60" w:name="_Toc256000030"/>
      <w:bookmarkEnd w:id="59"/>
      <w:r>
        <w:rPr>
          <w:rFonts w:ascii="Trebuchet MS" w:eastAsia="Trebuchet MS" w:hAnsi="Trebuchet MS" w:cs="Trebuchet MS"/>
          <w:i w:val="0"/>
          <w:color w:val="000000"/>
          <w:sz w:val="24"/>
          <w:lang w:val="fr-FR"/>
        </w:rPr>
        <w:t>14.1 - Conditions de résiliation</w:t>
      </w:r>
      <w:bookmarkEnd w:id="60"/>
    </w:p>
    <w:p w14:paraId="05E38C3B" w14:textId="77777777" w:rsidR="00C45836" w:rsidRDefault="00FA1439">
      <w:pPr>
        <w:pStyle w:val="ParagrapheIndent2"/>
        <w:spacing w:after="240"/>
        <w:jc w:val="both"/>
        <w:rPr>
          <w:color w:val="000000"/>
          <w:lang w:val="fr-FR"/>
        </w:rPr>
      </w:pPr>
      <w:r>
        <w:rPr>
          <w:color w:val="000000"/>
          <w:lang w:val="fr-FR"/>
        </w:rPr>
        <w:t>Les conditions de résiliation du marché sont définies aux articles 38 à 45 du CCAG-FCS.</w:t>
      </w:r>
    </w:p>
    <w:p w14:paraId="05875C6C" w14:textId="77777777" w:rsidR="00C45836" w:rsidRDefault="00FA1439">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34F15C6C" w14:textId="77777777" w:rsidR="00C45836" w:rsidRDefault="00FA1439">
      <w:pPr>
        <w:pStyle w:val="ParagrapheIndent2"/>
        <w:spacing w:after="40" w:line="232" w:lineRule="exact"/>
        <w:jc w:val="both"/>
        <w:rPr>
          <w:color w:val="000000"/>
          <w:lang w:val="fr-FR"/>
        </w:rPr>
        <w:sectPr w:rsidR="00C45836">
          <w:footerReference w:type="default" r:id="rId21"/>
          <w:pgSz w:w="11900" w:h="16840"/>
          <w:pgMar w:top="1140" w:right="1140" w:bottom="1140" w:left="1140" w:header="1140" w:footer="1140" w:gutter="0"/>
          <w:cols w:space="708"/>
        </w:sectPr>
      </w:pPr>
      <w:r>
        <w:rPr>
          <w:color w:val="000000"/>
          <w:lang w:val="fr-FR"/>
        </w:rPr>
        <w:t xml:space="preserve">En cas d'inexactitude des documents et renseignements mentionnés aux articles R. 2143-3 et R. 2143-6 à R. 2143-10 du Code de la commande publique, ou de refus de produire les pièces prévues aux articles R. </w:t>
      </w:r>
      <w:r>
        <w:rPr>
          <w:color w:val="000000"/>
          <w:lang w:val="fr-FR"/>
        </w:rPr>
        <w:cr/>
      </w:r>
    </w:p>
    <w:p w14:paraId="2A737620" w14:textId="77777777" w:rsidR="00C45836" w:rsidRDefault="00FA1439">
      <w:pPr>
        <w:pStyle w:val="ParagrapheIndent2"/>
        <w:spacing w:after="240" w:line="232" w:lineRule="exact"/>
        <w:jc w:val="both"/>
        <w:rPr>
          <w:color w:val="000000"/>
          <w:lang w:val="fr-FR"/>
        </w:rPr>
      </w:pPr>
      <w:r>
        <w:rPr>
          <w:color w:val="000000"/>
          <w:lang w:val="fr-FR"/>
        </w:rPr>
        <w:lastRenderedPageBreak/>
        <w:t>1263-12, D. 8222-5 ou D. 8222-7 ou D. 8254-2 à D. 8254-5 du Code du travail conformément à l'article R. 2143-8 du Code de la commande publique, le contrat sera résilié aux torts du titulaire.</w:t>
      </w:r>
    </w:p>
    <w:p w14:paraId="2A8769C4" w14:textId="77777777" w:rsidR="00C45836" w:rsidRDefault="00FA1439">
      <w:pPr>
        <w:pStyle w:val="Titre2"/>
        <w:ind w:left="280"/>
        <w:rPr>
          <w:rFonts w:ascii="Trebuchet MS" w:eastAsia="Trebuchet MS" w:hAnsi="Trebuchet MS" w:cs="Trebuchet MS"/>
          <w:i w:val="0"/>
          <w:color w:val="000000"/>
          <w:sz w:val="24"/>
          <w:lang w:val="fr-FR"/>
        </w:rPr>
      </w:pPr>
      <w:bookmarkStart w:id="61" w:name="ArtL2_CCAP-1-A34.3"/>
      <w:bookmarkStart w:id="62" w:name="_Toc256000031"/>
      <w:bookmarkEnd w:id="61"/>
      <w:r>
        <w:rPr>
          <w:rFonts w:ascii="Trebuchet MS" w:eastAsia="Trebuchet MS" w:hAnsi="Trebuchet MS" w:cs="Trebuchet MS"/>
          <w:i w:val="0"/>
          <w:color w:val="000000"/>
          <w:sz w:val="24"/>
          <w:lang w:val="fr-FR"/>
        </w:rPr>
        <w:t>14.2 - Redressement ou liquidation judiciaire</w:t>
      </w:r>
      <w:bookmarkEnd w:id="62"/>
    </w:p>
    <w:p w14:paraId="27F14A43" w14:textId="77777777" w:rsidR="00C45836" w:rsidRDefault="00FA1439">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6EBABFCF" w14:textId="77777777" w:rsidR="00C45836" w:rsidRDefault="00C45836">
      <w:pPr>
        <w:pStyle w:val="ParagrapheIndent2"/>
        <w:spacing w:line="232" w:lineRule="exact"/>
        <w:jc w:val="both"/>
        <w:rPr>
          <w:color w:val="000000"/>
          <w:lang w:val="fr-FR"/>
        </w:rPr>
      </w:pPr>
    </w:p>
    <w:p w14:paraId="0D5D4F61" w14:textId="77777777" w:rsidR="00C45836" w:rsidRDefault="00FA1439">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FBAF45C" w14:textId="77777777" w:rsidR="00C45836" w:rsidRDefault="00C45836">
      <w:pPr>
        <w:pStyle w:val="ParagrapheIndent2"/>
        <w:spacing w:line="232" w:lineRule="exact"/>
        <w:jc w:val="both"/>
        <w:rPr>
          <w:color w:val="000000"/>
          <w:lang w:val="fr-FR"/>
        </w:rPr>
      </w:pPr>
    </w:p>
    <w:p w14:paraId="523D4922" w14:textId="77777777" w:rsidR="00C45836" w:rsidRDefault="00FA1439">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42B83C8" w14:textId="77777777" w:rsidR="00C45836" w:rsidRDefault="00C45836">
      <w:pPr>
        <w:pStyle w:val="ParagrapheIndent2"/>
        <w:spacing w:line="232" w:lineRule="exact"/>
        <w:jc w:val="both"/>
        <w:rPr>
          <w:color w:val="000000"/>
          <w:lang w:val="fr-FR"/>
        </w:rPr>
      </w:pPr>
    </w:p>
    <w:p w14:paraId="646B4EBE" w14:textId="77777777" w:rsidR="00C45836" w:rsidRDefault="00FA1439">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03B8CCFB"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63" w:name="ArtL1_CCAP-1-A35"/>
      <w:bookmarkStart w:id="64" w:name="_Toc256000032"/>
      <w:bookmarkEnd w:id="63"/>
      <w:r>
        <w:rPr>
          <w:rFonts w:ascii="Trebuchet MS" w:eastAsia="Trebuchet MS" w:hAnsi="Trebuchet MS" w:cs="Trebuchet MS"/>
          <w:color w:val="FFFFFF"/>
          <w:sz w:val="28"/>
          <w:lang w:val="fr-FR"/>
        </w:rPr>
        <w:t>15 - Règlement des litiges et langues</w:t>
      </w:r>
      <w:bookmarkEnd w:id="64"/>
    </w:p>
    <w:p w14:paraId="639C799F" w14:textId="77777777" w:rsidR="00C45836" w:rsidRPr="00FA1439" w:rsidRDefault="00FA1439">
      <w:pPr>
        <w:spacing w:line="60" w:lineRule="exact"/>
        <w:rPr>
          <w:sz w:val="6"/>
          <w:lang w:val="fr-FR"/>
        </w:rPr>
      </w:pPr>
      <w:r w:rsidRPr="00FA1439">
        <w:rPr>
          <w:lang w:val="fr-FR"/>
        </w:rPr>
        <w:t xml:space="preserve"> </w:t>
      </w:r>
    </w:p>
    <w:p w14:paraId="04F2AAB2" w14:textId="77777777" w:rsidR="00C45836" w:rsidRDefault="00FA1439">
      <w:pPr>
        <w:pStyle w:val="ParagrapheIndent1"/>
        <w:spacing w:after="240"/>
        <w:jc w:val="both"/>
        <w:rPr>
          <w:color w:val="000000"/>
          <w:lang w:val="fr-FR"/>
        </w:rPr>
      </w:pPr>
      <w:r>
        <w:rPr>
          <w:color w:val="000000"/>
          <w:lang w:val="fr-FR"/>
        </w:rPr>
        <w:t>En cas de litige, seul le Tribunal Administratif de Caen est compétent en la matière.</w:t>
      </w:r>
    </w:p>
    <w:p w14:paraId="6C8B31A6" w14:textId="77777777" w:rsidR="00C45836" w:rsidRDefault="00FA1439">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32FC95FB" w14:textId="77777777" w:rsidR="00C45836" w:rsidRDefault="00FA1439">
      <w:pPr>
        <w:pStyle w:val="Titre1"/>
        <w:shd w:val="clear" w:color="FD2456" w:fill="FD2456"/>
        <w:rPr>
          <w:rFonts w:ascii="Trebuchet MS" w:eastAsia="Trebuchet MS" w:hAnsi="Trebuchet MS" w:cs="Trebuchet MS"/>
          <w:color w:val="FFFFFF"/>
          <w:sz w:val="28"/>
          <w:lang w:val="fr-FR"/>
        </w:rPr>
      </w:pPr>
      <w:bookmarkStart w:id="65" w:name="ArtL1_CCAP-1-A38"/>
      <w:bookmarkStart w:id="66" w:name="_Toc256000033"/>
      <w:bookmarkEnd w:id="65"/>
      <w:r>
        <w:rPr>
          <w:rFonts w:ascii="Trebuchet MS" w:eastAsia="Trebuchet MS" w:hAnsi="Trebuchet MS" w:cs="Trebuchet MS"/>
          <w:color w:val="FFFFFF"/>
          <w:sz w:val="28"/>
          <w:lang w:val="fr-FR"/>
        </w:rPr>
        <w:t>16 - Dérogations</w:t>
      </w:r>
      <w:bookmarkEnd w:id="66"/>
    </w:p>
    <w:p w14:paraId="1F128E96" w14:textId="77777777" w:rsidR="00C45836" w:rsidRPr="00FA1439" w:rsidRDefault="00FA1439">
      <w:pPr>
        <w:spacing w:line="60" w:lineRule="exact"/>
        <w:rPr>
          <w:sz w:val="6"/>
          <w:lang w:val="fr-FR"/>
        </w:rPr>
      </w:pPr>
      <w:r w:rsidRPr="00FA1439">
        <w:rPr>
          <w:lang w:val="fr-FR"/>
        </w:rPr>
        <w:t xml:space="preserve"> </w:t>
      </w:r>
    </w:p>
    <w:p w14:paraId="25F4C026" w14:textId="77777777" w:rsidR="00C45836" w:rsidRDefault="00FA1439">
      <w:pPr>
        <w:pStyle w:val="ParagrapheIndent1"/>
        <w:spacing w:line="232" w:lineRule="exact"/>
        <w:jc w:val="both"/>
        <w:rPr>
          <w:color w:val="000000"/>
          <w:lang w:val="fr-FR"/>
        </w:rPr>
      </w:pPr>
      <w:r>
        <w:rPr>
          <w:color w:val="000000"/>
          <w:lang w:val="fr-FR"/>
        </w:rPr>
        <w:t>- L'article 9 du CCAP déroge à l'article 16.2 du CCAG - Fournitures Courantes et Services 2021</w:t>
      </w:r>
    </w:p>
    <w:p w14:paraId="397C395D" w14:textId="77777777" w:rsidR="00C45836" w:rsidRDefault="00FA1439">
      <w:pPr>
        <w:pStyle w:val="ParagrapheIndent1"/>
        <w:spacing w:line="232" w:lineRule="exact"/>
        <w:jc w:val="both"/>
        <w:rPr>
          <w:color w:val="000000"/>
          <w:lang w:val="fr-FR"/>
        </w:rPr>
      </w:pPr>
      <w:r>
        <w:rPr>
          <w:color w:val="000000"/>
          <w:lang w:val="fr-FR"/>
        </w:rPr>
        <w:t>- L'article 11 du CCAP déroge à l'article 33 du CCAG - Fournitures Courantes et Services</w:t>
      </w:r>
    </w:p>
    <w:p w14:paraId="6DB16A2B" w14:textId="77777777" w:rsidR="00C45836" w:rsidRDefault="00FA1439">
      <w:pPr>
        <w:pStyle w:val="ParagrapheIndent1"/>
        <w:spacing w:line="232" w:lineRule="exact"/>
        <w:jc w:val="both"/>
        <w:rPr>
          <w:color w:val="000000"/>
          <w:lang w:val="fr-FR"/>
        </w:rPr>
      </w:pPr>
      <w:r>
        <w:rPr>
          <w:color w:val="000000"/>
          <w:lang w:val="fr-FR"/>
        </w:rPr>
        <w:t>- L'article 12.1 du CCAP déroge à l'article 14.1.3 du CCAG - Fournitures Courantes et Services</w:t>
      </w:r>
    </w:p>
    <w:p w14:paraId="4A42D51A" w14:textId="77777777" w:rsidR="00C45836" w:rsidRDefault="00FA1439">
      <w:pPr>
        <w:pStyle w:val="ParagrapheIndent1"/>
        <w:spacing w:line="232" w:lineRule="exact"/>
        <w:jc w:val="both"/>
        <w:rPr>
          <w:color w:val="000000"/>
          <w:lang w:val="fr-FR"/>
        </w:rPr>
      </w:pPr>
      <w:r>
        <w:rPr>
          <w:color w:val="000000"/>
          <w:lang w:val="fr-FR"/>
        </w:rPr>
        <w:t>- L'article 12.1 du CCAP déroge à l'article 14.1.2 du CCAG - Fournitures Courantes et Services</w:t>
      </w:r>
    </w:p>
    <w:p w14:paraId="00F62C6D" w14:textId="77777777" w:rsidR="00C45836" w:rsidRDefault="00FA1439">
      <w:pPr>
        <w:pStyle w:val="ParagrapheIndent1"/>
        <w:spacing w:line="232" w:lineRule="exact"/>
        <w:jc w:val="both"/>
        <w:rPr>
          <w:color w:val="000000"/>
          <w:lang w:val="fr-FR"/>
        </w:rPr>
      </w:pPr>
      <w:r>
        <w:rPr>
          <w:color w:val="000000"/>
          <w:lang w:val="fr-FR"/>
        </w:rPr>
        <w:t>- L'article 12.1 du CCAP déroge à l'article 14.1.1 alinéa 2 du CCAG - Fournitures Courantes et Services</w:t>
      </w:r>
    </w:p>
    <w:p w14:paraId="7F130D3D" w14:textId="77777777" w:rsidR="00C45836" w:rsidRDefault="00C45836">
      <w:pPr>
        <w:pStyle w:val="ParagrapheIndent1"/>
        <w:spacing w:line="232" w:lineRule="exact"/>
        <w:jc w:val="both"/>
        <w:rPr>
          <w:color w:val="000000"/>
          <w:lang w:val="fr-FR"/>
        </w:rPr>
      </w:pPr>
    </w:p>
    <w:sectPr w:rsidR="00C45836">
      <w:footerReference w:type="default" r:id="rId2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DA9A4" w14:textId="77777777" w:rsidR="00FA1439" w:rsidRDefault="00FA1439">
      <w:r>
        <w:separator/>
      </w:r>
    </w:p>
  </w:endnote>
  <w:endnote w:type="continuationSeparator" w:id="0">
    <w:p w14:paraId="54D7428C" w14:textId="77777777" w:rsidR="00FA1439" w:rsidRDefault="00FA1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240A6" w14:textId="77777777" w:rsidR="00C45836" w:rsidRDefault="00C45836">
    <w:pPr>
      <w:spacing w:line="240" w:lineRule="exact"/>
    </w:pPr>
  </w:p>
  <w:tbl>
    <w:tblPr>
      <w:tblW w:w="0" w:type="auto"/>
      <w:tblLayout w:type="fixed"/>
      <w:tblLook w:val="04A0" w:firstRow="1" w:lastRow="0" w:firstColumn="1" w:lastColumn="0" w:noHBand="0" w:noVBand="1"/>
    </w:tblPr>
    <w:tblGrid>
      <w:gridCol w:w="5220"/>
      <w:gridCol w:w="4400"/>
    </w:tblGrid>
    <w:tr w:rsidR="00C45836" w14:paraId="664060DC" w14:textId="77777777">
      <w:trPr>
        <w:trHeight w:val="245"/>
      </w:trPr>
      <w:tc>
        <w:tcPr>
          <w:tcW w:w="5220" w:type="dxa"/>
          <w:tcMar>
            <w:top w:w="0" w:type="dxa"/>
            <w:left w:w="0" w:type="dxa"/>
            <w:bottom w:w="0" w:type="dxa"/>
            <w:right w:w="0" w:type="dxa"/>
          </w:tcMar>
          <w:vAlign w:val="center"/>
        </w:tcPr>
        <w:p w14:paraId="3716F772" w14:textId="77777777" w:rsidR="00C45836" w:rsidRDefault="00FA143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25CRIFOAS001</w:t>
          </w:r>
        </w:p>
      </w:tc>
      <w:tc>
        <w:tcPr>
          <w:tcW w:w="4400" w:type="dxa"/>
          <w:tcMar>
            <w:top w:w="0" w:type="dxa"/>
            <w:left w:w="0" w:type="dxa"/>
            <w:bottom w:w="0" w:type="dxa"/>
            <w:right w:w="0" w:type="dxa"/>
          </w:tcMar>
          <w:vAlign w:val="center"/>
        </w:tcPr>
        <w:p w14:paraId="071FB3C6" w14:textId="77777777" w:rsidR="00C45836" w:rsidRDefault="00FA143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D209F" w14:textId="77777777" w:rsidR="00C45836" w:rsidRDefault="00C45836">
    <w:pPr>
      <w:spacing w:line="240" w:lineRule="exact"/>
    </w:pPr>
  </w:p>
  <w:tbl>
    <w:tblPr>
      <w:tblW w:w="0" w:type="auto"/>
      <w:tblLayout w:type="fixed"/>
      <w:tblLook w:val="04A0" w:firstRow="1" w:lastRow="0" w:firstColumn="1" w:lastColumn="0" w:noHBand="0" w:noVBand="1"/>
    </w:tblPr>
    <w:tblGrid>
      <w:gridCol w:w="5220"/>
      <w:gridCol w:w="4400"/>
    </w:tblGrid>
    <w:tr w:rsidR="00C45836" w14:paraId="674FCC48" w14:textId="77777777">
      <w:trPr>
        <w:trHeight w:val="245"/>
      </w:trPr>
      <w:tc>
        <w:tcPr>
          <w:tcW w:w="5220" w:type="dxa"/>
          <w:tcMar>
            <w:top w:w="0" w:type="dxa"/>
            <w:left w:w="0" w:type="dxa"/>
            <w:bottom w:w="0" w:type="dxa"/>
            <w:right w:w="0" w:type="dxa"/>
          </w:tcMar>
          <w:vAlign w:val="center"/>
        </w:tcPr>
        <w:p w14:paraId="79194CA0" w14:textId="77777777" w:rsidR="00C45836" w:rsidRDefault="00FA143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25CRIFOAS001</w:t>
          </w:r>
        </w:p>
      </w:tc>
      <w:tc>
        <w:tcPr>
          <w:tcW w:w="4400" w:type="dxa"/>
          <w:tcMar>
            <w:top w:w="0" w:type="dxa"/>
            <w:left w:w="0" w:type="dxa"/>
            <w:bottom w:w="0" w:type="dxa"/>
            <w:right w:w="0" w:type="dxa"/>
          </w:tcMar>
          <w:vAlign w:val="center"/>
        </w:tcPr>
        <w:p w14:paraId="5A9D804C" w14:textId="77777777" w:rsidR="00C45836" w:rsidRDefault="00FA143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11985" w14:textId="77777777" w:rsidR="00C45836" w:rsidRDefault="00C45836">
    <w:pPr>
      <w:spacing w:line="240" w:lineRule="exact"/>
    </w:pPr>
  </w:p>
  <w:tbl>
    <w:tblPr>
      <w:tblW w:w="0" w:type="auto"/>
      <w:tblLayout w:type="fixed"/>
      <w:tblLook w:val="04A0" w:firstRow="1" w:lastRow="0" w:firstColumn="1" w:lastColumn="0" w:noHBand="0" w:noVBand="1"/>
    </w:tblPr>
    <w:tblGrid>
      <w:gridCol w:w="5220"/>
      <w:gridCol w:w="4400"/>
    </w:tblGrid>
    <w:tr w:rsidR="00C45836" w14:paraId="75D6F5D5" w14:textId="77777777">
      <w:trPr>
        <w:trHeight w:val="245"/>
      </w:trPr>
      <w:tc>
        <w:tcPr>
          <w:tcW w:w="5220" w:type="dxa"/>
          <w:tcMar>
            <w:top w:w="0" w:type="dxa"/>
            <w:left w:w="0" w:type="dxa"/>
            <w:bottom w:w="0" w:type="dxa"/>
            <w:right w:w="0" w:type="dxa"/>
          </w:tcMar>
          <w:vAlign w:val="center"/>
        </w:tcPr>
        <w:p w14:paraId="3D8CCF12" w14:textId="77777777" w:rsidR="00C45836" w:rsidRDefault="00FA143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25CRIFOAS001</w:t>
          </w:r>
        </w:p>
      </w:tc>
      <w:tc>
        <w:tcPr>
          <w:tcW w:w="4400" w:type="dxa"/>
          <w:tcMar>
            <w:top w:w="0" w:type="dxa"/>
            <w:left w:w="0" w:type="dxa"/>
            <w:bottom w:w="0" w:type="dxa"/>
            <w:right w:w="0" w:type="dxa"/>
          </w:tcMar>
          <w:vAlign w:val="center"/>
        </w:tcPr>
        <w:p w14:paraId="5DF0B184" w14:textId="77777777" w:rsidR="00C45836" w:rsidRDefault="00FA143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1CAFC" w14:textId="77777777" w:rsidR="00C45836" w:rsidRDefault="00C45836">
    <w:pPr>
      <w:spacing w:line="240" w:lineRule="exact"/>
    </w:pPr>
  </w:p>
  <w:tbl>
    <w:tblPr>
      <w:tblW w:w="0" w:type="auto"/>
      <w:tblLayout w:type="fixed"/>
      <w:tblLook w:val="04A0" w:firstRow="1" w:lastRow="0" w:firstColumn="1" w:lastColumn="0" w:noHBand="0" w:noVBand="1"/>
    </w:tblPr>
    <w:tblGrid>
      <w:gridCol w:w="5220"/>
      <w:gridCol w:w="4400"/>
    </w:tblGrid>
    <w:tr w:rsidR="00C45836" w14:paraId="3B3AAC25" w14:textId="77777777">
      <w:trPr>
        <w:trHeight w:val="245"/>
      </w:trPr>
      <w:tc>
        <w:tcPr>
          <w:tcW w:w="5220" w:type="dxa"/>
          <w:tcMar>
            <w:top w:w="0" w:type="dxa"/>
            <w:left w:w="0" w:type="dxa"/>
            <w:bottom w:w="0" w:type="dxa"/>
            <w:right w:w="0" w:type="dxa"/>
          </w:tcMar>
          <w:vAlign w:val="center"/>
        </w:tcPr>
        <w:p w14:paraId="1944F0A1" w14:textId="77777777" w:rsidR="00C45836" w:rsidRDefault="00FA143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25CRIFOAS001</w:t>
          </w:r>
        </w:p>
      </w:tc>
      <w:tc>
        <w:tcPr>
          <w:tcW w:w="4400" w:type="dxa"/>
          <w:tcMar>
            <w:top w:w="0" w:type="dxa"/>
            <w:left w:w="0" w:type="dxa"/>
            <w:bottom w:w="0" w:type="dxa"/>
            <w:right w:w="0" w:type="dxa"/>
          </w:tcMar>
          <w:vAlign w:val="center"/>
        </w:tcPr>
        <w:p w14:paraId="04D0041E" w14:textId="77777777" w:rsidR="00C45836" w:rsidRDefault="00FA143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3E7D4" w14:textId="77777777" w:rsidR="00C45836" w:rsidRDefault="00C45836">
    <w:pPr>
      <w:spacing w:line="240" w:lineRule="exact"/>
    </w:pPr>
  </w:p>
  <w:tbl>
    <w:tblPr>
      <w:tblW w:w="0" w:type="auto"/>
      <w:tblLayout w:type="fixed"/>
      <w:tblLook w:val="04A0" w:firstRow="1" w:lastRow="0" w:firstColumn="1" w:lastColumn="0" w:noHBand="0" w:noVBand="1"/>
    </w:tblPr>
    <w:tblGrid>
      <w:gridCol w:w="5220"/>
      <w:gridCol w:w="4400"/>
    </w:tblGrid>
    <w:tr w:rsidR="00C45836" w14:paraId="00D89BAE" w14:textId="77777777">
      <w:trPr>
        <w:trHeight w:val="245"/>
      </w:trPr>
      <w:tc>
        <w:tcPr>
          <w:tcW w:w="5220" w:type="dxa"/>
          <w:tcMar>
            <w:top w:w="0" w:type="dxa"/>
            <w:left w:w="0" w:type="dxa"/>
            <w:bottom w:w="0" w:type="dxa"/>
            <w:right w:w="0" w:type="dxa"/>
          </w:tcMar>
          <w:vAlign w:val="center"/>
        </w:tcPr>
        <w:p w14:paraId="6F619B16" w14:textId="77777777" w:rsidR="00C45836" w:rsidRDefault="00FA143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25CRIFOAS001</w:t>
          </w:r>
        </w:p>
      </w:tc>
      <w:tc>
        <w:tcPr>
          <w:tcW w:w="4400" w:type="dxa"/>
          <w:tcMar>
            <w:top w:w="0" w:type="dxa"/>
            <w:left w:w="0" w:type="dxa"/>
            <w:bottom w:w="0" w:type="dxa"/>
            <w:right w:w="0" w:type="dxa"/>
          </w:tcMar>
          <w:vAlign w:val="center"/>
        </w:tcPr>
        <w:p w14:paraId="0E878A7D" w14:textId="77777777" w:rsidR="00C45836" w:rsidRDefault="00FA143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E765C" w14:textId="77777777" w:rsidR="00C45836" w:rsidRDefault="00C45836">
    <w:pPr>
      <w:spacing w:line="240" w:lineRule="exact"/>
    </w:pPr>
  </w:p>
  <w:tbl>
    <w:tblPr>
      <w:tblW w:w="0" w:type="auto"/>
      <w:tblLayout w:type="fixed"/>
      <w:tblLook w:val="04A0" w:firstRow="1" w:lastRow="0" w:firstColumn="1" w:lastColumn="0" w:noHBand="0" w:noVBand="1"/>
    </w:tblPr>
    <w:tblGrid>
      <w:gridCol w:w="5220"/>
      <w:gridCol w:w="4400"/>
    </w:tblGrid>
    <w:tr w:rsidR="00C45836" w14:paraId="264A5BEA" w14:textId="77777777">
      <w:trPr>
        <w:trHeight w:val="245"/>
      </w:trPr>
      <w:tc>
        <w:tcPr>
          <w:tcW w:w="5220" w:type="dxa"/>
          <w:tcMar>
            <w:top w:w="0" w:type="dxa"/>
            <w:left w:w="0" w:type="dxa"/>
            <w:bottom w:w="0" w:type="dxa"/>
            <w:right w:w="0" w:type="dxa"/>
          </w:tcMar>
          <w:vAlign w:val="center"/>
        </w:tcPr>
        <w:p w14:paraId="759F90BB" w14:textId="77777777" w:rsidR="00C45836" w:rsidRDefault="00FA143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25CRIFOAS001</w:t>
          </w:r>
        </w:p>
      </w:tc>
      <w:tc>
        <w:tcPr>
          <w:tcW w:w="4400" w:type="dxa"/>
          <w:tcMar>
            <w:top w:w="0" w:type="dxa"/>
            <w:left w:w="0" w:type="dxa"/>
            <w:bottom w:w="0" w:type="dxa"/>
            <w:right w:w="0" w:type="dxa"/>
          </w:tcMar>
          <w:vAlign w:val="center"/>
        </w:tcPr>
        <w:p w14:paraId="05804E59" w14:textId="77777777" w:rsidR="00C45836" w:rsidRDefault="00FA143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84DB6" w14:textId="77777777" w:rsidR="00FA1439" w:rsidRDefault="00FA1439">
      <w:r>
        <w:separator/>
      </w:r>
    </w:p>
  </w:footnote>
  <w:footnote w:type="continuationSeparator" w:id="0">
    <w:p w14:paraId="1A89BC14" w14:textId="77777777" w:rsidR="00FA1439" w:rsidRDefault="00FA14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45836"/>
    <w:rsid w:val="00017F82"/>
    <w:rsid w:val="00520199"/>
    <w:rsid w:val="00C45836"/>
    <w:rsid w:val="00FA14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4:docId w14:val="404D1082"/>
  <w15:docId w15:val="{A87F883A-CC80-43BF-808C-7EB12BF06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rsid w:val="00017F82"/>
    <w:pPr>
      <w:tabs>
        <w:tab w:val="center" w:pos="4536"/>
        <w:tab w:val="right" w:pos="9072"/>
      </w:tabs>
    </w:pPr>
  </w:style>
  <w:style w:type="character" w:customStyle="1" w:styleId="En-tteCar">
    <w:name w:val="En-tête Car"/>
    <w:basedOn w:val="Policepardfaut"/>
    <w:link w:val="En-tte"/>
    <w:rsid w:val="00017F82"/>
    <w:rPr>
      <w:sz w:val="24"/>
      <w:szCs w:val="24"/>
    </w:rPr>
  </w:style>
  <w:style w:type="paragraph" w:styleId="Pieddepage0">
    <w:name w:val="footer"/>
    <w:basedOn w:val="Normal"/>
    <w:link w:val="PieddepageCar"/>
    <w:rsid w:val="00017F82"/>
    <w:pPr>
      <w:tabs>
        <w:tab w:val="center" w:pos="4536"/>
        <w:tab w:val="right" w:pos="9072"/>
      </w:tabs>
    </w:pPr>
  </w:style>
  <w:style w:type="character" w:customStyle="1" w:styleId="PieddepageCar">
    <w:name w:val="Pied de page Car"/>
    <w:basedOn w:val="Policepardfaut"/>
    <w:link w:val="Pieddepage0"/>
    <w:rsid w:val="00017F8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3112</Words>
  <Characters>17122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Mahaut Lebigre</cp:lastModifiedBy>
  <cp:revision>3</cp:revision>
  <dcterms:created xsi:type="dcterms:W3CDTF">2025-07-08T14:33:00Z</dcterms:created>
  <dcterms:modified xsi:type="dcterms:W3CDTF">2025-07-08T15:02:00Z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b7595bc-492f-4d88-9880-737c41c1bf4b_Enabled">
    <vt:lpwstr>true</vt:lpwstr>
  </property>
  <property fmtid="{D5CDD505-2E9C-101B-9397-08002B2CF9AE}" pid="3" name="MSIP_Label_fb7595bc-492f-4d88-9880-737c41c1bf4b_SetDate">
    <vt:lpwstr>2025-07-08T14:40:56Z</vt:lpwstr>
  </property>
  <property fmtid="{D5CDD505-2E9C-101B-9397-08002B2CF9AE}" pid="4" name="MSIP_Label_fb7595bc-492f-4d88-9880-737c41c1bf4b_Method">
    <vt:lpwstr>Standard</vt:lpwstr>
  </property>
  <property fmtid="{D5CDD505-2E9C-101B-9397-08002B2CF9AE}" pid="5" name="MSIP_Label_fb7595bc-492f-4d88-9880-737c41c1bf4b_Name">
    <vt:lpwstr>Public</vt:lpwstr>
  </property>
  <property fmtid="{D5CDD505-2E9C-101B-9397-08002B2CF9AE}" pid="6" name="MSIP_Label_fb7595bc-492f-4d88-9880-737c41c1bf4b_SiteId">
    <vt:lpwstr>430c3e75-ff03-445f-b3f4-ae2809a0b10b</vt:lpwstr>
  </property>
  <property fmtid="{D5CDD505-2E9C-101B-9397-08002B2CF9AE}" pid="7" name="MSIP_Label_fb7595bc-492f-4d88-9880-737c41c1bf4b_ActionId">
    <vt:lpwstr>29bb313d-fd01-4bce-803c-d2ddbd660bb6</vt:lpwstr>
  </property>
  <property fmtid="{D5CDD505-2E9C-101B-9397-08002B2CF9AE}" pid="8" name="MSIP_Label_fb7595bc-492f-4d88-9880-737c41c1bf4b_ContentBits">
    <vt:lpwstr>0</vt:lpwstr>
  </property>
  <property fmtid="{D5CDD505-2E9C-101B-9397-08002B2CF9AE}" pid="9" name="MSIP_Label_fb7595bc-492f-4d88-9880-737c41c1bf4b_Tag">
    <vt:lpwstr>10, 3, 0, 1</vt:lpwstr>
  </property>
</Properties>
</file>