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86DDB" w14:textId="77777777" w:rsidR="00C93590" w:rsidRDefault="00C93590">
      <w:pPr>
        <w:pStyle w:val="Titre"/>
        <w:rPr>
          <w:rFonts w:ascii="Arial" w:hAnsi="Arial"/>
          <w:sz w:val="24"/>
        </w:rPr>
      </w:pPr>
    </w:p>
    <w:p w14:paraId="2C2B3616" w14:textId="77777777" w:rsidR="003433A5" w:rsidRPr="00AB7D02" w:rsidRDefault="003433A5" w:rsidP="003433A5">
      <w:pPr>
        <w:jc w:val="center"/>
        <w:rPr>
          <w:rFonts w:ascii="Arial" w:hAnsi="Arial" w:cs="Arial"/>
          <w:b/>
          <w:color w:val="808080"/>
          <w:sz w:val="22"/>
          <w:szCs w:val="22"/>
          <w14:shadow w14:blurRad="50800" w14:dist="38100" w14:dir="2700000" w14:sx="100000" w14:sy="100000" w14:kx="0" w14:ky="0" w14:algn="tl">
            <w14:srgbClr w14:val="000000">
              <w14:alpha w14:val="60000"/>
            </w14:srgbClr>
          </w14:shadow>
        </w:rPr>
      </w:pPr>
      <w:r w:rsidRPr="00AB7D02">
        <w:rPr>
          <w:rFonts w:ascii="Arial" w:hAnsi="Arial" w:cs="Arial"/>
          <w:b/>
          <w:color w:val="808080"/>
          <w:sz w:val="22"/>
          <w:szCs w:val="22"/>
          <w14:shadow w14:blurRad="50800" w14:dist="38100" w14:dir="2700000" w14:sx="100000" w14:sy="100000" w14:kx="0" w14:ky="0" w14:algn="tl">
            <w14:srgbClr w14:val="000000">
              <w14:alpha w14:val="60000"/>
            </w14:srgbClr>
          </w14:shadow>
        </w:rPr>
        <w:t>MARCHE PUBLIC DE PRESTATIONS INTELLECTUELLES</w:t>
      </w:r>
    </w:p>
    <w:p w14:paraId="10C6C76E" w14:textId="77777777" w:rsidR="00C93590" w:rsidRDefault="00C93590">
      <w:pPr>
        <w:pBdr>
          <w:bottom w:val="single" w:sz="12" w:space="1" w:color="808080"/>
        </w:pBdr>
        <w:jc w:val="center"/>
        <w:rPr>
          <w:rFonts w:ascii="Arial" w:hAnsi="Arial"/>
          <w:b/>
          <w:sz w:val="32"/>
        </w:rPr>
      </w:pPr>
    </w:p>
    <w:p w14:paraId="34DD8DD8" w14:textId="77777777" w:rsidR="00C93590" w:rsidRDefault="00C93590">
      <w:pPr>
        <w:jc w:val="center"/>
        <w:rPr>
          <w:rFonts w:ascii="Arial" w:hAnsi="Arial"/>
          <w:b/>
          <w:sz w:val="32"/>
        </w:rPr>
      </w:pPr>
    </w:p>
    <w:p w14:paraId="32976ADD" w14:textId="3810F7A6" w:rsidR="00D25691" w:rsidRPr="00AB7D02" w:rsidRDefault="00CA4B9D">
      <w:pPr>
        <w:tabs>
          <w:tab w:val="left" w:pos="6048"/>
        </w:tabs>
        <w:ind w:right="136"/>
        <w:jc w:val="center"/>
        <w:rPr>
          <w:rFonts w:ascii="Arial" w:hAnsi="Arial"/>
          <w:b/>
          <w:sz w:val="32"/>
          <w14:shadow w14:blurRad="50800" w14:dist="38100" w14:dir="2700000" w14:sx="100000" w14:sy="100000" w14:kx="0" w14:ky="0" w14:algn="tl">
            <w14:srgbClr w14:val="000000">
              <w14:alpha w14:val="60000"/>
            </w14:srgbClr>
          </w14:shadow>
        </w:rPr>
      </w:pPr>
      <w:r>
        <w:rPr>
          <w:noProof/>
        </w:rPr>
        <w:drawing>
          <wp:inline distT="0" distB="0" distL="0" distR="0" wp14:anchorId="04F588C2" wp14:editId="2520C730">
            <wp:extent cx="2966484" cy="811324"/>
            <wp:effectExtent l="0" t="0" r="5715" b="825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69689" cy="812200"/>
                    </a:xfrm>
                    <a:prstGeom prst="rect">
                      <a:avLst/>
                    </a:prstGeom>
                    <a:noFill/>
                    <a:ln>
                      <a:noFill/>
                    </a:ln>
                  </pic:spPr>
                </pic:pic>
              </a:graphicData>
            </a:graphic>
          </wp:inline>
        </w:drawing>
      </w:r>
    </w:p>
    <w:p w14:paraId="75EB807D" w14:textId="77777777" w:rsidR="00D25691" w:rsidRPr="00AB7D02" w:rsidRDefault="00D25691">
      <w:pPr>
        <w:tabs>
          <w:tab w:val="left" w:pos="6048"/>
        </w:tabs>
        <w:ind w:right="136"/>
        <w:jc w:val="center"/>
        <w:rPr>
          <w:rFonts w:ascii="Arial" w:hAnsi="Arial"/>
          <w:b/>
          <w:sz w:val="32"/>
          <w14:shadow w14:blurRad="50800" w14:dist="38100" w14:dir="2700000" w14:sx="100000" w14:sy="100000" w14:kx="0" w14:ky="0" w14:algn="tl">
            <w14:srgbClr w14:val="000000">
              <w14:alpha w14:val="60000"/>
            </w14:srgbClr>
          </w14:shadow>
        </w:rPr>
      </w:pPr>
    </w:p>
    <w:p w14:paraId="66AD444D" w14:textId="77777777" w:rsidR="00C93590" w:rsidRDefault="00C93590">
      <w:pPr>
        <w:pStyle w:val="Chapitre"/>
        <w:pBdr>
          <w:bottom w:val="thinThickSmallGap" w:sz="12" w:space="1" w:color="808080"/>
        </w:pBdr>
        <w:ind w:right="135"/>
        <w:rPr>
          <w:rFonts w:ascii="Arial" w:hAnsi="Arial"/>
          <w:color w:val="auto"/>
          <w:sz w:val="32"/>
        </w:rPr>
      </w:pPr>
    </w:p>
    <w:p w14:paraId="202238C8" w14:textId="77777777" w:rsidR="00C93590" w:rsidRDefault="00C93590">
      <w:pPr>
        <w:ind w:right="135"/>
        <w:jc w:val="center"/>
        <w:rPr>
          <w:rFonts w:ascii="Arial" w:hAnsi="Arial"/>
          <w:sz w:val="32"/>
        </w:rPr>
      </w:pPr>
    </w:p>
    <w:p w14:paraId="5BE91F54" w14:textId="77777777" w:rsidR="00C93590" w:rsidRPr="00AB7D02" w:rsidRDefault="00A618B1">
      <w:pPr>
        <w:pStyle w:val="Chapitre"/>
        <w:pBdr>
          <w:bottom w:val="thinThickSmallGap" w:sz="12" w:space="1" w:color="808080"/>
        </w:pBdr>
        <w:spacing w:before="100" w:after="100"/>
        <w:ind w:right="135"/>
        <w:rPr>
          <w:rFonts w:ascii="Arial" w:hAnsi="Arial"/>
          <w:color w:val="auto"/>
          <w:sz w:val="32"/>
          <w:szCs w:val="32"/>
        </w:rPr>
      </w:pPr>
      <w:r w:rsidRPr="00A618B1">
        <w:rPr>
          <w:rFonts w:ascii="Arial" w:hAnsi="Arial"/>
          <w:color w:val="auto"/>
          <w:sz w:val="32"/>
          <w:szCs w:val="32"/>
        </w:rPr>
        <w:t>Audit(s) de la gestion du risque de liquidité dans le cadre de la gestion de trésorerie de l’ACOSS</w:t>
      </w:r>
    </w:p>
    <w:p w14:paraId="1963CF15" w14:textId="77777777" w:rsidR="00A618B1" w:rsidRDefault="00A618B1">
      <w:pPr>
        <w:pStyle w:val="Chapitre"/>
        <w:pBdr>
          <w:bottom w:val="thinThickSmallGap" w:sz="12" w:space="1" w:color="808080"/>
        </w:pBdr>
        <w:spacing w:before="100" w:after="100"/>
        <w:ind w:right="135"/>
        <w:rPr>
          <w:rFonts w:ascii="Arial" w:hAnsi="Arial"/>
          <w:color w:val="auto"/>
          <w:sz w:val="32"/>
        </w:rPr>
      </w:pPr>
    </w:p>
    <w:p w14:paraId="250C0BE2" w14:textId="77777777" w:rsidR="00C93590" w:rsidRPr="00AB7D02" w:rsidRDefault="00C93590">
      <w:pPr>
        <w:tabs>
          <w:tab w:val="left" w:pos="2835"/>
        </w:tabs>
        <w:ind w:right="135"/>
        <w:jc w:val="center"/>
        <w:outlineLvl w:val="0"/>
        <w:rPr>
          <w:rFonts w:ascii="Arial" w:hAnsi="Arial"/>
          <w:b/>
          <w:sz w:val="32"/>
          <w14:shadow w14:blurRad="50800" w14:dist="38100" w14:dir="2700000" w14:sx="100000" w14:sy="100000" w14:kx="0" w14:ky="0" w14:algn="tl">
            <w14:srgbClr w14:val="000000">
              <w14:alpha w14:val="60000"/>
            </w14:srgbClr>
          </w14:shadow>
        </w:rPr>
      </w:pPr>
    </w:p>
    <w:p w14:paraId="5A3099DE" w14:textId="77777777" w:rsidR="00C93590" w:rsidRPr="00AB7D02" w:rsidRDefault="00A618B1">
      <w:pPr>
        <w:tabs>
          <w:tab w:val="left" w:pos="2835"/>
        </w:tabs>
        <w:ind w:right="135"/>
        <w:jc w:val="center"/>
        <w:outlineLvl w:val="0"/>
        <w:rPr>
          <w:rFonts w:ascii="Arial" w:hAnsi="Arial"/>
          <w:b/>
          <w:sz w:val="32"/>
          <w14:shadow w14:blurRad="50800" w14:dist="38100" w14:dir="2700000" w14:sx="100000" w14:sy="100000" w14:kx="0" w14:ky="0" w14:algn="tl">
            <w14:srgbClr w14:val="000000">
              <w14:alpha w14:val="60000"/>
            </w14:srgbClr>
          </w14:shadow>
        </w:rPr>
      </w:pPr>
      <w:r w:rsidRPr="00AB7D02">
        <w:rPr>
          <w:rFonts w:ascii="Arial" w:hAnsi="Arial"/>
          <w:b/>
          <w:sz w:val="32"/>
          <w14:shadow w14:blurRad="50800" w14:dist="38100" w14:dir="2700000" w14:sx="100000" w14:sy="100000" w14:kx="0" w14:ky="0" w14:algn="tl">
            <w14:srgbClr w14:val="000000">
              <w14:alpha w14:val="60000"/>
            </w14:srgbClr>
          </w14:shadow>
        </w:rPr>
        <w:t>Procédure adaptée</w:t>
      </w:r>
    </w:p>
    <w:p w14:paraId="158BBF67" w14:textId="77777777" w:rsidR="00C93590" w:rsidRPr="00AB7D02" w:rsidRDefault="00C93590">
      <w:pPr>
        <w:tabs>
          <w:tab w:val="left" w:pos="2835"/>
        </w:tabs>
        <w:ind w:right="135"/>
        <w:jc w:val="center"/>
        <w:outlineLvl w:val="0"/>
        <w:rPr>
          <w:rFonts w:ascii="Arial" w:hAnsi="Arial"/>
          <w:b/>
          <w:sz w:val="32"/>
          <w14:shadow w14:blurRad="50800" w14:dist="38100" w14:dir="2700000" w14:sx="100000" w14:sy="100000" w14:kx="0" w14:ky="0" w14:algn="tl">
            <w14:srgbClr w14:val="000000">
              <w14:alpha w14:val="60000"/>
            </w14:srgbClr>
          </w14:shadow>
        </w:rPr>
      </w:pPr>
    </w:p>
    <w:p w14:paraId="19D9B588" w14:textId="6E9BD55C" w:rsidR="00CA4B9D" w:rsidRPr="00FB508C" w:rsidRDefault="00CA4B9D" w:rsidP="00CA4B9D">
      <w:pPr>
        <w:tabs>
          <w:tab w:val="left" w:pos="2835"/>
        </w:tabs>
        <w:ind w:right="135"/>
        <w:jc w:val="center"/>
        <w:rPr>
          <w:rFonts w:ascii="Arial" w:hAnsi="Arial"/>
          <w:b/>
          <w:sz w:val="32"/>
        </w:rPr>
      </w:pPr>
      <w:r w:rsidRPr="00FB508C">
        <w:rPr>
          <w:rFonts w:ascii="Arial" w:hAnsi="Arial"/>
          <w:b/>
          <w:sz w:val="32"/>
        </w:rPr>
        <w:t>P</w:t>
      </w:r>
      <w:r>
        <w:rPr>
          <w:rFonts w:ascii="Arial" w:hAnsi="Arial"/>
          <w:b/>
          <w:sz w:val="32"/>
        </w:rPr>
        <w:t>2</w:t>
      </w:r>
      <w:r w:rsidR="00A5197D">
        <w:rPr>
          <w:rFonts w:ascii="Arial" w:hAnsi="Arial"/>
          <w:b/>
          <w:sz w:val="32"/>
        </w:rPr>
        <w:t>516</w:t>
      </w:r>
      <w:r w:rsidRPr="00FB508C">
        <w:rPr>
          <w:rFonts w:ascii="Arial" w:hAnsi="Arial"/>
          <w:b/>
          <w:sz w:val="32"/>
        </w:rPr>
        <w:t>-PA-DIFI</w:t>
      </w:r>
    </w:p>
    <w:p w14:paraId="3D0687A2" w14:textId="77777777" w:rsidR="00C93590" w:rsidRPr="00AB7D02" w:rsidRDefault="00C93590">
      <w:pPr>
        <w:tabs>
          <w:tab w:val="left" w:pos="2835"/>
        </w:tabs>
        <w:ind w:right="135"/>
        <w:jc w:val="center"/>
        <w:rPr>
          <w:rFonts w:ascii="Arial" w:hAnsi="Arial"/>
          <w:b/>
          <w:sz w:val="32"/>
          <w14:shadow w14:blurRad="50800" w14:dist="38100" w14:dir="2700000" w14:sx="100000" w14:sy="100000" w14:kx="0" w14:ky="0" w14:algn="tl">
            <w14:srgbClr w14:val="000000">
              <w14:alpha w14:val="60000"/>
            </w14:srgbClr>
          </w14:shadow>
        </w:rPr>
      </w:pPr>
    </w:p>
    <w:p w14:paraId="3E8E3548" w14:textId="77777777" w:rsidR="0026132E" w:rsidRDefault="0026132E" w:rsidP="0026132E">
      <w:pPr>
        <w:pStyle w:val="Titre9"/>
        <w:jc w:val="center"/>
        <w:rPr>
          <w:rFonts w:ascii="Arial" w:hAnsi="Arial"/>
          <w:b/>
          <w:sz w:val="40"/>
        </w:rPr>
      </w:pPr>
      <w:r>
        <w:rPr>
          <w:rFonts w:ascii="Arial" w:hAnsi="Arial"/>
          <w:b/>
          <w:sz w:val="40"/>
        </w:rPr>
        <w:t>Cadre de réponse technique</w:t>
      </w:r>
    </w:p>
    <w:p w14:paraId="709EE66B" w14:textId="77777777" w:rsidR="00C93590" w:rsidRDefault="00C93590">
      <w:pPr>
        <w:rPr>
          <w:rFonts w:ascii="Arial" w:hAnsi="Arial"/>
        </w:rPr>
      </w:pPr>
    </w:p>
    <w:p w14:paraId="1AFA79DB" w14:textId="77777777" w:rsidR="00BB441D" w:rsidRDefault="00BB441D" w:rsidP="0039151C">
      <w:pPr>
        <w:jc w:val="both"/>
        <w:rPr>
          <w:rFonts w:ascii="Arial" w:hAnsi="Arial"/>
        </w:rPr>
      </w:pPr>
    </w:p>
    <w:p w14:paraId="16217817" w14:textId="77777777" w:rsidR="00BB441D" w:rsidRDefault="00BB441D" w:rsidP="0039151C">
      <w:pPr>
        <w:jc w:val="both"/>
        <w:rPr>
          <w:rFonts w:ascii="Arial" w:hAnsi="Arial"/>
        </w:rPr>
      </w:pPr>
    </w:p>
    <w:p w14:paraId="1D08C04E" w14:textId="77777777" w:rsidR="006C46A2" w:rsidRDefault="0039151C" w:rsidP="0039151C">
      <w:pPr>
        <w:jc w:val="both"/>
        <w:rPr>
          <w:rFonts w:ascii="Arial" w:hAnsi="Arial"/>
        </w:rPr>
      </w:pPr>
      <w:r>
        <w:rPr>
          <w:rFonts w:ascii="Arial" w:hAnsi="Arial"/>
        </w:rPr>
        <w:t xml:space="preserve">Dans le cadre de l’appréciation de la qualité de la proposition technique </w:t>
      </w:r>
      <w:r w:rsidR="00A1437D">
        <w:rPr>
          <w:rFonts w:ascii="Arial" w:hAnsi="Arial"/>
        </w:rPr>
        <w:t xml:space="preserve">et compte tenus des sous-critères énoncés dans le règlement de la consultation, </w:t>
      </w:r>
      <w:r>
        <w:rPr>
          <w:rFonts w:ascii="Arial" w:hAnsi="Arial"/>
        </w:rPr>
        <w:t>seront pris en compte les éléments suivants :</w:t>
      </w:r>
    </w:p>
    <w:p w14:paraId="73C641C8" w14:textId="77777777" w:rsidR="00CB3420" w:rsidRPr="006827B5" w:rsidRDefault="00CB3420" w:rsidP="0039151C">
      <w:pPr>
        <w:jc w:val="both"/>
        <w:rPr>
          <w:rFonts w:ascii="Arial" w:hAnsi="Arial"/>
        </w:rPr>
      </w:pPr>
    </w:p>
    <w:p w14:paraId="17D68082" w14:textId="77777777" w:rsidR="006C46A2" w:rsidRPr="00DF4C94" w:rsidRDefault="003F1B65" w:rsidP="0039151C">
      <w:pPr>
        <w:keepNext/>
        <w:numPr>
          <w:ilvl w:val="0"/>
          <w:numId w:val="4"/>
        </w:numPr>
        <w:jc w:val="both"/>
        <w:outlineLvl w:val="0"/>
        <w:rPr>
          <w:rFonts w:ascii="Century Gothic" w:hAnsi="Century Gothic"/>
          <w:b/>
          <w:bCs/>
          <w:lang w:eastAsia="zh-CN"/>
        </w:rPr>
      </w:pPr>
      <w:r>
        <w:rPr>
          <w:rFonts w:ascii="Arial" w:hAnsi="Arial" w:cs="Arial"/>
        </w:rPr>
        <w:t>l</w:t>
      </w:r>
      <w:r w:rsidR="00A1437D">
        <w:rPr>
          <w:rFonts w:ascii="Arial" w:hAnsi="Arial" w:cs="Arial"/>
        </w:rPr>
        <w:t>’a</w:t>
      </w:r>
      <w:r w:rsidR="006C46A2">
        <w:rPr>
          <w:rFonts w:ascii="Arial" w:hAnsi="Arial" w:cs="Arial"/>
        </w:rPr>
        <w:t>déquation</w:t>
      </w:r>
      <w:r w:rsidR="0039151C">
        <w:rPr>
          <w:rFonts w:ascii="Arial" w:hAnsi="Arial" w:cs="Arial"/>
        </w:rPr>
        <w:t xml:space="preserve"> des</w:t>
      </w:r>
      <w:r w:rsidR="006C46A2">
        <w:rPr>
          <w:rFonts w:ascii="Arial" w:hAnsi="Arial" w:cs="Arial"/>
        </w:rPr>
        <w:t xml:space="preserve"> profil</w:t>
      </w:r>
      <w:r w:rsidR="0039151C">
        <w:rPr>
          <w:rFonts w:ascii="Arial" w:hAnsi="Arial" w:cs="Arial"/>
        </w:rPr>
        <w:t>s</w:t>
      </w:r>
      <w:r w:rsidR="006C46A2">
        <w:rPr>
          <w:rFonts w:ascii="Arial" w:hAnsi="Arial" w:cs="Arial"/>
        </w:rPr>
        <w:t xml:space="preserve"> de compétences des intervenants par rapport aux attentes de l’A</w:t>
      </w:r>
      <w:r w:rsidR="003433A5">
        <w:rPr>
          <w:rFonts w:ascii="Arial" w:hAnsi="Arial" w:cs="Arial"/>
        </w:rPr>
        <w:t>COSS</w:t>
      </w:r>
      <w:r>
        <w:rPr>
          <w:rFonts w:ascii="Arial" w:hAnsi="Arial" w:cs="Arial"/>
        </w:rPr>
        <w:t>,</w:t>
      </w:r>
    </w:p>
    <w:p w14:paraId="1B0CAF9B" w14:textId="77777777" w:rsidR="006C46A2" w:rsidRDefault="003F1B65" w:rsidP="0039151C">
      <w:pPr>
        <w:keepNext/>
        <w:numPr>
          <w:ilvl w:val="0"/>
          <w:numId w:val="4"/>
        </w:numPr>
        <w:jc w:val="both"/>
        <w:outlineLvl w:val="0"/>
        <w:rPr>
          <w:rFonts w:ascii="Arial" w:hAnsi="Arial" w:cs="Arial"/>
          <w:bCs/>
          <w:lang w:eastAsia="zh-CN"/>
        </w:rPr>
      </w:pPr>
      <w:r>
        <w:rPr>
          <w:rFonts w:ascii="Arial" w:hAnsi="Arial" w:cs="Arial"/>
          <w:bCs/>
          <w:lang w:eastAsia="zh-CN"/>
        </w:rPr>
        <w:t>l</w:t>
      </w:r>
      <w:r w:rsidR="00A1437D">
        <w:rPr>
          <w:rFonts w:ascii="Arial" w:hAnsi="Arial" w:cs="Arial"/>
          <w:bCs/>
          <w:lang w:eastAsia="zh-CN"/>
        </w:rPr>
        <w:t>a q</w:t>
      </w:r>
      <w:r w:rsidR="006C46A2">
        <w:rPr>
          <w:rFonts w:ascii="Arial" w:hAnsi="Arial" w:cs="Arial"/>
          <w:bCs/>
          <w:lang w:eastAsia="zh-CN"/>
        </w:rPr>
        <w:t xml:space="preserve">ualité de </w:t>
      </w:r>
      <w:r w:rsidR="000C6F75">
        <w:rPr>
          <w:rFonts w:ascii="Arial" w:hAnsi="Arial" w:cs="Arial"/>
          <w:bCs/>
          <w:lang w:eastAsia="zh-CN"/>
        </w:rPr>
        <w:t xml:space="preserve">l’organisation et de </w:t>
      </w:r>
      <w:r w:rsidR="006C46A2">
        <w:rPr>
          <w:rFonts w:ascii="Arial" w:hAnsi="Arial" w:cs="Arial"/>
          <w:bCs/>
          <w:lang w:eastAsia="zh-CN"/>
        </w:rPr>
        <w:t>la méthodologie globale proposée</w:t>
      </w:r>
      <w:r>
        <w:rPr>
          <w:rFonts w:ascii="Arial" w:hAnsi="Arial" w:cs="Arial"/>
          <w:bCs/>
          <w:lang w:eastAsia="zh-CN"/>
        </w:rPr>
        <w:t>,</w:t>
      </w:r>
    </w:p>
    <w:p w14:paraId="50B97F83" w14:textId="77777777" w:rsidR="006C46A2" w:rsidRDefault="003F1B65" w:rsidP="0039151C">
      <w:pPr>
        <w:keepNext/>
        <w:numPr>
          <w:ilvl w:val="0"/>
          <w:numId w:val="4"/>
        </w:numPr>
        <w:jc w:val="both"/>
        <w:outlineLvl w:val="0"/>
        <w:rPr>
          <w:rFonts w:ascii="Arial" w:hAnsi="Arial" w:cs="Arial"/>
          <w:b/>
        </w:rPr>
      </w:pPr>
      <w:r>
        <w:rPr>
          <w:rFonts w:ascii="Arial" w:hAnsi="Arial" w:cs="Arial"/>
          <w:bCs/>
          <w:lang w:eastAsia="zh-CN"/>
        </w:rPr>
        <w:t>l</w:t>
      </w:r>
      <w:r w:rsidR="00A1437D">
        <w:rPr>
          <w:rFonts w:ascii="Arial" w:hAnsi="Arial" w:cs="Arial"/>
          <w:bCs/>
          <w:lang w:eastAsia="zh-CN"/>
        </w:rPr>
        <w:t>es d</w:t>
      </w:r>
      <w:r w:rsidR="00CC6B6D">
        <w:rPr>
          <w:rFonts w:ascii="Arial" w:hAnsi="Arial" w:cs="Arial"/>
          <w:bCs/>
          <w:lang w:eastAsia="zh-CN"/>
        </w:rPr>
        <w:t>élais</w:t>
      </w:r>
      <w:r w:rsidR="006C46A2">
        <w:rPr>
          <w:rFonts w:ascii="Arial" w:hAnsi="Arial" w:cs="Arial"/>
          <w:bCs/>
          <w:lang w:eastAsia="zh-CN"/>
        </w:rPr>
        <w:t xml:space="preserve"> </w:t>
      </w:r>
      <w:r w:rsidR="0039151C">
        <w:rPr>
          <w:rFonts w:ascii="Arial" w:hAnsi="Arial" w:cs="Arial"/>
          <w:bCs/>
          <w:lang w:eastAsia="zh-CN"/>
        </w:rPr>
        <w:t>de réalisation des prestations</w:t>
      </w:r>
      <w:r>
        <w:rPr>
          <w:rFonts w:ascii="Arial" w:hAnsi="Arial" w:cs="Arial"/>
          <w:bCs/>
          <w:lang w:eastAsia="zh-CN"/>
        </w:rPr>
        <w:t>.</w:t>
      </w:r>
    </w:p>
    <w:p w14:paraId="775D92E3" w14:textId="77777777" w:rsidR="006C46A2" w:rsidRDefault="006C46A2" w:rsidP="006C46A2">
      <w:pPr>
        <w:jc w:val="both"/>
        <w:rPr>
          <w:rFonts w:ascii="Century Gothic" w:hAnsi="Century Gothic"/>
          <w:sz w:val="22"/>
          <w:szCs w:val="22"/>
          <w:lang w:eastAsia="zh-CN"/>
        </w:rPr>
      </w:pPr>
    </w:p>
    <w:p w14:paraId="5BD9078C" w14:textId="77777777" w:rsidR="00CB3420" w:rsidRDefault="003433A5" w:rsidP="006C46A2">
      <w:pPr>
        <w:jc w:val="both"/>
        <w:rPr>
          <w:rFonts w:ascii="Arial" w:hAnsi="Arial"/>
        </w:rPr>
      </w:pPr>
      <w:r>
        <w:rPr>
          <w:rFonts w:ascii="Arial" w:hAnsi="Arial"/>
        </w:rPr>
        <w:t>Ainsi, l’ACOSS</w:t>
      </w:r>
      <w:r w:rsidR="00CB3420" w:rsidRPr="00CB3420">
        <w:rPr>
          <w:rFonts w:ascii="Arial" w:hAnsi="Arial"/>
        </w:rPr>
        <w:t xml:space="preserve"> souhaite que la proposition technique du ca</w:t>
      </w:r>
      <w:r w:rsidR="00CB3420">
        <w:rPr>
          <w:rFonts w:ascii="Arial" w:hAnsi="Arial"/>
        </w:rPr>
        <w:t>ndidat contienne des précisions</w:t>
      </w:r>
      <w:r w:rsidR="000D34F3">
        <w:rPr>
          <w:rFonts w:ascii="Arial" w:hAnsi="Arial"/>
        </w:rPr>
        <w:t xml:space="preserve"> relative</w:t>
      </w:r>
      <w:r w:rsidR="00C21C8D">
        <w:rPr>
          <w:rFonts w:ascii="Arial" w:hAnsi="Arial"/>
        </w:rPr>
        <w:t>s</w:t>
      </w:r>
      <w:r w:rsidR="00CB3420" w:rsidRPr="00CB3420">
        <w:rPr>
          <w:rFonts w:ascii="Arial" w:hAnsi="Arial"/>
        </w:rPr>
        <w:t xml:space="preserve"> </w:t>
      </w:r>
      <w:r w:rsidR="00CB3420">
        <w:rPr>
          <w:rFonts w:ascii="Arial" w:hAnsi="Arial"/>
        </w:rPr>
        <w:t>à ces différents</w:t>
      </w:r>
      <w:r w:rsidR="000D34F3">
        <w:rPr>
          <w:rFonts w:ascii="Arial" w:hAnsi="Arial"/>
        </w:rPr>
        <w:t xml:space="preserve"> élément</w:t>
      </w:r>
      <w:r w:rsidR="00CB3420">
        <w:rPr>
          <w:rFonts w:ascii="Arial" w:hAnsi="Arial"/>
        </w:rPr>
        <w:t xml:space="preserve">s dans les </w:t>
      </w:r>
      <w:r w:rsidR="00A23472">
        <w:rPr>
          <w:rFonts w:ascii="Arial" w:hAnsi="Arial"/>
        </w:rPr>
        <w:t>conditions précisées ci-après.</w:t>
      </w:r>
    </w:p>
    <w:p w14:paraId="30037415" w14:textId="77777777" w:rsidR="00206FD3" w:rsidRPr="00CB3420" w:rsidRDefault="00206FD3" w:rsidP="006C46A2">
      <w:pPr>
        <w:jc w:val="both"/>
        <w:rPr>
          <w:rFonts w:ascii="Arial" w:hAnsi="Arial"/>
        </w:rPr>
      </w:pPr>
    </w:p>
    <w:p w14:paraId="0F890487" w14:textId="77777777" w:rsidR="00ED3484" w:rsidRDefault="00ED3484" w:rsidP="00477FBC">
      <w:pPr>
        <w:jc w:val="both"/>
        <w:rPr>
          <w:rFonts w:ascii="Arial" w:hAnsi="Arial"/>
          <w:b/>
          <w:bCs/>
        </w:rPr>
      </w:pPr>
    </w:p>
    <w:p w14:paraId="167F59AE" w14:textId="77777777" w:rsidR="00ED3484" w:rsidRDefault="00ED3484" w:rsidP="00477FBC">
      <w:pPr>
        <w:jc w:val="both"/>
        <w:rPr>
          <w:rFonts w:ascii="Arial" w:hAnsi="Arial"/>
          <w:b/>
          <w:bCs/>
        </w:rPr>
      </w:pPr>
    </w:p>
    <w:p w14:paraId="2EA02940" w14:textId="6FFAA6F2" w:rsidR="00DD2AB7" w:rsidRDefault="00DD2AB7">
      <w:pPr>
        <w:rPr>
          <w:rFonts w:ascii="Arial" w:hAnsi="Arial"/>
          <w:b/>
          <w:bCs/>
        </w:rPr>
      </w:pPr>
      <w:r>
        <w:rPr>
          <w:rFonts w:ascii="Arial" w:hAnsi="Arial"/>
          <w:b/>
          <w:bCs/>
        </w:rPr>
        <w:br w:type="page"/>
      </w:r>
    </w:p>
    <w:p w14:paraId="515B4933" w14:textId="77777777" w:rsidR="00ED3484" w:rsidRDefault="00ED3484" w:rsidP="00477FBC">
      <w:pPr>
        <w:jc w:val="both"/>
        <w:rPr>
          <w:rFonts w:ascii="Arial" w:hAnsi="Arial"/>
          <w:b/>
          <w:bCs/>
        </w:rPr>
      </w:pPr>
    </w:p>
    <w:p w14:paraId="36141846" w14:textId="77777777" w:rsidR="006C46A2" w:rsidRPr="0039151C" w:rsidRDefault="006C46A2" w:rsidP="00821F49">
      <w:pPr>
        <w:jc w:val="both"/>
        <w:rPr>
          <w:rFonts w:ascii="Arial" w:hAnsi="Arial"/>
          <w:b/>
          <w:bCs/>
        </w:rPr>
      </w:pPr>
      <w:r w:rsidRPr="0039151C">
        <w:rPr>
          <w:rFonts w:ascii="Arial" w:hAnsi="Arial"/>
          <w:b/>
          <w:bCs/>
        </w:rPr>
        <w:t>1/ Adéquation</w:t>
      </w:r>
      <w:r w:rsidR="005818FA" w:rsidRPr="0039151C">
        <w:rPr>
          <w:rFonts w:ascii="Arial" w:hAnsi="Arial"/>
          <w:b/>
          <w:bCs/>
        </w:rPr>
        <w:t xml:space="preserve"> des</w:t>
      </w:r>
      <w:r w:rsidRPr="0039151C">
        <w:rPr>
          <w:rFonts w:ascii="Arial" w:hAnsi="Arial"/>
          <w:b/>
          <w:bCs/>
        </w:rPr>
        <w:t xml:space="preserve"> profil</w:t>
      </w:r>
      <w:r w:rsidR="005818FA" w:rsidRPr="0039151C">
        <w:rPr>
          <w:rFonts w:ascii="Arial" w:hAnsi="Arial"/>
          <w:b/>
          <w:bCs/>
        </w:rPr>
        <w:t>s</w:t>
      </w:r>
      <w:r w:rsidRPr="0039151C">
        <w:rPr>
          <w:rFonts w:ascii="Arial" w:hAnsi="Arial"/>
          <w:b/>
          <w:bCs/>
        </w:rPr>
        <w:t xml:space="preserve"> de compétences des intervenants par rapport aux attentes de l’A</w:t>
      </w:r>
      <w:r w:rsidR="003433A5">
        <w:rPr>
          <w:rFonts w:ascii="Arial" w:hAnsi="Arial"/>
          <w:b/>
          <w:bCs/>
        </w:rPr>
        <w:t>COSS</w:t>
      </w:r>
    </w:p>
    <w:p w14:paraId="3BF3FABD" w14:textId="77777777" w:rsidR="00D06E4D" w:rsidRPr="00477FBC" w:rsidRDefault="00D06E4D" w:rsidP="00821F49">
      <w:pPr>
        <w:jc w:val="both"/>
        <w:rPr>
          <w:rFonts w:ascii="Arial" w:hAnsi="Arial"/>
        </w:rPr>
      </w:pPr>
    </w:p>
    <w:p w14:paraId="19E6FF2D" w14:textId="77777777" w:rsidR="00D06E4D" w:rsidRPr="00477FBC" w:rsidRDefault="00D06E4D" w:rsidP="00821F49">
      <w:pPr>
        <w:jc w:val="both"/>
        <w:rPr>
          <w:rFonts w:ascii="Arial" w:hAnsi="Arial"/>
        </w:rPr>
      </w:pPr>
      <w:r w:rsidRPr="00F11F77">
        <w:rPr>
          <w:rFonts w:ascii="Arial" w:hAnsi="Arial"/>
        </w:rPr>
        <w:t xml:space="preserve">Le </w:t>
      </w:r>
      <w:r w:rsidR="00025854">
        <w:rPr>
          <w:rFonts w:ascii="Arial" w:hAnsi="Arial"/>
        </w:rPr>
        <w:t>cahier des clauses techniques particulières (</w:t>
      </w:r>
      <w:r w:rsidRPr="00F11F77">
        <w:rPr>
          <w:rFonts w:ascii="Arial" w:hAnsi="Arial"/>
        </w:rPr>
        <w:t>CC</w:t>
      </w:r>
      <w:r w:rsidR="00025854">
        <w:rPr>
          <w:rFonts w:ascii="Arial" w:hAnsi="Arial"/>
        </w:rPr>
        <w:t>TP)</w:t>
      </w:r>
      <w:r w:rsidRPr="00F11F77">
        <w:rPr>
          <w:rFonts w:ascii="Arial" w:hAnsi="Arial"/>
        </w:rPr>
        <w:t xml:space="preserve"> précise que l’A</w:t>
      </w:r>
      <w:r w:rsidR="003433A5">
        <w:rPr>
          <w:rFonts w:ascii="Arial" w:hAnsi="Arial"/>
        </w:rPr>
        <w:t>COSS</w:t>
      </w:r>
      <w:r w:rsidRPr="00F11F77">
        <w:rPr>
          <w:rFonts w:ascii="Arial" w:hAnsi="Arial"/>
        </w:rPr>
        <w:t xml:space="preserve"> souhaite que ces prestations </w:t>
      </w:r>
      <w:r w:rsidR="00F11F77" w:rsidRPr="00F11F77">
        <w:rPr>
          <w:rFonts w:ascii="Arial" w:hAnsi="Arial" w:cs="Arial"/>
        </w:rPr>
        <w:t>soient assurées par au moins deux</w:t>
      </w:r>
      <w:r w:rsidR="00F11F77" w:rsidRPr="002742A0">
        <w:rPr>
          <w:rFonts w:ascii="Arial" w:hAnsi="Arial" w:cs="Arial"/>
        </w:rPr>
        <w:t xml:space="preserve"> professionnels experts </w:t>
      </w:r>
      <w:r w:rsidR="00F11F77">
        <w:rPr>
          <w:rFonts w:ascii="Arial" w:hAnsi="Arial" w:cs="Arial"/>
        </w:rPr>
        <w:t xml:space="preserve">dans le domaine </w:t>
      </w:r>
      <w:r w:rsidR="00F11F77" w:rsidRPr="002742A0">
        <w:rPr>
          <w:rFonts w:ascii="Arial" w:hAnsi="Arial" w:cs="Arial"/>
        </w:rPr>
        <w:t>financier</w:t>
      </w:r>
      <w:r w:rsidR="00F11F77">
        <w:rPr>
          <w:rFonts w:ascii="Arial" w:hAnsi="Arial" w:cs="Arial"/>
        </w:rPr>
        <w:t>, dont un expert en matière de gestion des risques de liquidité</w:t>
      </w:r>
      <w:r w:rsidR="00F11F77" w:rsidRPr="002742A0">
        <w:rPr>
          <w:rFonts w:ascii="Arial" w:hAnsi="Arial" w:cs="Arial"/>
        </w:rPr>
        <w:t>.</w:t>
      </w:r>
    </w:p>
    <w:p w14:paraId="4DD82502" w14:textId="77777777" w:rsidR="006C46A2" w:rsidRPr="00477FBC" w:rsidRDefault="006C46A2" w:rsidP="00821F49">
      <w:pPr>
        <w:jc w:val="both"/>
        <w:rPr>
          <w:rFonts w:ascii="Arial" w:hAnsi="Arial"/>
        </w:rPr>
      </w:pPr>
    </w:p>
    <w:p w14:paraId="78109863" w14:textId="77777777" w:rsidR="00EA7FD5" w:rsidRPr="00A76BFF" w:rsidRDefault="00D06E4D" w:rsidP="00821F49">
      <w:pPr>
        <w:jc w:val="both"/>
        <w:rPr>
          <w:rFonts w:ascii="Arial" w:hAnsi="Arial"/>
        </w:rPr>
      </w:pPr>
      <w:r w:rsidRPr="00477FBC">
        <w:rPr>
          <w:rFonts w:ascii="Arial" w:hAnsi="Arial"/>
        </w:rPr>
        <w:t>Il est attendu du candidat une d</w:t>
      </w:r>
      <w:r w:rsidR="006C46A2" w:rsidRPr="00477FBC">
        <w:rPr>
          <w:rFonts w:ascii="Arial" w:hAnsi="Arial"/>
        </w:rPr>
        <w:t>escription de l’équipe</w:t>
      </w:r>
      <w:r w:rsidR="008A0CC7" w:rsidRPr="00477FBC">
        <w:rPr>
          <w:rFonts w:ascii="Arial" w:hAnsi="Arial"/>
        </w:rPr>
        <w:t xml:space="preserve"> proposée </w:t>
      </w:r>
      <w:r w:rsidR="00A23472">
        <w:rPr>
          <w:rFonts w:ascii="Arial" w:hAnsi="Arial"/>
        </w:rPr>
        <w:t>ainsi</w:t>
      </w:r>
      <w:r w:rsidR="003F1B65">
        <w:rPr>
          <w:rFonts w:ascii="Arial" w:hAnsi="Arial"/>
        </w:rPr>
        <w:t xml:space="preserve"> que</w:t>
      </w:r>
      <w:r w:rsidRPr="00477FBC">
        <w:rPr>
          <w:rFonts w:ascii="Arial" w:hAnsi="Arial"/>
        </w:rPr>
        <w:t xml:space="preserve"> </w:t>
      </w:r>
      <w:r w:rsidR="00CA3E57">
        <w:rPr>
          <w:rFonts w:ascii="Arial" w:hAnsi="Arial"/>
        </w:rPr>
        <w:t>les CV (sous forme anonyme</w:t>
      </w:r>
      <w:r w:rsidR="002D23F6">
        <w:rPr>
          <w:rFonts w:ascii="Arial" w:hAnsi="Arial"/>
        </w:rPr>
        <w:t xml:space="preserve"> le cas échéant</w:t>
      </w:r>
      <w:r w:rsidR="00CA3E57">
        <w:rPr>
          <w:rFonts w:ascii="Arial" w:hAnsi="Arial"/>
        </w:rPr>
        <w:t>) des intervenants dédiés sur ce marché permettant d’apprécier leur</w:t>
      </w:r>
      <w:r w:rsidRPr="00477FBC">
        <w:rPr>
          <w:rFonts w:ascii="Arial" w:hAnsi="Arial"/>
        </w:rPr>
        <w:t xml:space="preserve"> </w:t>
      </w:r>
      <w:r w:rsidR="003F1B65">
        <w:rPr>
          <w:rFonts w:ascii="Arial" w:hAnsi="Arial"/>
        </w:rPr>
        <w:t xml:space="preserve">profil en matière de formation, </w:t>
      </w:r>
      <w:r w:rsidR="00CA3E57">
        <w:rPr>
          <w:rFonts w:ascii="Arial" w:hAnsi="Arial"/>
        </w:rPr>
        <w:t xml:space="preserve">de compétences et </w:t>
      </w:r>
      <w:r w:rsidR="003F1B65">
        <w:rPr>
          <w:rFonts w:ascii="Arial" w:hAnsi="Arial"/>
        </w:rPr>
        <w:t>d’expérience</w:t>
      </w:r>
      <w:r w:rsidR="009D7D2A">
        <w:rPr>
          <w:rFonts w:ascii="Arial" w:hAnsi="Arial"/>
        </w:rPr>
        <w:t xml:space="preserve">, </w:t>
      </w:r>
      <w:r w:rsidR="009D7D2A" w:rsidRPr="00A76BFF">
        <w:rPr>
          <w:rFonts w:ascii="Arial" w:hAnsi="Arial"/>
        </w:rPr>
        <w:t>notamment sur</w:t>
      </w:r>
      <w:r w:rsidR="00EA7FD5" w:rsidRPr="00A76BFF">
        <w:rPr>
          <w:rFonts w:ascii="Arial" w:hAnsi="Arial"/>
        </w:rPr>
        <w:t xml:space="preserve"> les items suivants : </w:t>
      </w:r>
    </w:p>
    <w:p w14:paraId="2FB305ED" w14:textId="77777777" w:rsidR="00EA7FD5" w:rsidRPr="00A76BFF" w:rsidRDefault="00EA7FD5" w:rsidP="00821F49">
      <w:pPr>
        <w:jc w:val="both"/>
        <w:rPr>
          <w:rFonts w:ascii="Arial" w:hAnsi="Arial"/>
        </w:rPr>
      </w:pPr>
      <w:r w:rsidRPr="00A76BFF">
        <w:rPr>
          <w:rFonts w:ascii="Arial" w:hAnsi="Arial"/>
        </w:rPr>
        <w:t>- en matière d’audit ou de gestion des risques de liquidité et d’encadrement des risques opérationnels de trésorerie au sein de grands groupes bancaires et industriels</w:t>
      </w:r>
    </w:p>
    <w:p w14:paraId="01F72799" w14:textId="77777777" w:rsidR="001566A5" w:rsidRPr="00A76BFF" w:rsidRDefault="00EA7FD5" w:rsidP="00821F49">
      <w:pPr>
        <w:jc w:val="both"/>
        <w:rPr>
          <w:rFonts w:ascii="Arial" w:hAnsi="Arial"/>
        </w:rPr>
      </w:pPr>
      <w:r w:rsidRPr="00A76BFF">
        <w:rPr>
          <w:rFonts w:ascii="Arial" w:hAnsi="Arial"/>
        </w:rPr>
        <w:t xml:space="preserve">- en matière de risques associés à la centralisation des flux (cash </w:t>
      </w:r>
      <w:proofErr w:type="spellStart"/>
      <w:r w:rsidRPr="00A76BFF">
        <w:rPr>
          <w:rFonts w:ascii="Arial" w:hAnsi="Arial"/>
        </w:rPr>
        <w:t>pooling</w:t>
      </w:r>
      <w:proofErr w:type="spellEnd"/>
      <w:r w:rsidRPr="00A76BFF">
        <w:rPr>
          <w:rFonts w:ascii="Arial" w:hAnsi="Arial"/>
        </w:rPr>
        <w:t xml:space="preserve">) </w:t>
      </w:r>
    </w:p>
    <w:p w14:paraId="01B6CB8A" w14:textId="77777777" w:rsidR="00EA7FD5" w:rsidRPr="00A76BFF" w:rsidRDefault="00EA7FD5" w:rsidP="00821F49">
      <w:pPr>
        <w:jc w:val="both"/>
        <w:rPr>
          <w:rFonts w:ascii="Arial" w:hAnsi="Arial"/>
        </w:rPr>
      </w:pPr>
      <w:r w:rsidRPr="00A76BFF">
        <w:rPr>
          <w:rFonts w:ascii="Arial" w:hAnsi="Arial"/>
        </w:rPr>
        <w:t>-</w:t>
      </w:r>
      <w:r w:rsidR="001566A5" w:rsidRPr="00A76BFF">
        <w:rPr>
          <w:rFonts w:ascii="Arial" w:hAnsi="Arial"/>
        </w:rPr>
        <w:t xml:space="preserve"> </w:t>
      </w:r>
      <w:r w:rsidR="009D7D2A" w:rsidRPr="00A76BFF">
        <w:rPr>
          <w:rFonts w:ascii="Arial" w:hAnsi="Arial"/>
        </w:rPr>
        <w:t>en matière de</w:t>
      </w:r>
      <w:r w:rsidRPr="00A76BFF">
        <w:rPr>
          <w:rFonts w:ascii="Arial" w:hAnsi="Arial"/>
        </w:rPr>
        <w:t xml:space="preserve"> gestion d’instruments de gestion de trésorerie court terme classique, (concours bancaires, prêts en blancs, billets de trésorerie, Euro commercial </w:t>
      </w:r>
      <w:proofErr w:type="spellStart"/>
      <w:r w:rsidRPr="00A76BFF">
        <w:rPr>
          <w:rFonts w:ascii="Arial" w:hAnsi="Arial"/>
        </w:rPr>
        <w:t>papers</w:t>
      </w:r>
      <w:proofErr w:type="spellEnd"/>
      <w:r w:rsidRPr="00A76BFF">
        <w:rPr>
          <w:rFonts w:ascii="Arial" w:hAnsi="Arial"/>
        </w:rPr>
        <w:t>, swap de taux, swap de devise, pensions livrées…).</w:t>
      </w:r>
    </w:p>
    <w:p w14:paraId="5CAB0E07" w14:textId="77777777" w:rsidR="00EA7FD5" w:rsidRPr="00A76BFF" w:rsidRDefault="00EA7FD5" w:rsidP="00821F49">
      <w:pPr>
        <w:jc w:val="both"/>
        <w:rPr>
          <w:rFonts w:ascii="Arial" w:hAnsi="Arial"/>
        </w:rPr>
      </w:pPr>
      <w:r w:rsidRPr="00A76BFF">
        <w:rPr>
          <w:rFonts w:ascii="Arial" w:hAnsi="Arial"/>
        </w:rPr>
        <w:t xml:space="preserve">- </w:t>
      </w:r>
      <w:r w:rsidR="000D68E3" w:rsidRPr="00A76BFF">
        <w:rPr>
          <w:rFonts w:ascii="Arial" w:hAnsi="Arial"/>
        </w:rPr>
        <w:t xml:space="preserve">la </w:t>
      </w:r>
      <w:r w:rsidRPr="00A76BFF">
        <w:rPr>
          <w:rFonts w:ascii="Arial" w:hAnsi="Arial"/>
        </w:rPr>
        <w:t>connaissance des circuits interbancaires de place (système de compensation, règlement-livraison, …)</w:t>
      </w:r>
    </w:p>
    <w:p w14:paraId="2946096B" w14:textId="77777777" w:rsidR="00EA7FD5" w:rsidRPr="00A76BFF" w:rsidRDefault="00EA7FD5" w:rsidP="00821F49">
      <w:pPr>
        <w:jc w:val="both"/>
        <w:rPr>
          <w:rFonts w:ascii="Arial" w:hAnsi="Arial"/>
        </w:rPr>
      </w:pPr>
      <w:r w:rsidRPr="00A76BFF">
        <w:rPr>
          <w:rFonts w:ascii="Arial" w:hAnsi="Arial"/>
        </w:rPr>
        <w:t>-</w:t>
      </w:r>
      <w:r w:rsidR="009D7D2A" w:rsidRPr="00A76BFF">
        <w:rPr>
          <w:rFonts w:ascii="Arial" w:hAnsi="Arial"/>
        </w:rPr>
        <w:t xml:space="preserve"> </w:t>
      </w:r>
      <w:r w:rsidR="000D68E3" w:rsidRPr="00A76BFF">
        <w:rPr>
          <w:rFonts w:ascii="Arial" w:hAnsi="Arial"/>
        </w:rPr>
        <w:t>l’</w:t>
      </w:r>
      <w:r w:rsidRPr="00A76BFF">
        <w:rPr>
          <w:rFonts w:ascii="Arial" w:hAnsi="Arial"/>
        </w:rPr>
        <w:t>existence, au niveau de l’équipe ou de l’entité, de publications (publiée ou diffusée) sur la gestion et l’encadrement des risques de trésorerie</w:t>
      </w:r>
    </w:p>
    <w:p w14:paraId="7EE408C3" w14:textId="77777777" w:rsidR="00D06E4D" w:rsidRPr="00477FBC" w:rsidRDefault="00D06E4D" w:rsidP="00821F49">
      <w:pPr>
        <w:jc w:val="both"/>
        <w:rPr>
          <w:rFonts w:ascii="Arial" w:hAnsi="Arial"/>
        </w:rPr>
      </w:pPr>
    </w:p>
    <w:p w14:paraId="0D311834" w14:textId="77777777" w:rsidR="00D06E4D" w:rsidRPr="00477FBC" w:rsidRDefault="00402C71" w:rsidP="00821F49">
      <w:pPr>
        <w:jc w:val="both"/>
        <w:rPr>
          <w:rFonts w:ascii="Arial" w:hAnsi="Arial"/>
        </w:rPr>
      </w:pPr>
      <w:r>
        <w:rPr>
          <w:rFonts w:ascii="Arial" w:hAnsi="Arial"/>
        </w:rPr>
        <w:t>Le candidat fournira également</w:t>
      </w:r>
      <w:r w:rsidR="00D06E4D" w:rsidRPr="00477FBC">
        <w:rPr>
          <w:rFonts w:ascii="Arial" w:hAnsi="Arial"/>
        </w:rPr>
        <w:t xml:space="preserve"> tou</w:t>
      </w:r>
      <w:r w:rsidR="00FE7E0B">
        <w:rPr>
          <w:rFonts w:ascii="Arial" w:hAnsi="Arial"/>
        </w:rPr>
        <w:t>t</w:t>
      </w:r>
      <w:r w:rsidR="00D06E4D" w:rsidRPr="00477FBC">
        <w:rPr>
          <w:rFonts w:ascii="Arial" w:hAnsi="Arial"/>
        </w:rPr>
        <w:t xml:space="preserve"> autre</w:t>
      </w:r>
      <w:r w:rsidR="00FE7E0B">
        <w:rPr>
          <w:rFonts w:ascii="Arial" w:hAnsi="Arial"/>
        </w:rPr>
        <w:t xml:space="preserve"> élément</w:t>
      </w:r>
      <w:r w:rsidR="00D06E4D" w:rsidRPr="00477FBC">
        <w:rPr>
          <w:rFonts w:ascii="Arial" w:hAnsi="Arial"/>
        </w:rPr>
        <w:t xml:space="preserve"> utile sur ce</w:t>
      </w:r>
      <w:r w:rsidR="00AB7D02">
        <w:rPr>
          <w:rFonts w:ascii="Arial" w:hAnsi="Arial"/>
        </w:rPr>
        <w:t>s</w:t>
      </w:r>
      <w:r w:rsidR="00D06E4D" w:rsidRPr="00477FBC">
        <w:rPr>
          <w:rFonts w:ascii="Arial" w:hAnsi="Arial"/>
        </w:rPr>
        <w:t xml:space="preserve"> point</w:t>
      </w:r>
      <w:r w:rsidR="00AB7D02">
        <w:rPr>
          <w:rFonts w:ascii="Arial" w:hAnsi="Arial"/>
        </w:rPr>
        <w:t>s</w:t>
      </w:r>
      <w:r w:rsidR="00A23472">
        <w:rPr>
          <w:rFonts w:ascii="Arial" w:hAnsi="Arial"/>
        </w:rPr>
        <w:t xml:space="preserve"> pour garantir</w:t>
      </w:r>
      <w:r w:rsidR="0039151C">
        <w:rPr>
          <w:rFonts w:ascii="Arial" w:hAnsi="Arial"/>
        </w:rPr>
        <w:t xml:space="preserve"> la bonne réalisation des prestations</w:t>
      </w:r>
      <w:r w:rsidR="003F1B65">
        <w:rPr>
          <w:rFonts w:ascii="Arial" w:hAnsi="Arial"/>
        </w:rPr>
        <w:t>.</w:t>
      </w:r>
    </w:p>
    <w:p w14:paraId="2F7A4401" w14:textId="06F3D31E" w:rsidR="00D06E4D" w:rsidRDefault="00D06E4D" w:rsidP="00821F49">
      <w:pPr>
        <w:jc w:val="both"/>
        <w:rPr>
          <w:rFonts w:ascii="Arial" w:hAnsi="Arial"/>
        </w:rPr>
      </w:pPr>
    </w:p>
    <w:p w14:paraId="52F6D8C6" w14:textId="62E70A94" w:rsidR="00821F49" w:rsidRDefault="00821F49" w:rsidP="00821F49">
      <w:pPr>
        <w:jc w:val="both"/>
        <w:rPr>
          <w:rFonts w:ascii="Arial" w:hAnsi="Arial"/>
        </w:rPr>
      </w:pPr>
    </w:p>
    <w:p w14:paraId="548DCA1F" w14:textId="5E8FF8DA" w:rsidR="00821F49" w:rsidRDefault="00821F49" w:rsidP="00821F49">
      <w:pPr>
        <w:jc w:val="both"/>
        <w:rPr>
          <w:rFonts w:ascii="Arial" w:hAnsi="Arial"/>
        </w:rPr>
      </w:pPr>
    </w:p>
    <w:p w14:paraId="544AAB1F" w14:textId="4F939BA1" w:rsidR="00821F49" w:rsidRDefault="00821F49" w:rsidP="00821F49">
      <w:pPr>
        <w:jc w:val="both"/>
        <w:rPr>
          <w:rFonts w:ascii="Arial" w:hAnsi="Arial"/>
        </w:rPr>
      </w:pPr>
    </w:p>
    <w:p w14:paraId="6CC64162" w14:textId="0CC73AE6" w:rsidR="00821F49" w:rsidRDefault="00821F49" w:rsidP="00821F49">
      <w:pPr>
        <w:jc w:val="both"/>
        <w:rPr>
          <w:rFonts w:ascii="Arial" w:hAnsi="Arial"/>
        </w:rPr>
      </w:pPr>
    </w:p>
    <w:p w14:paraId="522B4B6A" w14:textId="61F914BF" w:rsidR="00821F49" w:rsidRDefault="00821F49" w:rsidP="00821F49">
      <w:pPr>
        <w:jc w:val="both"/>
        <w:rPr>
          <w:rFonts w:ascii="Arial" w:hAnsi="Arial"/>
        </w:rPr>
      </w:pPr>
    </w:p>
    <w:p w14:paraId="2B9DCB2A" w14:textId="5F87D3B0" w:rsidR="00821F49" w:rsidRDefault="00821F49" w:rsidP="00821F49">
      <w:pPr>
        <w:jc w:val="both"/>
        <w:rPr>
          <w:rFonts w:ascii="Arial" w:hAnsi="Arial"/>
        </w:rPr>
      </w:pPr>
    </w:p>
    <w:p w14:paraId="78D0E113" w14:textId="00578374" w:rsidR="00821F49" w:rsidRDefault="00821F49" w:rsidP="00821F49">
      <w:pPr>
        <w:jc w:val="both"/>
        <w:rPr>
          <w:rFonts w:ascii="Arial" w:hAnsi="Arial"/>
        </w:rPr>
      </w:pPr>
    </w:p>
    <w:p w14:paraId="385A9BD5" w14:textId="63680729" w:rsidR="00821F49" w:rsidRDefault="00821F49" w:rsidP="00821F49">
      <w:pPr>
        <w:jc w:val="both"/>
        <w:rPr>
          <w:rFonts w:ascii="Arial" w:hAnsi="Arial"/>
        </w:rPr>
      </w:pPr>
    </w:p>
    <w:p w14:paraId="68BC21CE" w14:textId="1469C470" w:rsidR="00821F49" w:rsidRDefault="00821F49" w:rsidP="00821F49">
      <w:pPr>
        <w:jc w:val="both"/>
        <w:rPr>
          <w:rFonts w:ascii="Arial" w:hAnsi="Arial"/>
        </w:rPr>
      </w:pPr>
    </w:p>
    <w:p w14:paraId="38A1C60B" w14:textId="3137672B" w:rsidR="00821F49" w:rsidRDefault="00821F49" w:rsidP="00821F49">
      <w:pPr>
        <w:jc w:val="both"/>
        <w:rPr>
          <w:rFonts w:ascii="Arial" w:hAnsi="Arial"/>
        </w:rPr>
      </w:pPr>
    </w:p>
    <w:p w14:paraId="357DA7ED" w14:textId="309FF7A1" w:rsidR="00821F49" w:rsidRDefault="00821F49" w:rsidP="00821F49">
      <w:pPr>
        <w:jc w:val="both"/>
        <w:rPr>
          <w:rFonts w:ascii="Arial" w:hAnsi="Arial"/>
        </w:rPr>
      </w:pPr>
    </w:p>
    <w:p w14:paraId="03EBAEBD" w14:textId="039B3492" w:rsidR="00821F49" w:rsidRDefault="00821F49" w:rsidP="00821F49">
      <w:pPr>
        <w:jc w:val="both"/>
        <w:rPr>
          <w:rFonts w:ascii="Arial" w:hAnsi="Arial"/>
        </w:rPr>
      </w:pPr>
    </w:p>
    <w:p w14:paraId="743C8972" w14:textId="5171D466" w:rsidR="00821F49" w:rsidRDefault="00821F49" w:rsidP="00821F49">
      <w:pPr>
        <w:jc w:val="both"/>
        <w:rPr>
          <w:rFonts w:ascii="Arial" w:hAnsi="Arial"/>
        </w:rPr>
      </w:pPr>
    </w:p>
    <w:p w14:paraId="16EE1BCF" w14:textId="47AD8401" w:rsidR="00821F49" w:rsidRDefault="00821F49" w:rsidP="00821F49">
      <w:pPr>
        <w:jc w:val="both"/>
        <w:rPr>
          <w:rFonts w:ascii="Arial" w:hAnsi="Arial"/>
        </w:rPr>
      </w:pPr>
    </w:p>
    <w:p w14:paraId="66ADEFDB" w14:textId="39D78810" w:rsidR="00821F49" w:rsidRDefault="00821F49" w:rsidP="00821F49">
      <w:pPr>
        <w:jc w:val="both"/>
        <w:rPr>
          <w:rFonts w:ascii="Arial" w:hAnsi="Arial"/>
        </w:rPr>
      </w:pPr>
    </w:p>
    <w:p w14:paraId="1C8BB00C" w14:textId="35ED74DB" w:rsidR="00821F49" w:rsidRDefault="00821F49" w:rsidP="00821F49">
      <w:pPr>
        <w:jc w:val="both"/>
        <w:rPr>
          <w:rFonts w:ascii="Arial" w:hAnsi="Arial"/>
        </w:rPr>
      </w:pPr>
    </w:p>
    <w:p w14:paraId="71A8CDBF" w14:textId="73EA1092" w:rsidR="00821F49" w:rsidRDefault="00821F49" w:rsidP="00821F49">
      <w:pPr>
        <w:jc w:val="both"/>
        <w:rPr>
          <w:rFonts w:ascii="Arial" w:hAnsi="Arial"/>
        </w:rPr>
      </w:pPr>
    </w:p>
    <w:p w14:paraId="758A985D" w14:textId="61041434" w:rsidR="00821F49" w:rsidRDefault="00821F49" w:rsidP="00821F49">
      <w:pPr>
        <w:jc w:val="both"/>
        <w:rPr>
          <w:rFonts w:ascii="Arial" w:hAnsi="Arial"/>
        </w:rPr>
      </w:pPr>
    </w:p>
    <w:p w14:paraId="748808CC" w14:textId="21C66842" w:rsidR="00821F49" w:rsidRDefault="00821F49" w:rsidP="00821F49">
      <w:pPr>
        <w:jc w:val="both"/>
        <w:rPr>
          <w:rFonts w:ascii="Arial" w:hAnsi="Arial"/>
        </w:rPr>
      </w:pPr>
    </w:p>
    <w:p w14:paraId="539A600D" w14:textId="6463B5C7" w:rsidR="00821F49" w:rsidRDefault="00821F49" w:rsidP="00821F49">
      <w:pPr>
        <w:jc w:val="both"/>
        <w:rPr>
          <w:rFonts w:ascii="Arial" w:hAnsi="Arial"/>
        </w:rPr>
      </w:pPr>
    </w:p>
    <w:p w14:paraId="60417213" w14:textId="49C23A7D" w:rsidR="00821F49" w:rsidRDefault="00821F49" w:rsidP="00821F49">
      <w:pPr>
        <w:jc w:val="both"/>
        <w:rPr>
          <w:rFonts w:ascii="Arial" w:hAnsi="Arial"/>
        </w:rPr>
      </w:pPr>
    </w:p>
    <w:p w14:paraId="3B4AA35B" w14:textId="39699AA6" w:rsidR="00821F49" w:rsidRDefault="00821F49" w:rsidP="00821F49">
      <w:pPr>
        <w:jc w:val="both"/>
        <w:rPr>
          <w:rFonts w:ascii="Arial" w:hAnsi="Arial"/>
        </w:rPr>
      </w:pPr>
    </w:p>
    <w:p w14:paraId="235E9BD0" w14:textId="7F8C354D" w:rsidR="00821F49" w:rsidRDefault="00821F49" w:rsidP="00821F49">
      <w:pPr>
        <w:jc w:val="both"/>
        <w:rPr>
          <w:rFonts w:ascii="Arial" w:hAnsi="Arial"/>
        </w:rPr>
      </w:pPr>
    </w:p>
    <w:p w14:paraId="40E5DAC3" w14:textId="4D063432" w:rsidR="00821F49" w:rsidRDefault="00821F49" w:rsidP="00821F49">
      <w:pPr>
        <w:jc w:val="both"/>
        <w:rPr>
          <w:rFonts w:ascii="Arial" w:hAnsi="Arial"/>
        </w:rPr>
      </w:pPr>
    </w:p>
    <w:p w14:paraId="020D3557" w14:textId="4FC3EF8B" w:rsidR="00821F49" w:rsidRDefault="00821F49" w:rsidP="00821F49">
      <w:pPr>
        <w:jc w:val="both"/>
        <w:rPr>
          <w:rFonts w:ascii="Arial" w:hAnsi="Arial"/>
        </w:rPr>
      </w:pPr>
    </w:p>
    <w:p w14:paraId="2AC99665" w14:textId="129B6494" w:rsidR="00821F49" w:rsidRDefault="00821F49" w:rsidP="00821F49">
      <w:pPr>
        <w:jc w:val="both"/>
        <w:rPr>
          <w:rFonts w:ascii="Arial" w:hAnsi="Arial"/>
        </w:rPr>
      </w:pPr>
    </w:p>
    <w:p w14:paraId="6E6E4AF8" w14:textId="183EF7B2" w:rsidR="00821F49" w:rsidRDefault="00821F49" w:rsidP="00821F49">
      <w:pPr>
        <w:jc w:val="both"/>
        <w:rPr>
          <w:rFonts w:ascii="Arial" w:hAnsi="Arial"/>
        </w:rPr>
      </w:pPr>
    </w:p>
    <w:p w14:paraId="42B114D9" w14:textId="1E79909E" w:rsidR="00821F49" w:rsidRDefault="00821F49" w:rsidP="00821F49">
      <w:pPr>
        <w:jc w:val="both"/>
        <w:rPr>
          <w:rFonts w:ascii="Arial" w:hAnsi="Arial"/>
        </w:rPr>
      </w:pPr>
    </w:p>
    <w:p w14:paraId="38ADB153" w14:textId="7A789245" w:rsidR="00821F49" w:rsidRDefault="00821F49" w:rsidP="00821F49">
      <w:pPr>
        <w:jc w:val="both"/>
        <w:rPr>
          <w:rFonts w:ascii="Arial" w:hAnsi="Arial"/>
        </w:rPr>
      </w:pPr>
    </w:p>
    <w:p w14:paraId="7E904817" w14:textId="002A9145" w:rsidR="00821F49" w:rsidRDefault="00821F49" w:rsidP="00821F49">
      <w:pPr>
        <w:jc w:val="both"/>
        <w:rPr>
          <w:rFonts w:ascii="Arial" w:hAnsi="Arial"/>
        </w:rPr>
      </w:pPr>
    </w:p>
    <w:p w14:paraId="7C13C1BB" w14:textId="1CFC0F95" w:rsidR="00821F49" w:rsidRDefault="00821F49" w:rsidP="00821F49">
      <w:pPr>
        <w:jc w:val="both"/>
        <w:rPr>
          <w:rFonts w:ascii="Arial" w:hAnsi="Arial"/>
        </w:rPr>
      </w:pPr>
    </w:p>
    <w:p w14:paraId="7E8BAD00" w14:textId="4F78CD70" w:rsidR="00821F49" w:rsidRDefault="00821F49" w:rsidP="00477FBC">
      <w:pPr>
        <w:jc w:val="both"/>
        <w:rPr>
          <w:rFonts w:ascii="Arial" w:hAnsi="Arial"/>
        </w:rPr>
      </w:pPr>
    </w:p>
    <w:p w14:paraId="231DEAC8" w14:textId="77777777" w:rsidR="006C46A2" w:rsidRPr="0039151C" w:rsidRDefault="00477FBC" w:rsidP="0026132E">
      <w:pPr>
        <w:rPr>
          <w:b/>
        </w:rPr>
      </w:pPr>
      <w:r w:rsidRPr="0039151C">
        <w:rPr>
          <w:rFonts w:ascii="Arial" w:hAnsi="Arial" w:cs="Arial"/>
          <w:b/>
          <w:lang w:eastAsia="zh-CN"/>
        </w:rPr>
        <w:t xml:space="preserve">2/ Qualité de </w:t>
      </w:r>
      <w:r w:rsidR="000C6F75">
        <w:rPr>
          <w:rFonts w:ascii="Arial" w:hAnsi="Arial" w:cs="Arial"/>
          <w:b/>
          <w:lang w:eastAsia="zh-CN"/>
        </w:rPr>
        <w:t xml:space="preserve">l’organisation et de </w:t>
      </w:r>
      <w:r w:rsidRPr="0039151C">
        <w:rPr>
          <w:rFonts w:ascii="Arial" w:hAnsi="Arial" w:cs="Arial"/>
          <w:b/>
          <w:lang w:eastAsia="zh-CN"/>
        </w:rPr>
        <w:t>la méthodologie globale proposée</w:t>
      </w:r>
    </w:p>
    <w:p w14:paraId="4DC4C057" w14:textId="77777777" w:rsidR="006C46A2" w:rsidRDefault="006C46A2" w:rsidP="0026132E"/>
    <w:p w14:paraId="1013AC1A" w14:textId="77777777" w:rsidR="006C46A2" w:rsidRPr="00477FBC" w:rsidRDefault="00477FBC" w:rsidP="00F46B1E">
      <w:pPr>
        <w:jc w:val="both"/>
        <w:rPr>
          <w:rFonts w:ascii="Arial" w:hAnsi="Arial" w:cs="Arial"/>
          <w:bCs/>
          <w:lang w:eastAsia="zh-CN"/>
        </w:rPr>
      </w:pPr>
      <w:r w:rsidRPr="00477FBC">
        <w:rPr>
          <w:rFonts w:ascii="Arial" w:hAnsi="Arial" w:cs="Arial"/>
          <w:bCs/>
          <w:lang w:eastAsia="zh-CN"/>
        </w:rPr>
        <w:t xml:space="preserve">Il est attendu du candidat une description </w:t>
      </w:r>
      <w:r w:rsidR="00F46B1E">
        <w:rPr>
          <w:rFonts w:ascii="Arial" w:hAnsi="Arial" w:cs="Arial"/>
          <w:bCs/>
          <w:lang w:eastAsia="zh-CN"/>
        </w:rPr>
        <w:t>détaillée</w:t>
      </w:r>
      <w:r w:rsidRPr="00477FBC">
        <w:rPr>
          <w:rFonts w:ascii="Arial" w:hAnsi="Arial" w:cs="Arial"/>
          <w:bCs/>
          <w:lang w:eastAsia="zh-CN"/>
        </w:rPr>
        <w:t xml:space="preserve"> de l’organisation et de la méthodologie mises en œuvre afin de garantir la bonne réalisation des prest</w:t>
      </w:r>
      <w:r w:rsidR="00F46B1E">
        <w:rPr>
          <w:rFonts w:ascii="Arial" w:hAnsi="Arial" w:cs="Arial"/>
          <w:bCs/>
          <w:lang w:eastAsia="zh-CN"/>
        </w:rPr>
        <w:t>ations.</w:t>
      </w:r>
      <w:r w:rsidR="00D26FED">
        <w:rPr>
          <w:rFonts w:ascii="Arial" w:hAnsi="Arial" w:cs="Arial"/>
          <w:bCs/>
          <w:lang w:eastAsia="zh-CN"/>
        </w:rPr>
        <w:t xml:space="preserve"> </w:t>
      </w:r>
      <w:r w:rsidR="00D26FED" w:rsidRPr="00B85F80">
        <w:rPr>
          <w:rFonts w:ascii="Arial" w:hAnsi="Arial" w:cs="Arial"/>
          <w:bCs/>
          <w:lang w:eastAsia="zh-CN"/>
        </w:rPr>
        <w:t>Le candidat devra notamment expliquer comment la méthodologie intègrera les spécificités de l’Agence centrale (cadre juridique, missions, …) au regard d’autres émetteurs, comment les recommandations formulées tiendront compte du caractère réellement opérant pour l’agence centrale.</w:t>
      </w:r>
    </w:p>
    <w:p w14:paraId="5DBE1F2F" w14:textId="77777777" w:rsidR="006C46A2" w:rsidRPr="0035127E" w:rsidRDefault="006C46A2" w:rsidP="00F46B1E">
      <w:pPr>
        <w:jc w:val="both"/>
        <w:rPr>
          <w:rFonts w:ascii="Arial" w:hAnsi="Arial"/>
        </w:rPr>
      </w:pPr>
    </w:p>
    <w:p w14:paraId="61BF41B0" w14:textId="77777777" w:rsidR="0035127E" w:rsidRDefault="0035127E" w:rsidP="0035127E">
      <w:pPr>
        <w:pStyle w:val="Corpsdetexte"/>
        <w:rPr>
          <w:rFonts w:ascii="Arial" w:hAnsi="Arial"/>
          <w:sz w:val="20"/>
        </w:rPr>
      </w:pPr>
      <w:r>
        <w:rPr>
          <w:rFonts w:ascii="Arial" w:hAnsi="Arial"/>
          <w:sz w:val="20"/>
        </w:rPr>
        <w:t>De plus le candidat devra fournir des éléments quant à la capacité de l’équipe proposée à assurer la continuité de service sur toute la durée du marché.</w:t>
      </w:r>
    </w:p>
    <w:p w14:paraId="0147E132" w14:textId="77777777" w:rsidR="000E612F" w:rsidRPr="0035127E" w:rsidRDefault="000E612F" w:rsidP="0035127E">
      <w:pPr>
        <w:pStyle w:val="Corpsdetexte"/>
        <w:rPr>
          <w:rFonts w:ascii="Arial" w:hAnsi="Arial"/>
          <w:sz w:val="20"/>
        </w:rPr>
      </w:pPr>
    </w:p>
    <w:p w14:paraId="3D96EFFD" w14:textId="77777777" w:rsidR="00391C90" w:rsidRDefault="00391C90" w:rsidP="000E612F">
      <w:pPr>
        <w:tabs>
          <w:tab w:val="left" w:pos="993"/>
        </w:tabs>
        <w:ind w:left="993" w:hanging="284"/>
        <w:jc w:val="both"/>
        <w:rPr>
          <w:rFonts w:ascii="Arial" w:hAnsi="Arial"/>
        </w:rPr>
      </w:pPr>
    </w:p>
    <w:p w14:paraId="628198EC" w14:textId="77777777" w:rsidR="00391C90" w:rsidRPr="00391C90" w:rsidRDefault="00391C90" w:rsidP="00391C90">
      <w:pPr>
        <w:rPr>
          <w:rFonts w:ascii="Arial" w:hAnsi="Arial" w:cs="Arial"/>
        </w:rPr>
      </w:pPr>
      <w:r w:rsidRPr="00391C90">
        <w:rPr>
          <w:rFonts w:ascii="Arial" w:hAnsi="Arial" w:cs="Arial"/>
        </w:rPr>
        <w:t>A cette fin, le candidat précisera</w:t>
      </w:r>
      <w:r w:rsidR="00517A18">
        <w:rPr>
          <w:rFonts w:ascii="Arial" w:hAnsi="Arial" w:cs="Arial"/>
        </w:rPr>
        <w:t xml:space="preserve"> dans son offre les éléments permettant de </w:t>
      </w:r>
      <w:r w:rsidRPr="00391C90">
        <w:rPr>
          <w:rFonts w:ascii="Arial" w:hAnsi="Arial" w:cs="Arial"/>
        </w:rPr>
        <w:t>:</w:t>
      </w:r>
    </w:p>
    <w:p w14:paraId="20D47D23" w14:textId="77777777" w:rsidR="00391C90" w:rsidRPr="00391C90" w:rsidRDefault="00391C90" w:rsidP="00391C90">
      <w:pPr>
        <w:rPr>
          <w:rFonts w:ascii="Arial" w:hAnsi="Arial" w:cs="Arial"/>
        </w:rPr>
      </w:pPr>
    </w:p>
    <w:p w14:paraId="12D174AB" w14:textId="4320F88D" w:rsidR="00391C90" w:rsidRPr="00391C90" w:rsidRDefault="00517A18" w:rsidP="00391C90">
      <w:pPr>
        <w:numPr>
          <w:ilvl w:val="1"/>
          <w:numId w:val="7"/>
        </w:numPr>
        <w:tabs>
          <w:tab w:val="clear" w:pos="2574"/>
          <w:tab w:val="num" w:pos="180"/>
        </w:tabs>
        <w:ind w:left="180" w:hanging="180"/>
        <w:rPr>
          <w:rFonts w:ascii="Arial" w:hAnsi="Arial" w:cs="Arial"/>
        </w:rPr>
      </w:pPr>
      <w:r>
        <w:rPr>
          <w:rFonts w:ascii="Arial" w:hAnsi="Arial" w:cs="Arial"/>
        </w:rPr>
        <w:t xml:space="preserve">Garantir </w:t>
      </w:r>
      <w:r w:rsidR="00391C90" w:rsidRPr="00391C90">
        <w:rPr>
          <w:rFonts w:ascii="Arial" w:hAnsi="Arial" w:cs="Arial"/>
        </w:rPr>
        <w:t>le respect des livrables demandés, tout particulièrement dans leur forme</w:t>
      </w:r>
      <w:r w:rsidR="00391C90">
        <w:rPr>
          <w:rFonts w:ascii="Arial" w:hAnsi="Arial" w:cs="Arial"/>
        </w:rPr>
        <w:t xml:space="preserve">, telles que définies à l’article </w:t>
      </w:r>
      <w:r w:rsidR="005C72AC">
        <w:rPr>
          <w:rFonts w:ascii="Arial" w:hAnsi="Arial" w:cs="Arial"/>
        </w:rPr>
        <w:t>6</w:t>
      </w:r>
      <w:r w:rsidR="00391C90">
        <w:rPr>
          <w:rFonts w:ascii="Arial" w:hAnsi="Arial" w:cs="Arial"/>
        </w:rPr>
        <w:t xml:space="preserve"> du CCTP</w:t>
      </w:r>
      <w:r w:rsidR="001D4E62">
        <w:rPr>
          <w:rFonts w:ascii="Arial" w:hAnsi="Arial" w:cs="Arial"/>
        </w:rPr>
        <w:t>. Pour ce faire, le candidat fournira, à titre d’exemple, une trame ou des modèles de rapports similaires</w:t>
      </w:r>
    </w:p>
    <w:p w14:paraId="08758C81" w14:textId="6DA67C57" w:rsidR="00391C90" w:rsidRPr="00391C90" w:rsidRDefault="00517A18" w:rsidP="00391C90">
      <w:pPr>
        <w:numPr>
          <w:ilvl w:val="1"/>
          <w:numId w:val="7"/>
        </w:numPr>
        <w:tabs>
          <w:tab w:val="clear" w:pos="2574"/>
          <w:tab w:val="num" w:pos="180"/>
        </w:tabs>
        <w:ind w:left="180" w:hanging="180"/>
        <w:rPr>
          <w:rFonts w:ascii="Arial" w:hAnsi="Arial" w:cs="Arial"/>
        </w:rPr>
      </w:pPr>
      <w:r>
        <w:rPr>
          <w:rFonts w:ascii="Arial" w:hAnsi="Arial" w:cs="Arial"/>
        </w:rPr>
        <w:t xml:space="preserve">Garantir </w:t>
      </w:r>
      <w:r w:rsidR="00391C90" w:rsidRPr="00391C90">
        <w:rPr>
          <w:rFonts w:ascii="Arial" w:hAnsi="Arial" w:cs="Arial"/>
        </w:rPr>
        <w:t>le contrôle et le maintien constant des compétences,</w:t>
      </w:r>
    </w:p>
    <w:p w14:paraId="1A3FD080" w14:textId="55126B29" w:rsidR="00AB7D02" w:rsidRPr="003E7088" w:rsidRDefault="00517A18" w:rsidP="001D4E62">
      <w:pPr>
        <w:numPr>
          <w:ilvl w:val="1"/>
          <w:numId w:val="7"/>
        </w:numPr>
        <w:tabs>
          <w:tab w:val="clear" w:pos="2574"/>
          <w:tab w:val="num" w:pos="180"/>
        </w:tabs>
        <w:ind w:left="180" w:hanging="180"/>
        <w:rPr>
          <w:rFonts w:ascii="Arial" w:hAnsi="Arial" w:cs="Arial"/>
        </w:rPr>
      </w:pPr>
      <w:r w:rsidRPr="003E7088">
        <w:rPr>
          <w:rFonts w:ascii="Arial" w:hAnsi="Arial" w:cs="Arial"/>
        </w:rPr>
        <w:t xml:space="preserve">Démontrer </w:t>
      </w:r>
      <w:r w:rsidR="00391C90" w:rsidRPr="003E7088">
        <w:rPr>
          <w:rFonts w:ascii="Arial" w:hAnsi="Arial" w:cs="Arial"/>
        </w:rPr>
        <w:t>une forte réactivité, notamment en adaptant très rapidement les équipes, le cas échéant, en termes de nombre</w:t>
      </w:r>
      <w:r w:rsidR="003E7088">
        <w:rPr>
          <w:rFonts w:ascii="Arial" w:hAnsi="Arial" w:cs="Arial"/>
        </w:rPr>
        <w:t xml:space="preserve"> et g</w:t>
      </w:r>
      <w:r w:rsidRPr="003E7088">
        <w:rPr>
          <w:rFonts w:ascii="Arial" w:hAnsi="Arial" w:cs="Arial"/>
        </w:rPr>
        <w:t>arantir</w:t>
      </w:r>
      <w:r w:rsidR="00AB7D02" w:rsidRPr="003E7088">
        <w:rPr>
          <w:rFonts w:ascii="Arial" w:hAnsi="Arial" w:cs="Arial"/>
        </w:rPr>
        <w:t xml:space="preserve"> la continuité de service et sa qualité sur toute la durée du marché</w:t>
      </w:r>
    </w:p>
    <w:p w14:paraId="1D2E822A" w14:textId="77777777" w:rsidR="00AB7D02" w:rsidRPr="00A76BFF" w:rsidRDefault="00517A18" w:rsidP="001D4E62">
      <w:pPr>
        <w:numPr>
          <w:ilvl w:val="1"/>
          <w:numId w:val="7"/>
        </w:numPr>
        <w:tabs>
          <w:tab w:val="clear" w:pos="2574"/>
          <w:tab w:val="num" w:pos="180"/>
        </w:tabs>
        <w:ind w:left="180" w:hanging="180"/>
        <w:rPr>
          <w:rFonts w:ascii="Arial" w:hAnsi="Arial" w:cs="Arial"/>
        </w:rPr>
      </w:pPr>
      <w:r w:rsidRPr="00A76BFF">
        <w:rPr>
          <w:rFonts w:ascii="Arial" w:hAnsi="Arial" w:cs="Arial"/>
        </w:rPr>
        <w:t>Démont</w:t>
      </w:r>
      <w:r w:rsidR="00B32844" w:rsidRPr="00A76BFF">
        <w:rPr>
          <w:rFonts w:ascii="Arial" w:hAnsi="Arial" w:cs="Arial"/>
        </w:rPr>
        <w:t>r</w:t>
      </w:r>
      <w:r w:rsidRPr="00A76BFF">
        <w:rPr>
          <w:rFonts w:ascii="Arial" w:hAnsi="Arial" w:cs="Arial"/>
        </w:rPr>
        <w:t>er l</w:t>
      </w:r>
      <w:r w:rsidR="009D7D2A" w:rsidRPr="00A76BFF">
        <w:rPr>
          <w:rFonts w:ascii="Arial" w:hAnsi="Arial" w:cs="Arial"/>
        </w:rPr>
        <w:t>a c</w:t>
      </w:r>
      <w:r w:rsidR="00AB7D02" w:rsidRPr="00A76BFF">
        <w:rPr>
          <w:rFonts w:ascii="Arial" w:hAnsi="Arial" w:cs="Arial"/>
        </w:rPr>
        <w:t xml:space="preserve">apacité à prendre en compte les spécificités de l’Acoss </w:t>
      </w:r>
      <w:r w:rsidR="009D7D2A" w:rsidRPr="00A76BFF">
        <w:rPr>
          <w:rFonts w:ascii="Arial" w:hAnsi="Arial" w:cs="Arial"/>
        </w:rPr>
        <w:t>(</w:t>
      </w:r>
      <w:r w:rsidR="00AB7D02" w:rsidRPr="00A76BFF">
        <w:rPr>
          <w:rFonts w:ascii="Arial" w:hAnsi="Arial" w:cs="Arial"/>
        </w:rPr>
        <w:t>et sa proximité avec l’Etat et la Caisse des dépôts</w:t>
      </w:r>
      <w:r w:rsidR="009D7D2A" w:rsidRPr="00A76BFF">
        <w:rPr>
          <w:rFonts w:ascii="Arial" w:hAnsi="Arial" w:cs="Arial"/>
        </w:rPr>
        <w:t xml:space="preserve">, </w:t>
      </w:r>
      <w:r w:rsidR="00AB7D02" w:rsidRPr="00A76BFF">
        <w:rPr>
          <w:rFonts w:ascii="Arial" w:hAnsi="Arial" w:cs="Arial"/>
        </w:rPr>
        <w:t>son banquier de référence)</w:t>
      </w:r>
    </w:p>
    <w:p w14:paraId="1C44398F" w14:textId="77777777" w:rsidR="00AB7D02" w:rsidRPr="00A76BFF" w:rsidRDefault="00517A18" w:rsidP="001D4E62">
      <w:pPr>
        <w:numPr>
          <w:ilvl w:val="1"/>
          <w:numId w:val="7"/>
        </w:numPr>
        <w:tabs>
          <w:tab w:val="clear" w:pos="2574"/>
          <w:tab w:val="num" w:pos="180"/>
        </w:tabs>
        <w:ind w:left="180" w:hanging="180"/>
        <w:rPr>
          <w:rFonts w:ascii="Arial" w:hAnsi="Arial" w:cs="Arial"/>
        </w:rPr>
      </w:pPr>
      <w:r w:rsidRPr="00A76BFF">
        <w:rPr>
          <w:rFonts w:ascii="Arial" w:hAnsi="Arial" w:cs="Arial"/>
        </w:rPr>
        <w:t>Assurer l</w:t>
      </w:r>
      <w:r w:rsidR="000D68E3" w:rsidRPr="00A76BFF">
        <w:rPr>
          <w:rFonts w:ascii="Arial" w:hAnsi="Arial" w:cs="Arial"/>
        </w:rPr>
        <w:t>a</w:t>
      </w:r>
      <w:r w:rsidR="00AB7D02" w:rsidRPr="00A76BFF">
        <w:rPr>
          <w:rFonts w:ascii="Arial" w:hAnsi="Arial" w:cs="Arial"/>
        </w:rPr>
        <w:t xml:space="preserve"> conduite de l’audit</w:t>
      </w:r>
      <w:r w:rsidR="000D68E3" w:rsidRPr="00A76BFF">
        <w:rPr>
          <w:rFonts w:ascii="Arial" w:hAnsi="Arial" w:cs="Arial"/>
        </w:rPr>
        <w:t xml:space="preserve"> d’une manière adéquate et clairement explicitée</w:t>
      </w:r>
    </w:p>
    <w:p w14:paraId="0060F48D" w14:textId="77777777" w:rsidR="00F47019" w:rsidRPr="00A76BFF" w:rsidRDefault="00F47019" w:rsidP="00F47019">
      <w:pPr>
        <w:ind w:left="180"/>
        <w:rPr>
          <w:rFonts w:ascii="Arial" w:hAnsi="Arial" w:cs="Arial"/>
        </w:rPr>
      </w:pPr>
    </w:p>
    <w:p w14:paraId="22927148" w14:textId="77777777" w:rsidR="00AB7D02" w:rsidRPr="00A76BFF" w:rsidRDefault="00AB7D02" w:rsidP="00F47019">
      <w:pPr>
        <w:rPr>
          <w:rFonts w:ascii="Arial" w:hAnsi="Arial" w:cs="Arial"/>
        </w:rPr>
      </w:pPr>
      <w:r w:rsidRPr="00A76BFF">
        <w:rPr>
          <w:rFonts w:ascii="Arial" w:hAnsi="Arial" w:cs="Arial"/>
        </w:rPr>
        <w:t xml:space="preserve">Les références normatives recommandées dans le cas de l’agence centrale </w:t>
      </w:r>
      <w:r w:rsidR="00F47019" w:rsidRPr="00A76BFF">
        <w:rPr>
          <w:rFonts w:ascii="Arial" w:hAnsi="Arial" w:cs="Arial"/>
        </w:rPr>
        <w:t xml:space="preserve">seront aussi appréciées </w:t>
      </w:r>
      <w:r w:rsidRPr="00A76BFF">
        <w:rPr>
          <w:rFonts w:ascii="Arial" w:hAnsi="Arial" w:cs="Arial"/>
        </w:rPr>
        <w:t>(en s’appuyant sur une analyse comparative globale – « benchmark</w:t>
      </w:r>
      <w:r w:rsidR="00ED3484" w:rsidRPr="00A76BFF">
        <w:rPr>
          <w:rFonts w:ascii="Arial" w:hAnsi="Arial" w:cs="Arial"/>
        </w:rPr>
        <w:t> » -</w:t>
      </w:r>
      <w:r w:rsidRPr="00A76BFF">
        <w:rPr>
          <w:rFonts w:ascii="Arial" w:hAnsi="Arial" w:cs="Arial"/>
        </w:rPr>
        <w:t xml:space="preserve"> dont la méthode devra être précisée)</w:t>
      </w:r>
    </w:p>
    <w:p w14:paraId="6710A980" w14:textId="77777777" w:rsidR="00AB7D02" w:rsidRPr="00A76BFF" w:rsidRDefault="00F47019" w:rsidP="00F47019">
      <w:pPr>
        <w:rPr>
          <w:rFonts w:ascii="Arial" w:hAnsi="Arial" w:cs="Arial"/>
        </w:rPr>
      </w:pPr>
      <w:r w:rsidRPr="00A76BFF">
        <w:rPr>
          <w:rFonts w:ascii="Arial" w:hAnsi="Arial" w:cs="Arial"/>
        </w:rPr>
        <w:t xml:space="preserve">Enfin, </w:t>
      </w:r>
      <w:r w:rsidR="00AB7D02" w:rsidRPr="00A76BFF">
        <w:rPr>
          <w:rFonts w:ascii="Arial" w:hAnsi="Arial" w:cs="Arial"/>
        </w:rPr>
        <w:t>la mobilisation des membres de l’équipe au cours de la mission</w:t>
      </w:r>
      <w:r w:rsidRPr="00A76BFF">
        <w:rPr>
          <w:rFonts w:ascii="Arial" w:hAnsi="Arial" w:cs="Arial"/>
        </w:rPr>
        <w:t xml:space="preserve"> devra également être présentée.</w:t>
      </w:r>
    </w:p>
    <w:p w14:paraId="054393A2" w14:textId="77777777" w:rsidR="00391C90" w:rsidRPr="00391C90" w:rsidRDefault="00391C90" w:rsidP="00391C90">
      <w:pPr>
        <w:rPr>
          <w:rFonts w:ascii="Arial" w:hAnsi="Arial" w:cs="Arial"/>
        </w:rPr>
      </w:pPr>
    </w:p>
    <w:p w14:paraId="0C835232" w14:textId="77777777" w:rsidR="000E612F" w:rsidRDefault="000E612F" w:rsidP="000E612F">
      <w:pPr>
        <w:jc w:val="both"/>
        <w:rPr>
          <w:rFonts w:ascii="Arial" w:hAnsi="Arial"/>
        </w:rPr>
      </w:pPr>
    </w:p>
    <w:p w14:paraId="24F4FF50" w14:textId="28E78A7C" w:rsidR="00821F49" w:rsidRDefault="00821F49">
      <w:pPr>
        <w:rPr>
          <w:rFonts w:ascii="Arial" w:hAnsi="Arial"/>
        </w:rPr>
      </w:pPr>
      <w:r>
        <w:rPr>
          <w:rFonts w:ascii="Arial" w:hAnsi="Arial"/>
        </w:rPr>
        <w:br w:type="page"/>
      </w:r>
    </w:p>
    <w:p w14:paraId="55B881AD" w14:textId="77777777" w:rsidR="00ED3484" w:rsidRDefault="00ED3484" w:rsidP="000E612F">
      <w:pPr>
        <w:jc w:val="both"/>
        <w:rPr>
          <w:rFonts w:ascii="Arial" w:hAnsi="Arial"/>
        </w:rPr>
      </w:pPr>
    </w:p>
    <w:p w14:paraId="65F36DE9" w14:textId="77777777" w:rsidR="006C46A2" w:rsidRPr="00FE005A" w:rsidRDefault="005D2B7A" w:rsidP="002E4E59">
      <w:pPr>
        <w:rPr>
          <w:rFonts w:ascii="Arial" w:hAnsi="Arial" w:cs="Arial"/>
          <w:b/>
          <w:lang w:eastAsia="zh-CN"/>
        </w:rPr>
      </w:pPr>
      <w:r w:rsidRPr="00FE005A">
        <w:rPr>
          <w:rFonts w:ascii="Arial" w:hAnsi="Arial" w:cs="Arial"/>
          <w:b/>
          <w:lang w:eastAsia="zh-CN"/>
        </w:rPr>
        <w:t>3/ Délais maximum de réalisation des prestations</w:t>
      </w:r>
    </w:p>
    <w:p w14:paraId="46CC7948" w14:textId="77777777" w:rsidR="003F1B65" w:rsidRDefault="003F1B65" w:rsidP="005D2B7A">
      <w:pPr>
        <w:jc w:val="both"/>
        <w:rPr>
          <w:rFonts w:ascii="Arial" w:hAnsi="Arial" w:cs="Arial"/>
          <w:bCs/>
          <w:lang w:eastAsia="zh-CN"/>
        </w:rPr>
      </w:pPr>
    </w:p>
    <w:p w14:paraId="2D559FBE" w14:textId="77777777" w:rsidR="00FE7E0B" w:rsidRPr="0035127E" w:rsidRDefault="005D2B7A" w:rsidP="0016618F">
      <w:pPr>
        <w:jc w:val="both"/>
        <w:rPr>
          <w:rFonts w:ascii="Arial" w:hAnsi="Arial" w:cs="Arial"/>
          <w:bCs/>
          <w:lang w:eastAsia="zh-CN"/>
        </w:rPr>
      </w:pPr>
      <w:r>
        <w:rPr>
          <w:rFonts w:ascii="Arial" w:hAnsi="Arial" w:cs="Arial"/>
          <w:bCs/>
          <w:lang w:eastAsia="zh-CN"/>
        </w:rPr>
        <w:t xml:space="preserve">Il est attendu du candidat </w:t>
      </w:r>
      <w:r w:rsidRPr="00EB15E8">
        <w:rPr>
          <w:rFonts w:ascii="Arial" w:hAnsi="Arial" w:cs="Arial"/>
          <w:bCs/>
          <w:u w:val="single"/>
          <w:lang w:eastAsia="zh-CN"/>
        </w:rPr>
        <w:t>l’indication du délai maxim</w:t>
      </w:r>
      <w:r w:rsidR="0016618F" w:rsidRPr="00EB15E8">
        <w:rPr>
          <w:rFonts w:ascii="Arial" w:hAnsi="Arial" w:cs="Arial"/>
          <w:bCs/>
          <w:u w:val="single"/>
          <w:lang w:eastAsia="zh-CN"/>
        </w:rPr>
        <w:t>al</w:t>
      </w:r>
      <w:r w:rsidR="008413A0" w:rsidRPr="00EB15E8">
        <w:rPr>
          <w:rFonts w:ascii="Arial" w:hAnsi="Arial" w:cs="Arial"/>
          <w:bCs/>
          <w:u w:val="single"/>
          <w:lang w:eastAsia="zh-CN"/>
        </w:rPr>
        <w:t xml:space="preserve">, </w:t>
      </w:r>
      <w:r w:rsidR="008413A0" w:rsidRPr="00EB15E8">
        <w:rPr>
          <w:rFonts w:ascii="Arial" w:hAnsi="Arial" w:cs="Arial"/>
          <w:b/>
          <w:bCs/>
          <w:u w:val="single"/>
          <w:lang w:eastAsia="zh-CN"/>
        </w:rPr>
        <w:t>avant phase d’ajustement final</w:t>
      </w:r>
      <w:r w:rsidR="008413A0" w:rsidRPr="0035127E">
        <w:rPr>
          <w:rFonts w:ascii="Arial" w:hAnsi="Arial" w:cs="Arial"/>
          <w:bCs/>
          <w:lang w:eastAsia="zh-CN"/>
        </w:rPr>
        <w:t>,</w:t>
      </w:r>
      <w:r>
        <w:rPr>
          <w:rFonts w:ascii="Arial" w:hAnsi="Arial" w:cs="Arial"/>
          <w:bCs/>
          <w:lang w:eastAsia="zh-CN"/>
        </w:rPr>
        <w:t xml:space="preserve"> nécessaire pour </w:t>
      </w:r>
      <w:r w:rsidR="0016618F" w:rsidRPr="0016618F">
        <w:rPr>
          <w:rFonts w:ascii="Arial" w:hAnsi="Arial" w:cs="Arial"/>
          <w:bCs/>
          <w:lang w:eastAsia="zh-CN"/>
        </w:rPr>
        <w:t>réaliser l</w:t>
      </w:r>
      <w:r w:rsidR="0041672A">
        <w:rPr>
          <w:rFonts w:ascii="Arial" w:hAnsi="Arial" w:cs="Arial"/>
          <w:bCs/>
          <w:lang w:eastAsia="zh-CN"/>
        </w:rPr>
        <w:t>es</w:t>
      </w:r>
      <w:r w:rsidR="0016618F" w:rsidRPr="0016618F">
        <w:rPr>
          <w:rFonts w:ascii="Arial" w:hAnsi="Arial" w:cs="Arial"/>
          <w:bCs/>
          <w:lang w:eastAsia="zh-CN"/>
        </w:rPr>
        <w:t xml:space="preserve"> presta</w:t>
      </w:r>
      <w:r w:rsidR="0016618F">
        <w:rPr>
          <w:rFonts w:ascii="Arial" w:hAnsi="Arial" w:cs="Arial"/>
          <w:bCs/>
          <w:lang w:eastAsia="zh-CN"/>
        </w:rPr>
        <w:t>t</w:t>
      </w:r>
      <w:r w:rsidR="0016618F" w:rsidRPr="0016618F">
        <w:rPr>
          <w:rFonts w:ascii="Arial" w:hAnsi="Arial" w:cs="Arial"/>
          <w:bCs/>
          <w:lang w:eastAsia="zh-CN"/>
        </w:rPr>
        <w:t>ion</w:t>
      </w:r>
      <w:r w:rsidR="0041672A">
        <w:rPr>
          <w:rFonts w:ascii="Arial" w:hAnsi="Arial" w:cs="Arial"/>
          <w:bCs/>
          <w:lang w:eastAsia="zh-CN"/>
        </w:rPr>
        <w:t>s</w:t>
      </w:r>
      <w:r w:rsidR="008413A0">
        <w:rPr>
          <w:rFonts w:ascii="Arial" w:hAnsi="Arial" w:cs="Arial"/>
          <w:bCs/>
          <w:lang w:eastAsia="zh-CN"/>
        </w:rPr>
        <w:t xml:space="preserve"> (réalisation de l’audit et remise des livrables)</w:t>
      </w:r>
      <w:r w:rsidR="00BF60C2" w:rsidRPr="0035127E">
        <w:rPr>
          <w:rFonts w:ascii="Arial" w:hAnsi="Arial" w:cs="Arial"/>
          <w:bCs/>
          <w:lang w:eastAsia="zh-CN"/>
        </w:rPr>
        <w:t>, étant entendu que le</w:t>
      </w:r>
      <w:r w:rsidR="003433A5">
        <w:rPr>
          <w:rFonts w:ascii="Arial" w:hAnsi="Arial" w:cs="Arial"/>
          <w:bCs/>
          <w:lang w:eastAsia="zh-CN"/>
        </w:rPr>
        <w:t xml:space="preserve"> délai maximal souhaité par l’ACOSS</w:t>
      </w:r>
      <w:r w:rsidR="00BF60C2" w:rsidRPr="0035127E">
        <w:rPr>
          <w:rFonts w:ascii="Arial" w:hAnsi="Arial" w:cs="Arial"/>
          <w:bCs/>
          <w:lang w:eastAsia="zh-CN"/>
        </w:rPr>
        <w:t xml:space="preserve"> est de 20 jours ouvrés</w:t>
      </w:r>
      <w:r w:rsidR="00EB15E8">
        <w:rPr>
          <w:rFonts w:ascii="Arial" w:hAnsi="Arial" w:cs="Arial"/>
          <w:bCs/>
          <w:lang w:eastAsia="zh-CN"/>
        </w:rPr>
        <w:t xml:space="preserve"> (cf</w:t>
      </w:r>
      <w:r w:rsidR="006B368F">
        <w:rPr>
          <w:rFonts w:ascii="Arial" w:hAnsi="Arial" w:cs="Arial"/>
          <w:bCs/>
          <w:lang w:eastAsia="zh-CN"/>
        </w:rPr>
        <w:t>.</w:t>
      </w:r>
      <w:r w:rsidR="00025854">
        <w:rPr>
          <w:rFonts w:ascii="Arial" w:hAnsi="Arial" w:cs="Arial"/>
          <w:bCs/>
          <w:lang w:eastAsia="zh-CN"/>
        </w:rPr>
        <w:t xml:space="preserve"> article 4 du CCTP</w:t>
      </w:r>
      <w:r w:rsidR="00EB15E8">
        <w:rPr>
          <w:rFonts w:ascii="Arial" w:hAnsi="Arial" w:cs="Arial"/>
          <w:bCs/>
          <w:lang w:eastAsia="zh-CN"/>
        </w:rPr>
        <w:t>)</w:t>
      </w:r>
      <w:r w:rsidR="00BF60C2" w:rsidRPr="0035127E">
        <w:rPr>
          <w:rFonts w:ascii="Arial" w:hAnsi="Arial" w:cs="Arial"/>
          <w:bCs/>
          <w:lang w:eastAsia="zh-CN"/>
        </w:rPr>
        <w:t>.</w:t>
      </w:r>
    </w:p>
    <w:p w14:paraId="48DDF4AB" w14:textId="77777777" w:rsidR="00BF60C2" w:rsidRPr="0035127E" w:rsidRDefault="00BF60C2" w:rsidP="0016618F">
      <w:pPr>
        <w:jc w:val="both"/>
        <w:rPr>
          <w:rFonts w:ascii="Arial" w:hAnsi="Arial" w:cs="Arial"/>
          <w:bCs/>
          <w:lang w:eastAsia="zh-CN"/>
        </w:rPr>
      </w:pPr>
    </w:p>
    <w:p w14:paraId="06002A41" w14:textId="77777777" w:rsidR="00BF60C2" w:rsidRPr="0035127E" w:rsidRDefault="00BF60C2" w:rsidP="0016618F">
      <w:pPr>
        <w:jc w:val="both"/>
        <w:rPr>
          <w:rFonts w:ascii="Arial" w:hAnsi="Arial" w:cs="Arial"/>
          <w:bCs/>
          <w:lang w:eastAsia="zh-CN"/>
        </w:rPr>
      </w:pPr>
      <w:r w:rsidRPr="0035127E">
        <w:rPr>
          <w:rFonts w:ascii="Arial" w:hAnsi="Arial" w:cs="Arial"/>
          <w:bCs/>
          <w:lang w:eastAsia="zh-CN"/>
        </w:rPr>
        <w:t>Si le délai d’exécution proposé par le candidat est supérieur à 20 jours ouvrés, ce dernier sera pénalisé dans la notation</w:t>
      </w:r>
      <w:r w:rsidR="002D23F6">
        <w:rPr>
          <w:rFonts w:ascii="Arial" w:hAnsi="Arial" w:cs="Arial"/>
          <w:bCs/>
          <w:lang w:eastAsia="zh-CN"/>
        </w:rPr>
        <w:t xml:space="preserve"> du sous critère considéré</w:t>
      </w:r>
      <w:r w:rsidRPr="0035127E">
        <w:rPr>
          <w:rFonts w:ascii="Arial" w:hAnsi="Arial" w:cs="Arial"/>
          <w:bCs/>
          <w:lang w:eastAsia="zh-CN"/>
        </w:rPr>
        <w:t>. A contrario, le candidat sera gratifié si le délai proposé est inférieur au délai A</w:t>
      </w:r>
      <w:r w:rsidR="003433A5">
        <w:rPr>
          <w:rFonts w:ascii="Arial" w:hAnsi="Arial" w:cs="Arial"/>
          <w:bCs/>
          <w:lang w:eastAsia="zh-CN"/>
        </w:rPr>
        <w:t>COSS</w:t>
      </w:r>
      <w:r w:rsidRPr="0035127E">
        <w:rPr>
          <w:rFonts w:ascii="Arial" w:hAnsi="Arial" w:cs="Arial"/>
          <w:bCs/>
          <w:lang w:eastAsia="zh-CN"/>
        </w:rPr>
        <w:t>.</w:t>
      </w:r>
    </w:p>
    <w:sectPr w:rsidR="00BF60C2" w:rsidRPr="0035127E" w:rsidSect="00821F49">
      <w:footerReference w:type="default" r:id="rId9"/>
      <w:pgSz w:w="12240" w:h="15840" w:code="1"/>
      <w:pgMar w:top="1418" w:right="1418" w:bottom="1418" w:left="1418" w:header="720" w:footer="720" w:gutter="0"/>
      <w:pgBorders w:offsetFrom="page">
        <w:top w:val="single" w:sz="4" w:space="24" w:color="auto"/>
        <w:left w:val="single" w:sz="4" w:space="24" w:color="auto"/>
        <w:bottom w:val="single" w:sz="4" w:space="24" w:color="auto"/>
        <w:right w:val="single" w:sz="4" w:space="24" w:color="auto"/>
      </w:pgBorders>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A5BC4" w14:textId="77777777" w:rsidR="00DE61B1" w:rsidRDefault="00DE61B1">
      <w:r>
        <w:separator/>
      </w:r>
    </w:p>
  </w:endnote>
  <w:endnote w:type="continuationSeparator" w:id="0">
    <w:p w14:paraId="725813A7" w14:textId="77777777" w:rsidR="00DE61B1" w:rsidRDefault="00DE6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N)">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C93590" w14:paraId="20ECDC36" w14:textId="77777777">
      <w:trPr>
        <w:trHeight w:hRule="exact" w:val="1003"/>
      </w:trPr>
      <w:tc>
        <w:tcPr>
          <w:tcW w:w="1701" w:type="dxa"/>
          <w:vAlign w:val="center"/>
        </w:tcPr>
        <w:p w14:paraId="7143DD1E" w14:textId="7079A97A" w:rsidR="00C93590" w:rsidRDefault="00C93590">
          <w:pPr>
            <w:pStyle w:val="Pieddepage"/>
            <w:snapToGrid w:val="0"/>
            <w:spacing w:before="60" w:after="60"/>
            <w:jc w:val="center"/>
            <w:rPr>
              <w:sz w:val="16"/>
            </w:rPr>
          </w:pPr>
        </w:p>
        <w:p w14:paraId="5386B691" w14:textId="77777777" w:rsidR="00C93590" w:rsidRDefault="00C93590">
          <w:pPr>
            <w:pStyle w:val="Pieddepage"/>
            <w:snapToGrid w:val="0"/>
            <w:spacing w:before="60" w:after="60"/>
            <w:jc w:val="center"/>
            <w:rPr>
              <w:b/>
              <w:sz w:val="16"/>
            </w:rPr>
          </w:pPr>
        </w:p>
      </w:tc>
      <w:tc>
        <w:tcPr>
          <w:tcW w:w="6096" w:type="dxa"/>
          <w:vAlign w:val="center"/>
        </w:tcPr>
        <w:p w14:paraId="7216BD74" w14:textId="2D157AAD" w:rsidR="00637BAB" w:rsidRDefault="00D10FD3">
          <w:pPr>
            <w:pStyle w:val="Pieddepage"/>
            <w:snapToGrid w:val="0"/>
            <w:jc w:val="center"/>
            <w:rPr>
              <w:rFonts w:ascii="Arial" w:hAnsi="Arial"/>
              <w:i/>
              <w:sz w:val="16"/>
              <w:szCs w:val="16"/>
            </w:rPr>
          </w:pPr>
          <w:r>
            <w:rPr>
              <w:rFonts w:ascii="Arial" w:hAnsi="Arial"/>
              <w:i/>
              <w:sz w:val="16"/>
              <w:szCs w:val="16"/>
            </w:rPr>
            <w:t>P</w:t>
          </w:r>
          <w:r w:rsidR="00CA4B9D">
            <w:rPr>
              <w:rFonts w:ascii="Arial" w:hAnsi="Arial"/>
              <w:i/>
              <w:sz w:val="16"/>
              <w:szCs w:val="16"/>
            </w:rPr>
            <w:t>2</w:t>
          </w:r>
          <w:r w:rsidR="00A5197D">
            <w:rPr>
              <w:rFonts w:ascii="Arial" w:hAnsi="Arial"/>
              <w:i/>
              <w:sz w:val="16"/>
              <w:szCs w:val="16"/>
            </w:rPr>
            <w:t>516</w:t>
          </w:r>
          <w:r>
            <w:rPr>
              <w:rFonts w:ascii="Arial" w:hAnsi="Arial"/>
              <w:i/>
              <w:sz w:val="16"/>
              <w:szCs w:val="16"/>
            </w:rPr>
            <w:t>-PA-DIFI</w:t>
          </w:r>
        </w:p>
        <w:p w14:paraId="6D6EF0BE" w14:textId="77777777" w:rsidR="00C93590" w:rsidRPr="00020165" w:rsidRDefault="00C93590">
          <w:pPr>
            <w:pStyle w:val="Pieddepage"/>
            <w:snapToGrid w:val="0"/>
            <w:jc w:val="center"/>
            <w:rPr>
              <w:sz w:val="16"/>
              <w:szCs w:val="16"/>
            </w:rPr>
          </w:pPr>
        </w:p>
      </w:tc>
      <w:tc>
        <w:tcPr>
          <w:tcW w:w="1559" w:type="dxa"/>
          <w:vAlign w:val="center"/>
        </w:tcPr>
        <w:p w14:paraId="54168E8D" w14:textId="77777777" w:rsidR="00C93590" w:rsidRDefault="00C93590" w:rsidP="00A53EF5">
          <w:pPr>
            <w:pStyle w:val="Pieddepage"/>
            <w:snapToGrid w:val="0"/>
            <w:jc w:val="center"/>
            <w:rPr>
              <w:rStyle w:val="Numrodepage"/>
              <w:sz w:val="16"/>
            </w:rPr>
          </w:pPr>
          <w:r>
            <w:rPr>
              <w:rStyle w:val="Numrodepage"/>
              <w:snapToGrid w:val="0"/>
              <w:sz w:val="16"/>
            </w:rPr>
            <w:t xml:space="preserve">Page </w:t>
          </w:r>
          <w:r w:rsidR="00E6143A">
            <w:rPr>
              <w:rStyle w:val="Numrodepage"/>
            </w:rPr>
            <w:fldChar w:fldCharType="begin"/>
          </w:r>
          <w:r w:rsidR="00FB02E0">
            <w:rPr>
              <w:rStyle w:val="Numrodepage"/>
            </w:rPr>
            <w:instrText xml:space="preserve"> PAGE </w:instrText>
          </w:r>
          <w:r w:rsidR="00E6143A">
            <w:rPr>
              <w:rStyle w:val="Numrodepage"/>
            </w:rPr>
            <w:fldChar w:fldCharType="separate"/>
          </w:r>
          <w:r w:rsidR="00B85F80">
            <w:rPr>
              <w:rStyle w:val="Numrodepage"/>
              <w:noProof/>
            </w:rPr>
            <w:t>2</w:t>
          </w:r>
          <w:r w:rsidR="00E6143A">
            <w:rPr>
              <w:rStyle w:val="Numrodepage"/>
            </w:rPr>
            <w:fldChar w:fldCharType="end"/>
          </w:r>
          <w:r>
            <w:rPr>
              <w:rStyle w:val="Numrodepage"/>
              <w:snapToGrid w:val="0"/>
              <w:sz w:val="16"/>
            </w:rPr>
            <w:t xml:space="preserve"> sur </w:t>
          </w:r>
          <w:r w:rsidR="00E6143A">
            <w:rPr>
              <w:rStyle w:val="Numrodepage"/>
            </w:rPr>
            <w:fldChar w:fldCharType="begin"/>
          </w:r>
          <w:r w:rsidR="00FB02E0">
            <w:rPr>
              <w:rStyle w:val="Numrodepage"/>
            </w:rPr>
            <w:instrText xml:space="preserve"> NUMPAGES </w:instrText>
          </w:r>
          <w:r w:rsidR="00E6143A">
            <w:rPr>
              <w:rStyle w:val="Numrodepage"/>
            </w:rPr>
            <w:fldChar w:fldCharType="separate"/>
          </w:r>
          <w:r w:rsidR="00B85F80">
            <w:rPr>
              <w:rStyle w:val="Numrodepage"/>
              <w:noProof/>
            </w:rPr>
            <w:t>2</w:t>
          </w:r>
          <w:r w:rsidR="00E6143A">
            <w:rPr>
              <w:rStyle w:val="Numrodepage"/>
            </w:rPr>
            <w:fldChar w:fldCharType="end"/>
          </w:r>
        </w:p>
        <w:p w14:paraId="006795DC" w14:textId="77777777" w:rsidR="00C93590" w:rsidRDefault="00C93590">
          <w:pPr>
            <w:pStyle w:val="Pieddepage"/>
            <w:snapToGrid w:val="0"/>
            <w:jc w:val="right"/>
            <w:rPr>
              <w:rStyle w:val="Numrodepage"/>
              <w:sz w:val="16"/>
            </w:rPr>
          </w:pPr>
        </w:p>
      </w:tc>
    </w:tr>
  </w:tbl>
  <w:p w14:paraId="39C8BB71" w14:textId="77777777" w:rsidR="00C93590" w:rsidRDefault="00C9359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FF958" w14:textId="77777777" w:rsidR="00DE61B1" w:rsidRDefault="00DE61B1">
      <w:r>
        <w:separator/>
      </w:r>
    </w:p>
  </w:footnote>
  <w:footnote w:type="continuationSeparator" w:id="0">
    <w:p w14:paraId="5CF37CAF" w14:textId="77777777" w:rsidR="00DE61B1" w:rsidRDefault="00DE61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6A26"/>
    <w:multiLevelType w:val="singleLevel"/>
    <w:tmpl w:val="DFEE3970"/>
    <w:lvl w:ilvl="0">
      <w:numFmt w:val="bullet"/>
      <w:lvlText w:val="-"/>
      <w:lvlJc w:val="left"/>
      <w:pPr>
        <w:tabs>
          <w:tab w:val="num" w:pos="1065"/>
        </w:tabs>
        <w:ind w:left="1065" w:hanging="360"/>
      </w:pPr>
      <w:rPr>
        <w:rFonts w:ascii="Times New Roman" w:hAnsi="Times New Roman" w:hint="default"/>
      </w:rPr>
    </w:lvl>
  </w:abstractNum>
  <w:abstractNum w:abstractNumId="1" w15:restartNumberingAfterBreak="0">
    <w:nsid w:val="199E6A5C"/>
    <w:multiLevelType w:val="hybridMultilevel"/>
    <w:tmpl w:val="2D3A5F6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4A3FFC"/>
    <w:multiLevelType w:val="hybridMultilevel"/>
    <w:tmpl w:val="1C54259C"/>
    <w:lvl w:ilvl="0" w:tplc="E360745A">
      <w:start w:val="1"/>
      <w:numFmt w:val="bullet"/>
      <w:lvlText w:val="-"/>
      <w:lvlJc w:val="left"/>
      <w:pPr>
        <w:tabs>
          <w:tab w:val="num" w:pos="644"/>
        </w:tabs>
        <w:ind w:left="644" w:hanging="360"/>
      </w:pPr>
      <w:rPr>
        <w:rFonts w:ascii="Arial" w:eastAsia="Times New Roman" w:hAnsi="Arial" w:cs="Arial" w:hint="default"/>
      </w:rPr>
    </w:lvl>
    <w:lvl w:ilvl="1" w:tplc="040C0003">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 w15:restartNumberingAfterBreak="0">
    <w:nsid w:val="3B1667C9"/>
    <w:multiLevelType w:val="hybridMultilevel"/>
    <w:tmpl w:val="D2B05BB0"/>
    <w:lvl w:ilvl="0" w:tplc="DE40C97E">
      <w:start w:val="1"/>
      <w:numFmt w:val="bullet"/>
      <w:pStyle w:val="pucesniv1"/>
      <w:lvlText w:val="-"/>
      <w:lvlJc w:val="left"/>
      <w:pPr>
        <w:tabs>
          <w:tab w:val="num" w:pos="530"/>
        </w:tabs>
        <w:ind w:left="284" w:hanging="114"/>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5" w15:restartNumberingAfterBreak="0">
    <w:nsid w:val="619D1F73"/>
    <w:multiLevelType w:val="hybridMultilevel"/>
    <w:tmpl w:val="D07E1DA8"/>
    <w:lvl w:ilvl="0" w:tplc="FFFFFFFF">
      <w:start w:val="1"/>
      <w:numFmt w:val="bullet"/>
      <w:lvlText w:val="o"/>
      <w:lvlJc w:val="left"/>
      <w:pPr>
        <w:tabs>
          <w:tab w:val="num" w:pos="644"/>
        </w:tabs>
        <w:ind w:left="644" w:hanging="360"/>
      </w:pPr>
      <w:rPr>
        <w:rFonts w:ascii="Courier New" w:hAnsi="Courier New" w:cs="Courier New" w:hint="default"/>
        <w:b/>
        <w:bCs w:val="0"/>
      </w:rPr>
    </w:lvl>
    <w:lvl w:ilvl="1" w:tplc="18E2E906">
      <w:start w:val="1"/>
      <w:numFmt w:val="bullet"/>
      <w:lvlText w:val=""/>
      <w:lvlJc w:val="left"/>
      <w:pPr>
        <w:tabs>
          <w:tab w:val="num" w:pos="1364"/>
        </w:tabs>
        <w:ind w:left="1364" w:hanging="360"/>
      </w:pPr>
      <w:rPr>
        <w:rFonts w:ascii="Symbol" w:hAnsi="Symbol" w:hint="default"/>
        <w:b/>
        <w:bCs w:val="0"/>
        <w:sz w:val="16"/>
        <w:szCs w:val="16"/>
      </w:r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6"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71EB1E9E"/>
    <w:multiLevelType w:val="hybridMultilevel"/>
    <w:tmpl w:val="E9981EE8"/>
    <w:lvl w:ilvl="0" w:tplc="FFFFFFFF">
      <w:start w:val="1"/>
      <w:numFmt w:val="bullet"/>
      <w:lvlText w:val=""/>
      <w:lvlJc w:val="left"/>
      <w:pPr>
        <w:tabs>
          <w:tab w:val="num" w:pos="1854"/>
        </w:tabs>
        <w:ind w:left="1854" w:hanging="360"/>
      </w:pPr>
      <w:rPr>
        <w:rFonts w:ascii="Symbol" w:hAnsi="Symbol" w:hint="default"/>
      </w:rPr>
    </w:lvl>
    <w:lvl w:ilvl="1" w:tplc="10EED2F6">
      <w:numFmt w:val="bullet"/>
      <w:lvlText w:val="-"/>
      <w:lvlJc w:val="left"/>
      <w:pPr>
        <w:tabs>
          <w:tab w:val="num" w:pos="2574"/>
        </w:tabs>
        <w:ind w:left="2574" w:hanging="360"/>
      </w:pPr>
      <w:rPr>
        <w:rFonts w:ascii="Arial" w:eastAsia="Times New Roman" w:hAnsi="Arial" w:cs="Arial" w:hint="default"/>
      </w:rPr>
    </w:lvl>
    <w:lvl w:ilvl="2" w:tplc="FFFFFFFF">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cs="Wingdings"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cs="Wingdings" w:hint="default"/>
      </w:rPr>
    </w:lvl>
    <w:lvl w:ilvl="8" w:tplc="FFFFFFFF" w:tentative="1">
      <w:start w:val="1"/>
      <w:numFmt w:val="bullet"/>
      <w:lvlText w:val=""/>
      <w:lvlJc w:val="left"/>
      <w:pPr>
        <w:tabs>
          <w:tab w:val="num" w:pos="7614"/>
        </w:tabs>
        <w:ind w:left="7614" w:hanging="360"/>
      </w:pPr>
      <w:rPr>
        <w:rFonts w:ascii="Wingdings" w:hAnsi="Wingdings" w:hint="default"/>
      </w:rPr>
    </w:lvl>
  </w:abstractNum>
  <w:num w:numId="1" w16cid:durableId="148602091">
    <w:abstractNumId w:val="6"/>
  </w:num>
  <w:num w:numId="2" w16cid:durableId="1474563466">
    <w:abstractNumId w:val="4"/>
  </w:num>
  <w:num w:numId="3" w16cid:durableId="964971215">
    <w:abstractNumId w:val="0"/>
  </w:num>
  <w:num w:numId="4" w16cid:durableId="592592481">
    <w:abstractNumId w:val="5"/>
  </w:num>
  <w:num w:numId="5" w16cid:durableId="132986386">
    <w:abstractNumId w:val="2"/>
  </w:num>
  <w:num w:numId="6" w16cid:durableId="1154831679">
    <w:abstractNumId w:val="1"/>
  </w:num>
  <w:num w:numId="7" w16cid:durableId="1334067540">
    <w:abstractNumId w:val="7"/>
  </w:num>
  <w:num w:numId="8" w16cid:durableId="849946631">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6DD"/>
    <w:rsid w:val="00006F55"/>
    <w:rsid w:val="00007087"/>
    <w:rsid w:val="00013D9C"/>
    <w:rsid w:val="00015FE8"/>
    <w:rsid w:val="00020165"/>
    <w:rsid w:val="00024D07"/>
    <w:rsid w:val="00025854"/>
    <w:rsid w:val="00031F93"/>
    <w:rsid w:val="000361EA"/>
    <w:rsid w:val="000A0DDA"/>
    <w:rsid w:val="000A57E1"/>
    <w:rsid w:val="000C3127"/>
    <w:rsid w:val="000C6F75"/>
    <w:rsid w:val="000D34F3"/>
    <w:rsid w:val="000D4D45"/>
    <w:rsid w:val="000D68E3"/>
    <w:rsid w:val="000E612F"/>
    <w:rsid w:val="00107468"/>
    <w:rsid w:val="001121A0"/>
    <w:rsid w:val="00144330"/>
    <w:rsid w:val="001566A5"/>
    <w:rsid w:val="00157F55"/>
    <w:rsid w:val="0016618F"/>
    <w:rsid w:val="001772A4"/>
    <w:rsid w:val="00177D3F"/>
    <w:rsid w:val="00196714"/>
    <w:rsid w:val="001C4923"/>
    <w:rsid w:val="001D4E62"/>
    <w:rsid w:val="001F31CE"/>
    <w:rsid w:val="00200909"/>
    <w:rsid w:val="00206FD3"/>
    <w:rsid w:val="00226445"/>
    <w:rsid w:val="00251462"/>
    <w:rsid w:val="002578F9"/>
    <w:rsid w:val="0026132E"/>
    <w:rsid w:val="00272843"/>
    <w:rsid w:val="00282D2C"/>
    <w:rsid w:val="00290DCC"/>
    <w:rsid w:val="00297F58"/>
    <w:rsid w:val="002A7DC2"/>
    <w:rsid w:val="002B0019"/>
    <w:rsid w:val="002C2024"/>
    <w:rsid w:val="002C7DF0"/>
    <w:rsid w:val="002D23F6"/>
    <w:rsid w:val="002E0E50"/>
    <w:rsid w:val="002E4E59"/>
    <w:rsid w:val="002F0A1C"/>
    <w:rsid w:val="00303EF2"/>
    <w:rsid w:val="00310E22"/>
    <w:rsid w:val="00315F97"/>
    <w:rsid w:val="00317CC7"/>
    <w:rsid w:val="00324016"/>
    <w:rsid w:val="00330EA5"/>
    <w:rsid w:val="003312CC"/>
    <w:rsid w:val="003433A5"/>
    <w:rsid w:val="00346428"/>
    <w:rsid w:val="0035127E"/>
    <w:rsid w:val="00352D84"/>
    <w:rsid w:val="003575A1"/>
    <w:rsid w:val="003636BF"/>
    <w:rsid w:val="00372399"/>
    <w:rsid w:val="00380AFF"/>
    <w:rsid w:val="00384ED5"/>
    <w:rsid w:val="0039151C"/>
    <w:rsid w:val="00391C90"/>
    <w:rsid w:val="003A0952"/>
    <w:rsid w:val="003A41AE"/>
    <w:rsid w:val="003C6C2D"/>
    <w:rsid w:val="003D3A41"/>
    <w:rsid w:val="003E7088"/>
    <w:rsid w:val="003F0B59"/>
    <w:rsid w:val="003F1B65"/>
    <w:rsid w:val="003F4F58"/>
    <w:rsid w:val="00401476"/>
    <w:rsid w:val="00402C71"/>
    <w:rsid w:val="004057DD"/>
    <w:rsid w:val="0041672A"/>
    <w:rsid w:val="004405B2"/>
    <w:rsid w:val="00443455"/>
    <w:rsid w:val="00454751"/>
    <w:rsid w:val="004672B9"/>
    <w:rsid w:val="0047585B"/>
    <w:rsid w:val="00476240"/>
    <w:rsid w:val="00477FBC"/>
    <w:rsid w:val="00485B45"/>
    <w:rsid w:val="00493453"/>
    <w:rsid w:val="004950C9"/>
    <w:rsid w:val="004A052C"/>
    <w:rsid w:val="004A20B7"/>
    <w:rsid w:val="004B6DFB"/>
    <w:rsid w:val="004C64E3"/>
    <w:rsid w:val="004D0BC2"/>
    <w:rsid w:val="004D7B19"/>
    <w:rsid w:val="004E743D"/>
    <w:rsid w:val="00504BEC"/>
    <w:rsid w:val="0051318A"/>
    <w:rsid w:val="00517A18"/>
    <w:rsid w:val="00525196"/>
    <w:rsid w:val="00541052"/>
    <w:rsid w:val="00547354"/>
    <w:rsid w:val="00557E8D"/>
    <w:rsid w:val="005624AB"/>
    <w:rsid w:val="005818FA"/>
    <w:rsid w:val="005964F3"/>
    <w:rsid w:val="005A0C16"/>
    <w:rsid w:val="005C12A4"/>
    <w:rsid w:val="005C5207"/>
    <w:rsid w:val="005C72AC"/>
    <w:rsid w:val="005D2B7A"/>
    <w:rsid w:val="005E51FF"/>
    <w:rsid w:val="0060410D"/>
    <w:rsid w:val="00620158"/>
    <w:rsid w:val="006362A4"/>
    <w:rsid w:val="00637BAB"/>
    <w:rsid w:val="00644936"/>
    <w:rsid w:val="00644CD5"/>
    <w:rsid w:val="00645DC9"/>
    <w:rsid w:val="006512E8"/>
    <w:rsid w:val="00657467"/>
    <w:rsid w:val="0067291A"/>
    <w:rsid w:val="00687FDB"/>
    <w:rsid w:val="00693284"/>
    <w:rsid w:val="006944B7"/>
    <w:rsid w:val="006A13D3"/>
    <w:rsid w:val="006A3218"/>
    <w:rsid w:val="006A592B"/>
    <w:rsid w:val="006A5A79"/>
    <w:rsid w:val="006A5C41"/>
    <w:rsid w:val="006B368F"/>
    <w:rsid w:val="006C46A2"/>
    <w:rsid w:val="006D0756"/>
    <w:rsid w:val="006D782E"/>
    <w:rsid w:val="006F1085"/>
    <w:rsid w:val="007040C5"/>
    <w:rsid w:val="007067B8"/>
    <w:rsid w:val="00706FFE"/>
    <w:rsid w:val="00714A98"/>
    <w:rsid w:val="0072080E"/>
    <w:rsid w:val="007322EB"/>
    <w:rsid w:val="00733DB8"/>
    <w:rsid w:val="00740BED"/>
    <w:rsid w:val="00752B16"/>
    <w:rsid w:val="00761745"/>
    <w:rsid w:val="007636DD"/>
    <w:rsid w:val="007652EE"/>
    <w:rsid w:val="00786408"/>
    <w:rsid w:val="007932CA"/>
    <w:rsid w:val="0079400C"/>
    <w:rsid w:val="007B5F28"/>
    <w:rsid w:val="007B73B6"/>
    <w:rsid w:val="007C2F00"/>
    <w:rsid w:val="007C3347"/>
    <w:rsid w:val="007F281B"/>
    <w:rsid w:val="007F44BE"/>
    <w:rsid w:val="0081720E"/>
    <w:rsid w:val="00821F49"/>
    <w:rsid w:val="008413A0"/>
    <w:rsid w:val="00856E7C"/>
    <w:rsid w:val="008710EC"/>
    <w:rsid w:val="00871CD0"/>
    <w:rsid w:val="0087421D"/>
    <w:rsid w:val="00884B12"/>
    <w:rsid w:val="00887192"/>
    <w:rsid w:val="008A0CC7"/>
    <w:rsid w:val="008B306C"/>
    <w:rsid w:val="008B700C"/>
    <w:rsid w:val="008C259B"/>
    <w:rsid w:val="008D7696"/>
    <w:rsid w:val="008E497A"/>
    <w:rsid w:val="008F6607"/>
    <w:rsid w:val="00933E0C"/>
    <w:rsid w:val="009473AA"/>
    <w:rsid w:val="00953584"/>
    <w:rsid w:val="00954347"/>
    <w:rsid w:val="009554A2"/>
    <w:rsid w:val="00992695"/>
    <w:rsid w:val="00994324"/>
    <w:rsid w:val="009B160C"/>
    <w:rsid w:val="009C43EA"/>
    <w:rsid w:val="009C7D07"/>
    <w:rsid w:val="009D3719"/>
    <w:rsid w:val="009D7D2A"/>
    <w:rsid w:val="009E555E"/>
    <w:rsid w:val="009F3B94"/>
    <w:rsid w:val="00A1139D"/>
    <w:rsid w:val="00A1437D"/>
    <w:rsid w:val="00A23472"/>
    <w:rsid w:val="00A2544D"/>
    <w:rsid w:val="00A269CC"/>
    <w:rsid w:val="00A5197D"/>
    <w:rsid w:val="00A53EF5"/>
    <w:rsid w:val="00A5770C"/>
    <w:rsid w:val="00A618B1"/>
    <w:rsid w:val="00A674DE"/>
    <w:rsid w:val="00A75940"/>
    <w:rsid w:val="00A76BFF"/>
    <w:rsid w:val="00A82414"/>
    <w:rsid w:val="00A82CC7"/>
    <w:rsid w:val="00A834C2"/>
    <w:rsid w:val="00AA700E"/>
    <w:rsid w:val="00AB1E4F"/>
    <w:rsid w:val="00AB7D02"/>
    <w:rsid w:val="00AD6AAA"/>
    <w:rsid w:val="00AF1529"/>
    <w:rsid w:val="00AF4B49"/>
    <w:rsid w:val="00AF5BCD"/>
    <w:rsid w:val="00B12A20"/>
    <w:rsid w:val="00B13B13"/>
    <w:rsid w:val="00B20C90"/>
    <w:rsid w:val="00B26B04"/>
    <w:rsid w:val="00B321D8"/>
    <w:rsid w:val="00B32844"/>
    <w:rsid w:val="00B4408D"/>
    <w:rsid w:val="00B56410"/>
    <w:rsid w:val="00B635FC"/>
    <w:rsid w:val="00B676A1"/>
    <w:rsid w:val="00B85F80"/>
    <w:rsid w:val="00B9174D"/>
    <w:rsid w:val="00B96BA0"/>
    <w:rsid w:val="00BB37D6"/>
    <w:rsid w:val="00BB441D"/>
    <w:rsid w:val="00BB6C6D"/>
    <w:rsid w:val="00BE20FF"/>
    <w:rsid w:val="00BF19FD"/>
    <w:rsid w:val="00BF60C2"/>
    <w:rsid w:val="00C13FB6"/>
    <w:rsid w:val="00C15F64"/>
    <w:rsid w:val="00C21C8D"/>
    <w:rsid w:val="00C32BE0"/>
    <w:rsid w:val="00C513BA"/>
    <w:rsid w:val="00C557FE"/>
    <w:rsid w:val="00C71C2E"/>
    <w:rsid w:val="00C8609B"/>
    <w:rsid w:val="00C93590"/>
    <w:rsid w:val="00CA3E57"/>
    <w:rsid w:val="00CA4B9D"/>
    <w:rsid w:val="00CB3420"/>
    <w:rsid w:val="00CB470E"/>
    <w:rsid w:val="00CB5C90"/>
    <w:rsid w:val="00CC4544"/>
    <w:rsid w:val="00CC4CBA"/>
    <w:rsid w:val="00CC6B6D"/>
    <w:rsid w:val="00CD47A9"/>
    <w:rsid w:val="00CD4D5F"/>
    <w:rsid w:val="00CE1D23"/>
    <w:rsid w:val="00CE4A00"/>
    <w:rsid w:val="00CF5BC2"/>
    <w:rsid w:val="00D0158E"/>
    <w:rsid w:val="00D06E4D"/>
    <w:rsid w:val="00D10FD3"/>
    <w:rsid w:val="00D216AA"/>
    <w:rsid w:val="00D22CD1"/>
    <w:rsid w:val="00D25691"/>
    <w:rsid w:val="00D26FED"/>
    <w:rsid w:val="00D57575"/>
    <w:rsid w:val="00D9293A"/>
    <w:rsid w:val="00DA1413"/>
    <w:rsid w:val="00DD2655"/>
    <w:rsid w:val="00DD2AB7"/>
    <w:rsid w:val="00DD565C"/>
    <w:rsid w:val="00DE61B1"/>
    <w:rsid w:val="00DF7376"/>
    <w:rsid w:val="00E41AF4"/>
    <w:rsid w:val="00E43DAD"/>
    <w:rsid w:val="00E5171F"/>
    <w:rsid w:val="00E51BF2"/>
    <w:rsid w:val="00E6143A"/>
    <w:rsid w:val="00E62DE2"/>
    <w:rsid w:val="00E83EF9"/>
    <w:rsid w:val="00EA16E0"/>
    <w:rsid w:val="00EA7FD5"/>
    <w:rsid w:val="00EB15E8"/>
    <w:rsid w:val="00EB66AF"/>
    <w:rsid w:val="00EC0F1E"/>
    <w:rsid w:val="00EC2F18"/>
    <w:rsid w:val="00EC5A3D"/>
    <w:rsid w:val="00ED3484"/>
    <w:rsid w:val="00ED55F9"/>
    <w:rsid w:val="00EE410D"/>
    <w:rsid w:val="00EE76CE"/>
    <w:rsid w:val="00EF52AC"/>
    <w:rsid w:val="00F039E8"/>
    <w:rsid w:val="00F11F77"/>
    <w:rsid w:val="00F16DA5"/>
    <w:rsid w:val="00F33B97"/>
    <w:rsid w:val="00F37D8C"/>
    <w:rsid w:val="00F440AF"/>
    <w:rsid w:val="00F46B1E"/>
    <w:rsid w:val="00F47019"/>
    <w:rsid w:val="00F66655"/>
    <w:rsid w:val="00F726DB"/>
    <w:rsid w:val="00F74B2F"/>
    <w:rsid w:val="00F774B6"/>
    <w:rsid w:val="00F81A0E"/>
    <w:rsid w:val="00F8467A"/>
    <w:rsid w:val="00FB02E0"/>
    <w:rsid w:val="00FB2E8F"/>
    <w:rsid w:val="00FB3EBA"/>
    <w:rsid w:val="00FB4AFF"/>
    <w:rsid w:val="00FD4A6B"/>
    <w:rsid w:val="00FD4B44"/>
    <w:rsid w:val="00FE005A"/>
    <w:rsid w:val="00FE1E4F"/>
    <w:rsid w:val="00FE7E0B"/>
    <w:rsid w:val="00FF43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9AF45E"/>
  <w15:docId w15:val="{C31B40F1-DFBA-4925-9FA7-FA7487350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54A2"/>
  </w:style>
  <w:style w:type="paragraph" w:styleId="Titre1">
    <w:name w:val="heading 1"/>
    <w:basedOn w:val="Normal"/>
    <w:next w:val="Standardniv1"/>
    <w:qFormat/>
    <w:rsid w:val="009554A2"/>
    <w:pPr>
      <w:pBdr>
        <w:bottom w:val="single" w:sz="6" w:space="0" w:color="auto"/>
      </w:pBdr>
      <w:ind w:left="567" w:hanging="567"/>
      <w:outlineLvl w:val="0"/>
    </w:pPr>
    <w:rPr>
      <w:rFonts w:ascii="Times" w:hAnsi="Times"/>
      <w:b/>
      <w:caps/>
      <w:sz w:val="22"/>
    </w:rPr>
  </w:style>
  <w:style w:type="paragraph" w:styleId="Titre2">
    <w:name w:val="heading 2"/>
    <w:basedOn w:val="Normal"/>
    <w:next w:val="Normal"/>
    <w:qFormat/>
    <w:rsid w:val="009554A2"/>
    <w:pPr>
      <w:keepNext/>
      <w:tabs>
        <w:tab w:val="left" w:pos="1134"/>
        <w:tab w:val="left" w:pos="1843"/>
      </w:tabs>
      <w:spacing w:line="240" w:lineRule="exact"/>
      <w:ind w:left="6480"/>
      <w:outlineLvl w:val="1"/>
    </w:pPr>
    <w:rPr>
      <w:rFonts w:ascii="Arial" w:hAnsi="Arial"/>
      <w:sz w:val="24"/>
    </w:rPr>
  </w:style>
  <w:style w:type="paragraph" w:styleId="Titre3">
    <w:name w:val="heading 3"/>
    <w:aliases w:val="H3"/>
    <w:basedOn w:val="Normal"/>
    <w:next w:val="Normal"/>
    <w:qFormat/>
    <w:rsid w:val="009554A2"/>
    <w:pPr>
      <w:keepNext/>
      <w:keepLines/>
      <w:pBdr>
        <w:bottom w:val="double" w:sz="4" w:space="1" w:color="auto"/>
      </w:pBdr>
      <w:spacing w:after="240"/>
      <w:outlineLvl w:val="2"/>
    </w:pPr>
    <w:rPr>
      <w:b/>
      <w:sz w:val="24"/>
    </w:rPr>
  </w:style>
  <w:style w:type="paragraph" w:styleId="Titre4">
    <w:name w:val="heading 4"/>
    <w:basedOn w:val="Normal"/>
    <w:next w:val="Standardniv3"/>
    <w:qFormat/>
    <w:rsid w:val="009554A2"/>
    <w:pPr>
      <w:ind w:left="2977" w:hanging="992"/>
      <w:outlineLvl w:val="3"/>
    </w:pPr>
    <w:rPr>
      <w:sz w:val="24"/>
    </w:rPr>
  </w:style>
  <w:style w:type="paragraph" w:styleId="Titre5">
    <w:name w:val="heading 5"/>
    <w:basedOn w:val="Normal"/>
    <w:next w:val="Normal"/>
    <w:qFormat/>
    <w:rsid w:val="009554A2"/>
    <w:pPr>
      <w:ind w:left="708"/>
      <w:outlineLvl w:val="4"/>
    </w:pPr>
    <w:rPr>
      <w:rFonts w:ascii="Helvetica" w:hAnsi="Helvetica"/>
      <w:b/>
    </w:rPr>
  </w:style>
  <w:style w:type="paragraph" w:styleId="Titre6">
    <w:name w:val="heading 6"/>
    <w:basedOn w:val="Normal"/>
    <w:next w:val="Normal"/>
    <w:qFormat/>
    <w:rsid w:val="009554A2"/>
    <w:pPr>
      <w:ind w:left="708"/>
      <w:outlineLvl w:val="5"/>
    </w:pPr>
    <w:rPr>
      <w:rFonts w:ascii="Helvetica" w:hAnsi="Helvetica"/>
      <w:u w:val="single"/>
    </w:rPr>
  </w:style>
  <w:style w:type="paragraph" w:styleId="Titre7">
    <w:name w:val="heading 7"/>
    <w:basedOn w:val="Normal"/>
    <w:next w:val="Normal"/>
    <w:qFormat/>
    <w:rsid w:val="009554A2"/>
    <w:pPr>
      <w:ind w:left="708"/>
      <w:outlineLvl w:val="6"/>
    </w:pPr>
    <w:rPr>
      <w:rFonts w:ascii="Helvetica" w:hAnsi="Helvetica"/>
      <w:i/>
    </w:rPr>
  </w:style>
  <w:style w:type="paragraph" w:styleId="Titre8">
    <w:name w:val="heading 8"/>
    <w:basedOn w:val="Normal"/>
    <w:next w:val="Normal"/>
    <w:qFormat/>
    <w:rsid w:val="009554A2"/>
    <w:pPr>
      <w:keepNext/>
      <w:keepLines/>
      <w:pBdr>
        <w:bottom w:val="double" w:sz="6" w:space="1" w:color="auto"/>
      </w:pBdr>
      <w:spacing w:after="240"/>
      <w:outlineLvl w:val="7"/>
    </w:pPr>
    <w:rPr>
      <w:rFonts w:ascii="Arial" w:hAnsi="Arial"/>
      <w:b/>
    </w:rPr>
  </w:style>
  <w:style w:type="paragraph" w:styleId="Titre9">
    <w:name w:val="heading 9"/>
    <w:basedOn w:val="Normal"/>
    <w:next w:val="Normal"/>
    <w:qFormat/>
    <w:rsid w:val="009554A2"/>
    <w:pPr>
      <w:ind w:left="708"/>
      <w:outlineLvl w:val="8"/>
    </w:pPr>
    <w:rPr>
      <w:rFonts w:ascii="Helvetica" w:hAnsi="Helvetica"/>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niv1">
    <w:name w:val="Standard niv 1"/>
    <w:basedOn w:val="Titre1"/>
    <w:rsid w:val="009554A2"/>
    <w:pPr>
      <w:pBdr>
        <w:bottom w:val="none" w:sz="0" w:space="0" w:color="auto"/>
      </w:pBdr>
      <w:ind w:firstLine="0"/>
      <w:jc w:val="both"/>
      <w:outlineLvl w:val="9"/>
    </w:pPr>
    <w:rPr>
      <w:b w:val="0"/>
      <w:caps w:val="0"/>
    </w:rPr>
  </w:style>
  <w:style w:type="paragraph" w:customStyle="1" w:styleId="En-tteEn-tte1Ee">
    <w:name w:val="En-tête.En-tête1.E.e"/>
    <w:basedOn w:val="Normal"/>
    <w:rsid w:val="009554A2"/>
    <w:pPr>
      <w:tabs>
        <w:tab w:val="center" w:pos="4536"/>
        <w:tab w:val="right" w:pos="9072"/>
      </w:tabs>
    </w:pPr>
    <w:rPr>
      <w:rFonts w:ascii="New York" w:hAnsi="New York"/>
      <w:sz w:val="24"/>
    </w:rPr>
  </w:style>
  <w:style w:type="paragraph" w:styleId="En-tte">
    <w:name w:val="header"/>
    <w:aliases w:val="En-tête1,E.e"/>
    <w:basedOn w:val="Normal"/>
    <w:rsid w:val="009554A2"/>
    <w:pPr>
      <w:tabs>
        <w:tab w:val="center" w:pos="4819"/>
        <w:tab w:val="right" w:pos="9071"/>
      </w:tabs>
    </w:pPr>
    <w:rPr>
      <w:sz w:val="24"/>
    </w:rPr>
  </w:style>
  <w:style w:type="paragraph" w:styleId="Corpsdetexte2">
    <w:name w:val="Body Text 2"/>
    <w:basedOn w:val="Normal"/>
    <w:rsid w:val="009554A2"/>
    <w:pPr>
      <w:jc w:val="both"/>
    </w:pPr>
    <w:rPr>
      <w:rFonts w:ascii="Arial Narrow" w:hAnsi="Arial Narrow"/>
      <w:sz w:val="24"/>
    </w:rPr>
  </w:style>
  <w:style w:type="paragraph" w:styleId="Titre">
    <w:name w:val="Title"/>
    <w:basedOn w:val="Normal"/>
    <w:qFormat/>
    <w:rsid w:val="009554A2"/>
    <w:pPr>
      <w:jc w:val="center"/>
    </w:pPr>
    <w:rPr>
      <w:b/>
      <w:sz w:val="30"/>
    </w:rPr>
  </w:style>
  <w:style w:type="paragraph" w:styleId="Corpsdetexte">
    <w:name w:val="Body Text"/>
    <w:basedOn w:val="Normal"/>
    <w:rsid w:val="009554A2"/>
    <w:pPr>
      <w:jc w:val="both"/>
    </w:pPr>
    <w:rPr>
      <w:sz w:val="22"/>
    </w:rPr>
  </w:style>
  <w:style w:type="paragraph" w:styleId="Corpsdetexte3">
    <w:name w:val="Body Text 3"/>
    <w:basedOn w:val="Normal"/>
    <w:rsid w:val="009554A2"/>
    <w:pPr>
      <w:jc w:val="both"/>
    </w:pPr>
    <w:rPr>
      <w:i/>
      <w:color w:val="008000"/>
      <w:sz w:val="24"/>
    </w:rPr>
  </w:style>
  <w:style w:type="paragraph" w:styleId="Retraitcorpsdetexte">
    <w:name w:val="Body Text Indent"/>
    <w:basedOn w:val="Normal"/>
    <w:rsid w:val="009554A2"/>
    <w:pPr>
      <w:tabs>
        <w:tab w:val="left" w:pos="1134"/>
        <w:tab w:val="left" w:pos="6237"/>
      </w:tabs>
      <w:jc w:val="both"/>
    </w:pPr>
    <w:rPr>
      <w:sz w:val="24"/>
    </w:rPr>
  </w:style>
  <w:style w:type="paragraph" w:customStyle="1" w:styleId="fcase1ertab">
    <w:name w:val="f_case_1ertab"/>
    <w:basedOn w:val="Normal"/>
    <w:rsid w:val="009554A2"/>
    <w:pPr>
      <w:tabs>
        <w:tab w:val="left" w:pos="426"/>
      </w:tabs>
      <w:ind w:left="709" w:hanging="709"/>
      <w:jc w:val="both"/>
    </w:pPr>
    <w:rPr>
      <w:rFonts w:ascii="Univers (WN)" w:hAnsi="Univers (WN)"/>
    </w:rPr>
  </w:style>
  <w:style w:type="paragraph" w:styleId="Notedebasdepage">
    <w:name w:val="footnote text"/>
    <w:basedOn w:val="Normal"/>
    <w:semiHidden/>
    <w:rsid w:val="009554A2"/>
    <w:rPr>
      <w:rFonts w:ascii="Univers (WN)" w:hAnsi="Univers (WN)"/>
    </w:rPr>
  </w:style>
  <w:style w:type="paragraph" w:customStyle="1" w:styleId="fcasegauche">
    <w:name w:val="f_case_gauche"/>
    <w:basedOn w:val="Normal"/>
    <w:rsid w:val="009554A2"/>
    <w:pPr>
      <w:spacing w:after="60"/>
      <w:ind w:left="284" w:hanging="284"/>
      <w:jc w:val="both"/>
    </w:pPr>
    <w:rPr>
      <w:rFonts w:ascii="Univers (WN)" w:hAnsi="Univers (WN)"/>
    </w:rPr>
  </w:style>
  <w:style w:type="paragraph" w:customStyle="1" w:styleId="Standardniv3">
    <w:name w:val="Standard niv 3"/>
    <w:basedOn w:val="Normal"/>
    <w:rsid w:val="009554A2"/>
    <w:pPr>
      <w:ind w:left="2126"/>
      <w:jc w:val="both"/>
    </w:pPr>
    <w:rPr>
      <w:rFonts w:ascii="Times" w:hAnsi="Times"/>
      <w:sz w:val="22"/>
    </w:rPr>
  </w:style>
  <w:style w:type="paragraph" w:styleId="Textebrut">
    <w:name w:val="Plain Text"/>
    <w:basedOn w:val="Normal"/>
    <w:rsid w:val="009554A2"/>
    <w:rPr>
      <w:rFonts w:ascii="Courier New" w:hAnsi="Courier New"/>
    </w:rPr>
  </w:style>
  <w:style w:type="paragraph" w:styleId="Normalcentr">
    <w:name w:val="Block Text"/>
    <w:basedOn w:val="Normal"/>
    <w:rsid w:val="009554A2"/>
    <w:pPr>
      <w:tabs>
        <w:tab w:val="left" w:pos="1134"/>
        <w:tab w:val="left" w:pos="5954"/>
        <w:tab w:val="left" w:pos="8505"/>
      </w:tabs>
      <w:spacing w:line="240" w:lineRule="exact"/>
      <w:ind w:left="142" w:right="140" w:firstLine="1"/>
    </w:pPr>
    <w:rPr>
      <w:sz w:val="24"/>
    </w:rPr>
  </w:style>
  <w:style w:type="paragraph" w:styleId="TM6">
    <w:name w:val="toc 6"/>
    <w:basedOn w:val="Normal"/>
    <w:next w:val="Normal"/>
    <w:autoRedefine/>
    <w:semiHidden/>
    <w:rsid w:val="009554A2"/>
    <w:pPr>
      <w:ind w:left="1000"/>
      <w:jc w:val="both"/>
    </w:pPr>
    <w:rPr>
      <w:sz w:val="24"/>
    </w:rPr>
  </w:style>
  <w:style w:type="paragraph" w:customStyle="1" w:styleId="Chapitre">
    <w:name w:val="Chapitre"/>
    <w:basedOn w:val="Normal"/>
    <w:rsid w:val="009554A2"/>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styleId="Sous-titre">
    <w:name w:val="Subtitle"/>
    <w:basedOn w:val="Normal"/>
    <w:qFormat/>
    <w:rsid w:val="009554A2"/>
    <w:pPr>
      <w:jc w:val="center"/>
    </w:pPr>
    <w:rPr>
      <w:rFonts w:ascii="Arial" w:hAnsi="Arial"/>
      <w:b/>
      <w:color w:val="808080"/>
      <w:sz w:val="28"/>
      <w14:shadow w14:blurRad="50800" w14:dist="38100" w14:dir="2700000" w14:sx="100000" w14:sy="100000" w14:kx="0" w14:ky="0" w14:algn="tl">
        <w14:srgbClr w14:val="000000">
          <w14:alpha w14:val="60000"/>
        </w14:srgbClr>
      </w14:shadow>
    </w:rPr>
  </w:style>
  <w:style w:type="paragraph" w:styleId="Pieddepage">
    <w:name w:val="footer"/>
    <w:basedOn w:val="Normal"/>
    <w:rsid w:val="009554A2"/>
    <w:pPr>
      <w:tabs>
        <w:tab w:val="center" w:pos="4536"/>
        <w:tab w:val="right" w:pos="9072"/>
      </w:tabs>
    </w:pPr>
  </w:style>
  <w:style w:type="character" w:styleId="Numrodepage">
    <w:name w:val="page number"/>
    <w:basedOn w:val="Policepardfaut"/>
    <w:rsid w:val="009554A2"/>
  </w:style>
  <w:style w:type="paragraph" w:styleId="Explorateurdedocuments">
    <w:name w:val="Document Map"/>
    <w:basedOn w:val="Normal"/>
    <w:semiHidden/>
    <w:rsid w:val="009554A2"/>
    <w:pPr>
      <w:shd w:val="clear" w:color="auto" w:fill="000080"/>
    </w:pPr>
    <w:rPr>
      <w:rFonts w:ascii="Tahoma" w:hAnsi="Tahoma"/>
    </w:rPr>
  </w:style>
  <w:style w:type="paragraph" w:styleId="Retraitcorpsdetexte2">
    <w:name w:val="Body Text Indent 2"/>
    <w:basedOn w:val="Normal"/>
    <w:rsid w:val="009554A2"/>
    <w:pPr>
      <w:ind w:left="567"/>
      <w:jc w:val="both"/>
    </w:pPr>
    <w:rPr>
      <w:sz w:val="24"/>
    </w:rPr>
  </w:style>
  <w:style w:type="paragraph" w:styleId="Retraitcorpsdetexte3">
    <w:name w:val="Body Text Indent 3"/>
    <w:basedOn w:val="Normal"/>
    <w:rsid w:val="009554A2"/>
    <w:pPr>
      <w:ind w:left="567"/>
      <w:jc w:val="both"/>
    </w:pPr>
    <w:rPr>
      <w:rFonts w:ascii="Arial" w:hAnsi="Arial"/>
      <w:color w:val="FF0000"/>
    </w:rPr>
  </w:style>
  <w:style w:type="character" w:styleId="Lienhypertexte">
    <w:name w:val="Hyperlink"/>
    <w:basedOn w:val="Policepardfaut"/>
    <w:rsid w:val="009554A2"/>
    <w:rPr>
      <w:color w:val="0000FF"/>
      <w:u w:val="single"/>
    </w:rPr>
  </w:style>
  <w:style w:type="paragraph" w:customStyle="1" w:styleId="Par1">
    <w:name w:val="Par1"/>
    <w:basedOn w:val="Normal"/>
    <w:rsid w:val="007636DD"/>
    <w:pPr>
      <w:numPr>
        <w:ilvl w:val="12"/>
      </w:numPr>
      <w:spacing w:before="60" w:after="60"/>
      <w:jc w:val="both"/>
    </w:pPr>
    <w:rPr>
      <w:rFonts w:ascii="Arial" w:hAnsi="Arial" w:cs="Arial"/>
      <w:color w:val="000080"/>
      <w:sz w:val="22"/>
      <w:szCs w:val="22"/>
    </w:rPr>
  </w:style>
  <w:style w:type="table" w:styleId="Grilledutableau">
    <w:name w:val="Table Grid"/>
    <w:basedOn w:val="TableauNormal"/>
    <w:rsid w:val="00303E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1F31CE"/>
    <w:rPr>
      <w:rFonts w:ascii="Tahoma" w:hAnsi="Tahoma" w:cs="Tahoma"/>
      <w:sz w:val="16"/>
      <w:szCs w:val="16"/>
    </w:rPr>
  </w:style>
  <w:style w:type="character" w:styleId="Marquedecommentaire">
    <w:name w:val="annotation reference"/>
    <w:basedOn w:val="Policepardfaut"/>
    <w:semiHidden/>
    <w:rsid w:val="00FB02E0"/>
    <w:rPr>
      <w:sz w:val="16"/>
      <w:szCs w:val="16"/>
    </w:rPr>
  </w:style>
  <w:style w:type="paragraph" w:styleId="Commentaire">
    <w:name w:val="annotation text"/>
    <w:basedOn w:val="Normal"/>
    <w:semiHidden/>
    <w:rsid w:val="00FB02E0"/>
  </w:style>
  <w:style w:type="paragraph" w:styleId="Objetducommentaire">
    <w:name w:val="annotation subject"/>
    <w:basedOn w:val="Commentaire"/>
    <w:next w:val="Commentaire"/>
    <w:semiHidden/>
    <w:rsid w:val="00FB02E0"/>
    <w:rPr>
      <w:b/>
      <w:bCs/>
    </w:rPr>
  </w:style>
  <w:style w:type="paragraph" w:customStyle="1" w:styleId="pucesniv1">
    <w:name w:val="puces niv1"/>
    <w:basedOn w:val="Normal"/>
    <w:rsid w:val="00AB7D02"/>
    <w:pPr>
      <w:numPr>
        <w:numId w:val="8"/>
      </w:numPr>
      <w:tabs>
        <w:tab w:val="left" w:pos="4395"/>
        <w:tab w:val="left" w:pos="6804"/>
        <w:tab w:val="left" w:pos="8505"/>
      </w:tabs>
      <w:snapToGrid w:val="0"/>
      <w:spacing w:before="120" w:after="120"/>
      <w:jc w:val="both"/>
    </w:pPr>
    <w:rPr>
      <w:rFonts w:ascii="Arial" w:eastAsia="Arial Unicode MS" w:hAnsi="Arial" w:cs="Arial"/>
      <w:bCs/>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F47D3-0DCD-43FE-9F9E-E806A0DFD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717</Words>
  <Characters>3944</Characters>
  <Application>Microsoft Office Word</Application>
  <DocSecurity>0</DocSecurity>
  <Lines>32</Lines>
  <Paragraphs>9</Paragraphs>
  <ScaleCrop>false</ScaleCrop>
  <HeadingPairs>
    <vt:vector size="4" baseType="variant">
      <vt:variant>
        <vt:lpstr>Titre</vt:lpstr>
      </vt:variant>
      <vt:variant>
        <vt:i4>1</vt:i4>
      </vt:variant>
      <vt:variant>
        <vt:lpstr>Titres</vt:lpstr>
      </vt:variant>
      <vt:variant>
        <vt:i4>6</vt:i4>
      </vt:variant>
    </vt:vector>
  </HeadingPairs>
  <TitlesOfParts>
    <vt:vector size="7" baseType="lpstr">
      <vt:lpstr>MARCHE PUBLIC DE FOURNITURES COURANTES ET SERVICES</vt:lpstr>
      <vt:lpstr/>
      <vt:lpstr>Procédure adaptée</vt:lpstr>
      <vt:lpstr/>
      <vt:lpstr>l’adéquation des profils de compétences des intervenants par rapport aux attente</vt:lpstr>
      <vt:lpstr>la qualité de l’organisation et de la méthodologie globale proposée,</vt:lpstr>
      <vt:lpstr>les délais de réalisation des prestations.</vt:lpstr>
    </vt:vector>
  </TitlesOfParts>
  <Company>Acoss</Company>
  <LinksUpToDate>false</LinksUpToDate>
  <CharactersWithSpaces>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FOURNITURES COURANTES ET SERVICES</dc:title>
  <dc:creator>ACOSS</dc:creator>
  <cp:lastModifiedBy>DANIELCZYK Juliette (Acoss)</cp:lastModifiedBy>
  <cp:revision>7</cp:revision>
  <cp:lastPrinted>2011-07-07T14:48:00Z</cp:lastPrinted>
  <dcterms:created xsi:type="dcterms:W3CDTF">2019-07-08T09:14:00Z</dcterms:created>
  <dcterms:modified xsi:type="dcterms:W3CDTF">2025-06-17T14:16:00Z</dcterms:modified>
</cp:coreProperties>
</file>