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ind w:left="1000" w:right="1000"/>
        <w:rPr>
          <w:sz w:val="2"/>
        </w:rPr>
      </w:pPr>
      <w:r>
        <w:rPr>
          <w:noProof/>
        </w:rPr>
        <w:drawing>
          <wp:inline distT="0" distB="0" distL="0" distR="0">
            <wp:extent cx="4838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38700" cy="971550"/>
                    </a:xfrm>
                    <a:prstGeom prst="rect">
                      <a:avLst/>
                    </a:prstGeom>
                    <a:noFill/>
                    <a:ln>
                      <a:noFill/>
                    </a:ln>
                  </pic:spPr>
                </pic:pic>
              </a:graphicData>
            </a:graphic>
          </wp:inline>
        </w:drawing>
      </w:r>
    </w:p>
    <w:p>
      <w:pPr>
        <w:spacing w:after="160" w:line="240" w:lineRule="exact"/>
      </w:pPr>
    </w:p>
    <w:tbl>
      <w:tblPr>
        <w:tblW w:w="0" w:type="auto"/>
        <w:tblLayout w:type="fixed"/>
        <w:tblLook w:val="04A0" w:firstRow="1" w:lastRow="0" w:firstColumn="1" w:lastColumn="0" w:noHBand="0" w:noVBand="1"/>
      </w:tblPr>
      <w:tblGrid>
        <w:gridCol w:w="9620"/>
      </w:tblGrid>
      <w:tr>
        <w:tc>
          <w:tcPr>
            <w:tcW w:w="9620" w:type="dxa"/>
            <w:shd w:val="clear" w:color="666553" w:fill="666553"/>
            <w:tcMar>
              <w:top w:w="30" w:type="dxa"/>
              <w:left w:w="0" w:type="dxa"/>
              <w:bottom w:w="0" w:type="dxa"/>
              <w:right w:w="0" w:type="dxa"/>
            </w:tcMar>
            <w:vAlign w:val="center"/>
          </w:tcPr>
          <w:p>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pPr>
        <w:spacing w:line="240" w:lineRule="exact"/>
        <w:rPr>
          <w:lang w:val="fr-FR"/>
        </w:rPr>
      </w:pPr>
      <w:r>
        <w:rPr>
          <w:lang w:val="fr-FR"/>
        </w:rPr>
        <w:t xml:space="preserve"> </w:t>
      </w:r>
    </w:p>
    <w:p>
      <w:pPr>
        <w:spacing w:after="120" w:line="240" w:lineRule="exact"/>
        <w:rPr>
          <w:lang w:val="fr-FR"/>
        </w:rPr>
      </w:pPr>
    </w:p>
    <w:p>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tc>
          <w:tcPr>
            <w:tcW w:w="7100" w:type="dxa"/>
            <w:tcBorders>
              <w:top w:val="single" w:sz="4" w:space="0" w:color="000000"/>
              <w:bottom w:val="single" w:sz="4" w:space="0" w:color="000000"/>
            </w:tcBorders>
            <w:tcMar>
              <w:top w:w="300" w:type="dxa"/>
              <w:left w:w="0" w:type="dxa"/>
              <w:bottom w:w="300" w:type="dxa"/>
              <w:right w:w="0" w:type="dxa"/>
            </w:tcMar>
            <w:vAlign w:val="center"/>
          </w:tcPr>
          <w:p>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Fourniture d'équipements de protection individuelle pour le GHT Centre Franche-Comté</w:t>
            </w:r>
          </w:p>
        </w:tc>
      </w:tr>
    </w:tbl>
    <w:p>
      <w:pPr>
        <w:rPr>
          <w:lang w:val="fr-FR"/>
        </w:rPr>
        <w:sectPr>
          <w:pgSz w:w="11900" w:h="16840"/>
          <w:pgMar w:top="1400" w:right="1140" w:bottom="1440" w:left="1140" w:header="1400" w:footer="1440" w:gutter="0"/>
          <w:cols w:space="708"/>
        </w:sectPr>
      </w:pPr>
    </w:p>
    <w:tbl>
      <w:tblPr>
        <w:tblW w:w="0" w:type="auto"/>
        <w:tblLayout w:type="fixed"/>
        <w:tblLook w:val="04A0" w:firstRow="1" w:lastRow="0" w:firstColumn="1" w:lastColumn="0" w:noHBand="0" w:noVBand="1"/>
      </w:tblPr>
      <w:tblGrid>
        <w:gridCol w:w="1200"/>
        <w:gridCol w:w="2400"/>
        <w:gridCol w:w="6000"/>
      </w:tblGrid>
      <w:tr>
        <w:trPr>
          <w:trHeight w:val="436"/>
        </w:trPr>
        <w:tc>
          <w:tcPr>
            <w:tcW w:w="9600" w:type="dxa"/>
            <w:gridSpan w:val="3"/>
            <w:tcBorders>
              <w:top w:val="single" w:sz="2" w:space="0" w:color="000000"/>
              <w:left w:val="single" w:sz="2" w:space="0" w:color="000000"/>
              <w:right w:val="single" w:sz="2" w:space="0" w:color="000000"/>
            </w:tcBorders>
            <w:shd w:val="clear" w:color="2A7CBF" w:fill="2A7CBF"/>
            <w:tcMar>
              <w:top w:w="0" w:type="dxa"/>
              <w:left w:w="0" w:type="dxa"/>
              <w:bottom w:w="0" w:type="dxa"/>
              <w:right w:w="0" w:type="dxa"/>
            </w:tcMar>
            <w:vAlign w:val="center"/>
          </w:tcPr>
          <w:p>
            <w:pPr>
              <w:pStyle w:val="Titletable"/>
              <w:jc w:val="center"/>
              <w:rPr>
                <w:lang w:val="fr-FR"/>
              </w:rPr>
            </w:pPr>
            <w:r>
              <w:rPr>
                <w:lang w:val="fr-FR"/>
              </w:rPr>
              <w:lastRenderedPageBreak/>
              <w:t>L'ESSENTIEL DU CONTRAT</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60" w:line="232" w:lineRule="exact"/>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 d'équipements de protection individuelle pour le GHT Centre Franche-Comté</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lang w:val="fr-FR"/>
              </w:rPr>
            </w:pPr>
          </w:p>
          <w:p>
            <w:pPr>
              <w:ind w:left="420"/>
              <w:rPr>
                <w:sz w:val="2"/>
              </w:rPr>
            </w:pPr>
            <w:r>
              <w:rPr>
                <w:noProof/>
              </w:rPr>
              <w:drawing>
                <wp:inline distT="0" distB="0" distL="0" distR="0">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00" w:lineRule="exact"/>
              <w:rPr>
                <w:sz w:val="10"/>
              </w:rPr>
            </w:pPr>
          </w:p>
          <w:p>
            <w:pPr>
              <w:ind w:left="420"/>
              <w:rPr>
                <w:sz w:val="2"/>
              </w:rPr>
            </w:pPr>
            <w:r>
              <w:rPr>
                <w:noProof/>
              </w:rPr>
              <w:drawing>
                <wp:inline distT="0" distB="0" distL="0" distR="0">
                  <wp:extent cx="228600" cy="2667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28600" cy="228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80" w:lineRule="exact"/>
              <w:rPr>
                <w:sz w:val="8"/>
              </w:rPr>
            </w:pPr>
          </w:p>
          <w:p>
            <w:pPr>
              <w:ind w:left="420"/>
              <w:rPr>
                <w:sz w:val="2"/>
              </w:rPr>
            </w:pPr>
            <w:r>
              <w:rPr>
                <w:noProof/>
              </w:rPr>
              <w:drawing>
                <wp:inline distT="0" distB="0" distL="0" distR="0">
                  <wp:extent cx="228600" cy="295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80" w:lineRule="exact"/>
              <w:rPr>
                <w:sz w:val="8"/>
              </w:rPr>
            </w:pPr>
          </w:p>
          <w:p>
            <w:pPr>
              <w:ind w:left="420"/>
              <w:rPr>
                <w:sz w:val="2"/>
              </w:rPr>
            </w:pPr>
            <w:r>
              <w:rPr>
                <w:noProof/>
              </w:rPr>
              <w:drawing>
                <wp:inline distT="0" distB="0" distL="0" distR="0">
                  <wp:extent cx="228600" cy="2952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80" w:lineRule="exact"/>
              <w:rPr>
                <w:sz w:val="18"/>
              </w:rPr>
            </w:pPr>
          </w:p>
          <w:p>
            <w:pPr>
              <w:ind w:left="420"/>
              <w:rPr>
                <w:sz w:val="2"/>
              </w:rPr>
            </w:pPr>
            <w:r>
              <w:rPr>
                <w:noProof/>
              </w:rPr>
              <w:drawing>
                <wp:inline distT="0" distB="0" distL="0" distR="0">
                  <wp:extent cx="228600" cy="16192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pPr>
        <w:sectPr>
          <w:pgSz w:w="11900" w:h="16840"/>
          <w:pgMar w:top="1080" w:right="1160" w:bottom="1440" w:left="1140" w:header="1080" w:footer="1440" w:gutter="0"/>
          <w:cols w:space="708"/>
        </w:sectPr>
      </w:pPr>
    </w:p>
    <w:p>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pPr>
        <w:spacing w:after="80" w:line="240" w:lineRule="exact"/>
      </w:pPr>
    </w:p>
    <w:p>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Dispositions générales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1.1 - Objet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1.2 - Décomposition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1.3 - Type d'accord-cadre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1.4 - Conditions d'attribution des bons de commande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2 - Pièces contractuelles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3 - Confidentialité et mesures de sécurité</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4 - Protection des données à caractère personnel</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5 - Durée et délais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5.1 - Durée globale prévisionnelle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5.2 - Durée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5.3 - Reconduction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6 -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3" w:history="1">
        <w:r>
          <w:rPr>
            <w:rStyle w:val="Lienhypertexte"/>
            <w:rFonts w:ascii="Trebuchet MS" w:eastAsia="Trebuchet MS" w:hAnsi="Trebuchet MS" w:cs="Trebuchet MS"/>
            <w:lang w:val="fr-FR"/>
          </w:rPr>
          <w:t>6.1 - Caractéristiques des prix pratiqués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4" w:history="1">
        <w:r>
          <w:rPr>
            <w:rStyle w:val="Lienhypertexte"/>
            <w:rFonts w:ascii="Trebuchet MS" w:eastAsia="Trebuchet MS" w:hAnsi="Trebuchet MS" w:cs="Trebuchet MS"/>
            <w:lang w:val="fr-FR"/>
          </w:rPr>
          <w:t>6.2 - Modalités de variation des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5" w:history="1">
        <w:r>
          <w:rPr>
            <w:rStyle w:val="Lienhypertexte"/>
            <w:rFonts w:ascii="Trebuchet MS" w:eastAsia="Trebuchet MS" w:hAnsi="Trebuchet MS" w:cs="Trebuchet MS"/>
            <w:lang w:val="fr-FR"/>
          </w:rPr>
          <w:t>7 - Garanties Financières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6" w:history="1">
        <w:r>
          <w:rPr>
            <w:rStyle w:val="Lienhypertexte"/>
            <w:rFonts w:ascii="Trebuchet MS" w:eastAsia="Trebuchet MS" w:hAnsi="Trebuchet MS" w:cs="Trebuchet MS"/>
            <w:lang w:val="fr-FR"/>
          </w:rPr>
          <w:t>8 - 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7" w:history="1">
        <w:r>
          <w:rPr>
            <w:rStyle w:val="Lienhypertexte"/>
            <w:rFonts w:ascii="Trebuchet MS" w:eastAsia="Trebuchet MS" w:hAnsi="Trebuchet MS" w:cs="Trebuchet MS"/>
            <w:lang w:val="fr-FR"/>
          </w:rPr>
          <w:t>8.1 - Conditions de versement et de remboursement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8" w:history="1">
        <w:r>
          <w:rPr>
            <w:rStyle w:val="Lienhypertexte"/>
            <w:rFonts w:ascii="Trebuchet MS" w:eastAsia="Trebuchet MS" w:hAnsi="Trebuchet MS" w:cs="Trebuchet MS"/>
            <w:lang w:val="fr-FR"/>
          </w:rPr>
          <w:t>8.2 - Garanties financières de l'avance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9" w:history="1">
        <w:r>
          <w:rPr>
            <w:rStyle w:val="Lienhypertexte"/>
            <w:rFonts w:ascii="Trebuchet MS" w:eastAsia="Trebuchet MS" w:hAnsi="Trebuchet MS" w:cs="Trebuchet MS"/>
            <w:lang w:val="fr-FR"/>
          </w:rPr>
          <w:t>9 - Modalités de règlement des comptes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0" w:history="1">
        <w:r>
          <w:rPr>
            <w:rStyle w:val="Lienhypertexte"/>
            <w:rFonts w:ascii="Trebuchet MS" w:eastAsia="Trebuchet MS" w:hAnsi="Trebuchet MS" w:cs="Trebuchet MS"/>
            <w:lang w:val="fr-FR"/>
          </w:rPr>
          <w:t>9.1 - Acomptes et paiements partiels définitifs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1" w:history="1">
        <w:r>
          <w:rPr>
            <w:rStyle w:val="Lienhypertexte"/>
            <w:rFonts w:ascii="Trebuchet MS" w:eastAsia="Trebuchet MS" w:hAnsi="Trebuchet MS" w:cs="Trebuchet MS"/>
            <w:lang w:val="fr-FR"/>
          </w:rPr>
          <w:t>9.2 - Présentation des demandes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2" w:history="1">
        <w:r>
          <w:rPr>
            <w:rStyle w:val="Lienhypertexte"/>
            <w:rFonts w:ascii="Trebuchet MS" w:eastAsia="Trebuchet MS" w:hAnsi="Trebuchet MS" w:cs="Trebuchet MS"/>
            <w:lang w:val="fr-FR"/>
          </w:rPr>
          <w:t>9.3 - Délai global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3" w:history="1">
        <w:r>
          <w:rPr>
            <w:rStyle w:val="Lienhypertexte"/>
            <w:rFonts w:ascii="Trebuchet MS" w:eastAsia="Trebuchet MS" w:hAnsi="Trebuchet MS" w:cs="Trebuchet MS"/>
            <w:lang w:val="fr-FR"/>
          </w:rPr>
          <w:t>9.4 - Paiement des cotraitants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24" w:history="1">
        <w:r>
          <w:rPr>
            <w:rStyle w:val="Lienhypertexte"/>
            <w:rFonts w:ascii="Trebuchet MS" w:eastAsia="Trebuchet MS" w:hAnsi="Trebuchet MS" w:cs="Trebuchet MS"/>
            <w:lang w:val="fr-FR"/>
          </w:rPr>
          <w:t>10 - Conditions d'exécution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25" w:history="1">
        <w:r>
          <w:rPr>
            <w:rStyle w:val="Lienhypertexte"/>
            <w:rFonts w:ascii="Trebuchet MS" w:eastAsia="Trebuchet MS" w:hAnsi="Trebuchet MS" w:cs="Trebuchet MS"/>
            <w:lang w:val="fr-FR"/>
          </w:rPr>
          <w:t>11 - Développement durable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26" w:history="1">
        <w:r>
          <w:rPr>
            <w:rStyle w:val="Lienhypertexte"/>
            <w:rFonts w:ascii="Trebuchet MS" w:eastAsia="Trebuchet MS" w:hAnsi="Trebuchet MS" w:cs="Trebuchet MS"/>
            <w:lang w:val="fr-FR"/>
          </w:rPr>
          <w:t>12 - Constatation de l'exécution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7" w:history="1">
        <w:r>
          <w:rPr>
            <w:rStyle w:val="Lienhypertexte"/>
            <w:rFonts w:ascii="Trebuchet MS" w:eastAsia="Trebuchet MS" w:hAnsi="Trebuchet MS" w:cs="Trebuchet MS"/>
            <w:lang w:val="fr-FR"/>
          </w:rPr>
          <w:t>12.1 - Vérifications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8" w:history="1">
        <w:r>
          <w:rPr>
            <w:rStyle w:val="Lienhypertexte"/>
            <w:rFonts w:ascii="Trebuchet MS" w:eastAsia="Trebuchet MS" w:hAnsi="Trebuchet MS" w:cs="Trebuchet MS"/>
            <w:lang w:val="fr-FR"/>
          </w:rPr>
          <w:t>12.2 - Décision après vérification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29" w:history="1">
        <w:r>
          <w:rPr>
            <w:rStyle w:val="Lienhypertexte"/>
            <w:rFonts w:ascii="Trebuchet MS" w:eastAsia="Trebuchet MS" w:hAnsi="Trebuchet MS" w:cs="Trebuchet MS"/>
            <w:lang w:val="fr-FR"/>
          </w:rPr>
          <w:t>13 - Droit de propriété industrielle et intellectuelle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30" w:history="1">
        <w:r>
          <w:rPr>
            <w:rStyle w:val="Lienhypertexte"/>
            <w:rFonts w:ascii="Trebuchet MS" w:eastAsia="Trebuchet MS" w:hAnsi="Trebuchet MS" w:cs="Trebuchet MS"/>
            <w:lang w:val="fr-FR"/>
          </w:rPr>
          <w:t>14 - Pénalités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31" w:history="1">
        <w:r>
          <w:rPr>
            <w:rStyle w:val="Lienhypertexte"/>
            <w:rFonts w:ascii="Trebuchet MS" w:eastAsia="Trebuchet MS" w:hAnsi="Trebuchet MS" w:cs="Trebuchet MS"/>
            <w:lang w:val="fr-FR"/>
          </w:rPr>
          <w:t>14.1 - Pénalités de retard</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32" w:history="1">
        <w:r>
          <w:rPr>
            <w:rStyle w:val="Lienhypertexte"/>
            <w:rFonts w:ascii="Trebuchet MS" w:eastAsia="Trebuchet MS" w:hAnsi="Trebuchet MS" w:cs="Trebuchet MS"/>
            <w:lang w:val="fr-FR"/>
          </w:rPr>
          <w:t>15 - Assurances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33" w:history="1">
        <w:r>
          <w:rPr>
            <w:rStyle w:val="Lienhypertexte"/>
            <w:rFonts w:ascii="Trebuchet MS" w:eastAsia="Trebuchet MS" w:hAnsi="Trebuchet MS" w:cs="Trebuchet MS"/>
            <w:lang w:val="fr-FR"/>
          </w:rPr>
          <w:t>16 - Clause de réexamen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13</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34" w:history="1">
        <w:r>
          <w:rPr>
            <w:rStyle w:val="Lienhypertexte"/>
            <w:rFonts w:ascii="Trebuchet MS" w:eastAsia="Trebuchet MS" w:hAnsi="Trebuchet MS" w:cs="Trebuchet MS"/>
            <w:lang w:val="fr-FR"/>
          </w:rPr>
          <w:t>17 - Responsabilité du titulaire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35" w:history="1">
        <w:r>
          <w:rPr>
            <w:rStyle w:val="Lienhypertexte"/>
            <w:rFonts w:ascii="Trebuchet MS" w:eastAsia="Trebuchet MS" w:hAnsi="Trebuchet MS" w:cs="Trebuchet MS"/>
            <w:lang w:val="fr-FR"/>
          </w:rPr>
          <w:t>17.1 - Obligation de conseil</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36" w:history="1">
        <w:r>
          <w:rPr>
            <w:rStyle w:val="Lienhypertexte"/>
            <w:rFonts w:ascii="Trebuchet MS" w:eastAsia="Trebuchet MS" w:hAnsi="Trebuchet MS" w:cs="Trebuchet MS"/>
            <w:lang w:val="fr-FR"/>
          </w:rPr>
          <w:t>17.2 - En cas de changement de référence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37" w:history="1">
        <w:r>
          <w:rPr>
            <w:rStyle w:val="Lienhypertexte"/>
            <w:rFonts w:ascii="Trebuchet MS" w:eastAsia="Trebuchet MS" w:hAnsi="Trebuchet MS" w:cs="Trebuchet MS"/>
            <w:lang w:val="fr-FR"/>
          </w:rPr>
          <w:t>17.3 - En cas de changements affectant le titulaire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38" w:history="1">
        <w:r>
          <w:rPr>
            <w:rStyle w:val="Lienhypertexte"/>
            <w:rFonts w:ascii="Trebuchet MS" w:eastAsia="Trebuchet MS" w:hAnsi="Trebuchet MS" w:cs="Trebuchet MS"/>
            <w:lang w:val="fr-FR"/>
          </w:rPr>
          <w:t>17.4 - Attestations sociales et fiscales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39" w:history="1">
        <w:r>
          <w:rPr>
            <w:rStyle w:val="Lienhypertexte"/>
            <w:rFonts w:ascii="Trebuchet MS" w:eastAsia="Trebuchet MS" w:hAnsi="Trebuchet MS" w:cs="Trebuchet MS"/>
            <w:lang w:val="fr-FR"/>
          </w:rPr>
          <w:t>17.5 - Rupture de stock</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40" w:history="1">
        <w:r>
          <w:rPr>
            <w:rStyle w:val="Lienhypertexte"/>
            <w:rFonts w:ascii="Trebuchet MS" w:eastAsia="Trebuchet MS" w:hAnsi="Trebuchet MS" w:cs="Trebuchet MS"/>
            <w:lang w:val="fr-FR"/>
          </w:rPr>
          <w:t>18 - Résiliation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41" w:history="1">
        <w:r>
          <w:rPr>
            <w:rStyle w:val="Lienhypertexte"/>
            <w:rFonts w:ascii="Trebuchet MS" w:eastAsia="Trebuchet MS" w:hAnsi="Trebuchet MS" w:cs="Trebuchet MS"/>
            <w:lang w:val="fr-FR"/>
          </w:rPr>
          <w:t>18.1 - Conditions de résiliation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42" w:history="1">
        <w:r>
          <w:rPr>
            <w:rStyle w:val="Lienhypertexte"/>
            <w:rFonts w:ascii="Trebuchet MS" w:eastAsia="Trebuchet MS" w:hAnsi="Trebuchet MS" w:cs="Trebuchet MS"/>
            <w:lang w:val="fr-FR"/>
          </w:rPr>
          <w:t>18.2 - Redressement ou liquidation judiciaire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43" w:history="1">
        <w:r>
          <w:rPr>
            <w:rStyle w:val="Lienhypertexte"/>
            <w:rFonts w:ascii="Trebuchet MS" w:eastAsia="Trebuchet MS" w:hAnsi="Trebuchet MS" w:cs="Trebuchet MS"/>
            <w:lang w:val="fr-FR"/>
          </w:rPr>
          <w:t>19 - Règlement des litiges et langues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16</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44" w:history="1">
        <w:r>
          <w:rPr>
            <w:rStyle w:val="Lienhypertexte"/>
            <w:rFonts w:ascii="Trebuchet MS" w:eastAsia="Trebuchet MS" w:hAnsi="Trebuchet MS" w:cs="Trebuchet MS"/>
            <w:lang w:val="fr-FR"/>
          </w:rPr>
          <w:t>20 - Dérogations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16</w:t>
        </w:r>
        <w:r>
          <w:rPr>
            <w:rFonts w:ascii="Trebuchet MS" w:eastAsia="Trebuchet MS" w:hAnsi="Trebuchet MS" w:cs="Trebuchet MS"/>
          </w:rPr>
          <w:fldChar w:fldCharType="end"/>
        </w:r>
      </w:hyperlink>
    </w:p>
    <w:p>
      <w:pPr>
        <w:spacing w:after="100"/>
        <w:jc w:val="both"/>
        <w:rPr>
          <w:rFonts w:ascii="Trebuchet MS" w:eastAsia="Trebuchet MS" w:hAnsi="Trebuchet MS" w:cs="Trebuchet MS"/>
          <w:color w:val="000000"/>
          <w:sz w:val="22"/>
          <w:lang w:val="fr-FR"/>
        </w:rPr>
        <w:sectPr>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pPr>
        <w:pStyle w:val="Titre1"/>
        <w:shd w:val="clear" w:color="2A7CBF" w:fill="2A7CBF"/>
        <w:rPr>
          <w:rFonts w:ascii="Trebuchet MS" w:eastAsia="Trebuchet MS" w:hAnsi="Trebuchet MS" w:cs="Trebuchet MS"/>
          <w:color w:val="FFFFFF"/>
          <w:sz w:val="28"/>
          <w:lang w:val="fr-FR"/>
        </w:rPr>
      </w:pPr>
      <w:bookmarkStart w:id="0" w:name="ArtL1_CCAP-1-A1"/>
      <w:bookmarkStart w:id="1" w:name="_Toc256000000"/>
      <w:bookmarkEnd w:id="0"/>
      <w:r>
        <w:rPr>
          <w:rFonts w:ascii="Trebuchet MS" w:eastAsia="Trebuchet MS" w:hAnsi="Trebuchet MS" w:cs="Trebuchet MS"/>
          <w:color w:val="FFFFFF"/>
          <w:sz w:val="28"/>
          <w:lang w:val="fr-FR"/>
        </w:rPr>
        <w:lastRenderedPageBreak/>
        <w:t>1 - Dispositions générales du contrat</w:t>
      </w:r>
      <w:bookmarkEnd w:id="1"/>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2" w:name="ArtL2_CCAP-1-A1.1"/>
      <w:bookmarkStart w:id="3" w:name="_Toc256000001"/>
      <w:bookmarkEnd w:id="2"/>
      <w:r>
        <w:rPr>
          <w:rFonts w:ascii="Trebuchet MS" w:eastAsia="Trebuchet MS" w:hAnsi="Trebuchet MS" w:cs="Trebuchet MS"/>
          <w:i w:val="0"/>
          <w:color w:val="000000"/>
          <w:sz w:val="24"/>
          <w:lang w:val="fr-FR"/>
        </w:rPr>
        <w:t>1.1 - Objet du contrat</w:t>
      </w:r>
      <w:bookmarkEnd w:id="3"/>
    </w:p>
    <w:p>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pPr>
        <w:pStyle w:val="ParagrapheIndent2"/>
        <w:spacing w:after="240" w:line="232" w:lineRule="exact"/>
        <w:jc w:val="both"/>
        <w:rPr>
          <w:color w:val="000000"/>
          <w:lang w:val="fr-FR"/>
        </w:rPr>
      </w:pPr>
      <w:r>
        <w:rPr>
          <w:color w:val="000000"/>
          <w:lang w:val="fr-FR"/>
        </w:rPr>
        <w:t>Fourniture d'équipements de protection individuelle pour le GHT Centre Franche-Comté</w:t>
      </w:r>
    </w:p>
    <w:p>
      <w:pPr>
        <w:pStyle w:val="ParagrapheIndent2"/>
        <w:spacing w:after="240" w:line="232" w:lineRule="exact"/>
        <w:jc w:val="both"/>
        <w:rPr>
          <w:color w:val="000000"/>
          <w:lang w:val="fr-FR"/>
        </w:rPr>
      </w:pPr>
      <w:r>
        <w:rPr>
          <w:color w:val="000000"/>
          <w:lang w:val="fr-FR"/>
        </w:rPr>
        <w:t>Cet accord-cadre fixe toutes les conditions d'exécution des prestations, il est exécuté au fur et à mesure de l'émission de bons de commande émis par le pouvoir adjudicateur.</w:t>
      </w:r>
    </w:p>
    <w:p>
      <w:pPr>
        <w:pStyle w:val="ParagrapheIndent2"/>
        <w:spacing w:line="232" w:lineRule="exact"/>
        <w:jc w:val="both"/>
        <w:rPr>
          <w:color w:val="000000"/>
          <w:lang w:val="fr-FR"/>
        </w:rPr>
      </w:pPr>
      <w:r>
        <w:rPr>
          <w:color w:val="000000"/>
          <w:lang w:val="fr-FR"/>
        </w:rPr>
        <w:t>Lieu(x) d'exécution :</w:t>
      </w:r>
    </w:p>
    <w:p>
      <w:pPr>
        <w:pStyle w:val="ParagrapheIndent2"/>
        <w:spacing w:line="232" w:lineRule="exact"/>
        <w:jc w:val="both"/>
        <w:rPr>
          <w:color w:val="000000"/>
          <w:lang w:val="fr-FR"/>
        </w:rPr>
      </w:pPr>
      <w:r>
        <w:rPr>
          <w:color w:val="000000"/>
          <w:lang w:val="fr-FR"/>
        </w:rPr>
        <w:t>Chaque établissement du GHT exécute les prestations. Les adresses de chaque établissement sont indiquées en annexe du CCAP.</w:t>
      </w:r>
    </w:p>
    <w:p>
      <w:pPr>
        <w:pStyle w:val="ParagrapheIndent2"/>
        <w:spacing w:after="240" w:line="232" w:lineRule="exact"/>
        <w:jc w:val="both"/>
        <w:rPr>
          <w:color w:val="000000"/>
          <w:lang w:val="fr-FR"/>
        </w:rPr>
      </w:pPr>
    </w:p>
    <w:p>
      <w:pPr>
        <w:pStyle w:val="ParagrapheIndent2"/>
        <w:spacing w:line="232" w:lineRule="exact"/>
        <w:jc w:val="both"/>
        <w:rPr>
          <w:color w:val="000000"/>
          <w:lang w:val="fr-FR"/>
        </w:rPr>
      </w:pPr>
      <w:r>
        <w:rPr>
          <w:color w:val="000000"/>
          <w:lang w:val="fr-FR"/>
        </w:rPr>
        <w:t>L'accord-cadre s'exécute dans le cadre d'un groupement d'acheteurs constitué sous la forme suivante : groupement Hospitalier de Territoire (GHT).</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Les établissements parties au GHT sont : CHU de Besançon, Centre Hospitalier de Haute-Comté (Pontarlier), Centre Hospitalier Louis Pasteur (Dole), Centre Hospitalier Paul Nappez (Morteau), Centre Hospitalier St Louis (Ornans), Centre Hospitalier de Baume les Dames, Centre de Long Séjour Jacques Weimann (Avanne), Centre de soins les Tilleroyes (Besançon), Centre de Soins de Bellevaux (Besançon), Etablissement de santé de Quingey, Centre Hospitalier Spécialisé Saint-Ylie (Dole), Centre Hospitalier de Novillars.</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Les établissements concernés par cette consultation sont :</w:t>
      </w:r>
    </w:p>
    <w:p>
      <w:pPr>
        <w:rPr>
          <w:rFonts w:ascii="Trebuchet MS" w:hAnsi="Trebuchet MS"/>
          <w:sz w:val="20"/>
          <w:szCs w:val="20"/>
          <w:lang w:val="fr-FR"/>
        </w:rPr>
      </w:pPr>
      <w:r>
        <w:rPr>
          <w:rFonts w:ascii="Trebuchet MS" w:hAnsi="Trebuchet MS"/>
          <w:sz w:val="20"/>
          <w:szCs w:val="20"/>
          <w:lang w:val="fr-FR"/>
        </w:rPr>
        <w:t xml:space="preserve">- CHU de Besançon </w:t>
      </w:r>
    </w:p>
    <w:p>
      <w:pPr>
        <w:pStyle w:val="ParagrapheIndent2"/>
        <w:spacing w:line="232" w:lineRule="exact"/>
        <w:jc w:val="both"/>
        <w:rPr>
          <w:color w:val="000000"/>
          <w:lang w:val="fr-FR"/>
        </w:rPr>
      </w:pPr>
      <w:r>
        <w:rPr>
          <w:color w:val="000000"/>
          <w:lang w:val="fr-FR"/>
        </w:rPr>
        <w:t>- Centre Hospitalier Intercommunal de Haute-Comté</w:t>
      </w:r>
    </w:p>
    <w:p>
      <w:pPr>
        <w:pStyle w:val="ParagrapheIndent2"/>
        <w:spacing w:line="232" w:lineRule="exact"/>
        <w:jc w:val="both"/>
        <w:rPr>
          <w:color w:val="000000"/>
          <w:lang w:val="fr-FR"/>
        </w:rPr>
      </w:pPr>
      <w:r>
        <w:rPr>
          <w:color w:val="000000"/>
          <w:lang w:val="fr-FR"/>
        </w:rPr>
        <w:t>- CH Paul Nappez</w:t>
      </w:r>
    </w:p>
    <w:p>
      <w:pPr>
        <w:pStyle w:val="ParagrapheIndent2"/>
        <w:spacing w:line="232" w:lineRule="exact"/>
        <w:jc w:val="both"/>
        <w:rPr>
          <w:color w:val="000000"/>
          <w:lang w:val="fr-FR"/>
        </w:rPr>
      </w:pPr>
      <w:r>
        <w:rPr>
          <w:color w:val="000000"/>
          <w:lang w:val="fr-FR"/>
        </w:rPr>
        <w:t>- CH Louis Pasteur de Dole</w:t>
      </w:r>
    </w:p>
    <w:p>
      <w:pPr>
        <w:pStyle w:val="ParagrapheIndent2"/>
        <w:spacing w:line="232" w:lineRule="exact"/>
        <w:jc w:val="both"/>
        <w:rPr>
          <w:color w:val="000000"/>
          <w:lang w:val="fr-FR"/>
        </w:rPr>
      </w:pPr>
      <w:r>
        <w:rPr>
          <w:color w:val="000000"/>
          <w:lang w:val="fr-FR"/>
        </w:rPr>
        <w:t>- CHS Saint-ylie Jura</w:t>
      </w:r>
    </w:p>
    <w:p>
      <w:pPr>
        <w:pStyle w:val="ParagrapheIndent2"/>
        <w:spacing w:line="232" w:lineRule="exact"/>
        <w:jc w:val="both"/>
        <w:rPr>
          <w:color w:val="000000"/>
          <w:lang w:val="fr-FR"/>
        </w:rPr>
      </w:pPr>
      <w:r>
        <w:rPr>
          <w:color w:val="000000"/>
          <w:lang w:val="fr-FR"/>
        </w:rPr>
        <w:t>- Etablissement de santé de Quingey</w:t>
      </w:r>
    </w:p>
    <w:p>
      <w:pPr>
        <w:pStyle w:val="ParagrapheIndent2"/>
        <w:spacing w:line="232" w:lineRule="exact"/>
        <w:jc w:val="both"/>
        <w:rPr>
          <w:color w:val="000000"/>
          <w:lang w:val="fr-FR"/>
        </w:rPr>
      </w:pPr>
      <w:r>
        <w:rPr>
          <w:color w:val="000000"/>
          <w:lang w:val="fr-FR"/>
        </w:rPr>
        <w:t>- Centre Hospitalier de Novillars</w:t>
      </w:r>
    </w:p>
    <w:p>
      <w:pPr>
        <w:pStyle w:val="ParagrapheIndent2"/>
        <w:spacing w:line="232" w:lineRule="exact"/>
        <w:jc w:val="both"/>
        <w:rPr>
          <w:color w:val="000000"/>
          <w:lang w:val="fr-FR"/>
        </w:rPr>
      </w:pPr>
      <w:r>
        <w:rPr>
          <w:color w:val="000000"/>
          <w:lang w:val="fr-FR"/>
        </w:rPr>
        <w:t>- CH de la sainte Croix</w:t>
      </w:r>
    </w:p>
    <w:p>
      <w:pPr>
        <w:pStyle w:val="ParagrapheIndent2"/>
        <w:spacing w:line="232" w:lineRule="exact"/>
        <w:jc w:val="both"/>
        <w:rPr>
          <w:color w:val="000000"/>
          <w:lang w:val="fr-FR"/>
        </w:rPr>
      </w:pPr>
      <w:r>
        <w:rPr>
          <w:color w:val="000000"/>
          <w:lang w:val="fr-FR"/>
        </w:rPr>
        <w:t>- CH St Louis Ornans</w:t>
      </w:r>
    </w:p>
    <w:p>
      <w:pPr>
        <w:pStyle w:val="ParagrapheIndent2"/>
        <w:spacing w:line="232" w:lineRule="exact"/>
        <w:jc w:val="both"/>
        <w:rPr>
          <w:color w:val="000000"/>
          <w:lang w:val="fr-FR"/>
        </w:rPr>
      </w:pPr>
      <w:r>
        <w:rPr>
          <w:color w:val="000000"/>
          <w:lang w:val="fr-FR"/>
        </w:rPr>
        <w:t>- CJW-Avanne</w:t>
      </w:r>
    </w:p>
    <w:p>
      <w:pPr>
        <w:pStyle w:val="ParagrapheIndent2"/>
        <w:spacing w:line="232" w:lineRule="exact"/>
        <w:jc w:val="both"/>
        <w:rPr>
          <w:color w:val="000000"/>
          <w:lang w:val="fr-FR"/>
        </w:rPr>
      </w:pPr>
      <w:r>
        <w:rPr>
          <w:color w:val="000000"/>
          <w:lang w:val="fr-FR"/>
        </w:rPr>
        <w:t>- CLS Bellevaux</w:t>
      </w:r>
    </w:p>
    <w:p>
      <w:pPr>
        <w:pStyle w:val="ParagrapheIndent2"/>
        <w:spacing w:line="232" w:lineRule="exact"/>
        <w:jc w:val="both"/>
        <w:rPr>
          <w:color w:val="000000"/>
          <w:lang w:val="fr-FR"/>
        </w:rPr>
      </w:pPr>
      <w:r>
        <w:rPr>
          <w:color w:val="000000"/>
          <w:lang w:val="fr-FR"/>
        </w:rPr>
        <w:t>- CSR les Tilleroyes</w:t>
      </w:r>
    </w:p>
    <w:p>
      <w:pPr>
        <w:pStyle w:val="ParagrapheIndent2"/>
        <w:spacing w:line="232" w:lineRule="exact"/>
        <w:jc w:val="both"/>
        <w:rPr>
          <w:color w:val="000000"/>
          <w:lang w:val="fr-FR"/>
        </w:rPr>
      </w:pP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Acheteur référent : CHU de BESANCON Etablissement support du GHT-CFC</w:t>
      </w:r>
    </w:p>
    <w:p>
      <w:pPr>
        <w:pStyle w:val="ParagrapheIndent2"/>
        <w:spacing w:after="240" w:line="232" w:lineRule="exact"/>
        <w:jc w:val="both"/>
        <w:rPr>
          <w:color w:val="000000"/>
          <w:lang w:val="fr-FR"/>
        </w:rPr>
      </w:pPr>
      <w:r>
        <w:rPr>
          <w:color w:val="000000"/>
          <w:lang w:val="fr-FR"/>
        </w:rPr>
        <w:t>L'acheteur référent aura en charge la passation, la signature et la notification de l'accord-cadre. Chaque membre devra suivre l'exécution de l'accord-cadre.</w:t>
      </w:r>
    </w:p>
    <w:p>
      <w:pPr>
        <w:pStyle w:val="Titre2"/>
        <w:ind w:left="280"/>
        <w:jc w:val="both"/>
        <w:rPr>
          <w:rFonts w:ascii="Trebuchet MS" w:eastAsia="Trebuchet MS" w:hAnsi="Trebuchet MS" w:cs="Trebuchet MS"/>
          <w:i w:val="0"/>
          <w:color w:val="000000"/>
          <w:sz w:val="24"/>
          <w:lang w:val="fr-FR"/>
        </w:rPr>
      </w:pPr>
      <w:bookmarkStart w:id="4" w:name="ArtL2_CCAP-1-A1.2"/>
      <w:bookmarkStart w:id="5" w:name="_Toc256000002"/>
      <w:bookmarkEnd w:id="4"/>
      <w:r>
        <w:rPr>
          <w:rFonts w:ascii="Trebuchet MS" w:eastAsia="Trebuchet MS" w:hAnsi="Trebuchet MS" w:cs="Trebuchet MS"/>
          <w:i w:val="0"/>
          <w:color w:val="000000"/>
          <w:sz w:val="24"/>
          <w:lang w:val="fr-FR"/>
        </w:rPr>
        <w:t>1.2 - Décomposition du contrat</w:t>
      </w:r>
      <w:bookmarkEnd w:id="5"/>
    </w:p>
    <w:p>
      <w:pPr>
        <w:pStyle w:val="ParagrapheIndent2"/>
        <w:spacing w:line="232" w:lineRule="exact"/>
        <w:jc w:val="both"/>
        <w:rPr>
          <w:color w:val="000000"/>
          <w:lang w:val="fr-FR"/>
        </w:rPr>
      </w:pPr>
      <w:r>
        <w:rPr>
          <w:color w:val="000000"/>
          <w:lang w:val="fr-FR"/>
        </w:rPr>
        <w:t>Les prestations sont réparties en 9 lot(s) :</w:t>
      </w:r>
    </w:p>
    <w:p>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des mains</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des yeux</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auditive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auditive sur mesure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du corps sans marquage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du corps avec marquage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respiratoire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des pieds</w:t>
            </w:r>
          </w:p>
        </w:tc>
      </w:tr>
    </w:tbl>
    <w:p>
      <w:pPr>
        <w:sectPr>
          <w:footerReference w:type="default" r:id="rId18"/>
          <w:pgSz w:w="11900" w:h="16840"/>
          <w:pgMar w:top="580" w:right="1140" w:bottom="580" w:left="1140" w:header="580" w:footer="580" w:gutter="0"/>
          <w:cols w:space="708"/>
        </w:sectPr>
      </w:pPr>
    </w:p>
    <w:tbl>
      <w:tblPr>
        <w:tblW w:w="0" w:type="auto"/>
        <w:tblInd w:w="500" w:type="dxa"/>
        <w:tblLayout w:type="fixed"/>
        <w:tblLook w:val="04A0" w:firstRow="1" w:lastRow="0" w:firstColumn="1" w:lastColumn="0" w:noHBand="0" w:noVBand="1"/>
      </w:tblPr>
      <w:tblGrid>
        <w:gridCol w:w="1800"/>
        <w:gridCol w:w="6800"/>
      </w:tblGrid>
      <w:tr>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 la tête</w:t>
            </w:r>
          </w:p>
        </w:tc>
      </w:tr>
    </w:tbl>
    <w:p>
      <w:pPr>
        <w:spacing w:after="120" w:line="240" w:lineRule="exact"/>
      </w:pPr>
      <w:r>
        <w:t xml:space="preserve"> </w:t>
      </w:r>
    </w:p>
    <w:p>
      <w:pPr>
        <w:pStyle w:val="ParagrapheIndent2"/>
        <w:spacing w:after="240"/>
        <w:jc w:val="both"/>
        <w:rPr>
          <w:color w:val="000000"/>
          <w:lang w:val="fr-FR"/>
        </w:rPr>
      </w:pPr>
      <w:r>
        <w:rPr>
          <w:color w:val="000000"/>
          <w:lang w:val="fr-FR"/>
        </w:rPr>
        <w:t>Chaque lot fait l'objet d'un accord-cadre attribué à un seul opérateur économique, à bons de commande.</w:t>
      </w:r>
    </w:p>
    <w:p>
      <w:pPr>
        <w:pStyle w:val="Titre2"/>
        <w:ind w:left="280"/>
        <w:jc w:val="both"/>
        <w:rPr>
          <w:rFonts w:ascii="Trebuchet MS" w:eastAsia="Trebuchet MS" w:hAnsi="Trebuchet MS" w:cs="Trebuchet MS"/>
          <w:i w:val="0"/>
          <w:color w:val="000000"/>
          <w:sz w:val="24"/>
          <w:lang w:val="fr-FR"/>
        </w:rPr>
      </w:pPr>
      <w:bookmarkStart w:id="6" w:name="ArtL2_CCAP-1-A1.3"/>
      <w:bookmarkStart w:id="7" w:name="_Toc256000003"/>
      <w:bookmarkEnd w:id="6"/>
      <w:r>
        <w:rPr>
          <w:rFonts w:ascii="Trebuchet MS" w:eastAsia="Trebuchet MS" w:hAnsi="Trebuchet MS" w:cs="Trebuchet MS"/>
          <w:i w:val="0"/>
          <w:color w:val="000000"/>
          <w:sz w:val="24"/>
          <w:lang w:val="fr-FR"/>
        </w:rPr>
        <w:t>1.3 - Type d'accord-cadre</w:t>
      </w:r>
      <w:bookmarkEnd w:id="7"/>
    </w:p>
    <w:p>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pPr>
        <w:pStyle w:val="Titre2"/>
        <w:ind w:left="280"/>
        <w:jc w:val="both"/>
        <w:rPr>
          <w:rFonts w:ascii="Trebuchet MS" w:eastAsia="Trebuchet MS" w:hAnsi="Trebuchet MS" w:cs="Trebuchet MS"/>
          <w:i w:val="0"/>
          <w:color w:val="000000"/>
          <w:sz w:val="24"/>
          <w:lang w:val="fr-FR"/>
        </w:rPr>
      </w:pPr>
      <w:bookmarkStart w:id="8" w:name="ArtL2_CCAP-1-A1.4"/>
      <w:bookmarkStart w:id="9" w:name="_Toc256000004"/>
      <w:bookmarkEnd w:id="8"/>
      <w:r>
        <w:rPr>
          <w:rFonts w:ascii="Trebuchet MS" w:eastAsia="Trebuchet MS" w:hAnsi="Trebuchet MS" w:cs="Trebuchet MS"/>
          <w:i w:val="0"/>
          <w:color w:val="000000"/>
          <w:sz w:val="24"/>
          <w:lang w:val="fr-FR"/>
        </w:rPr>
        <w:t>1.4 - Conditions d'attribution des bons de commande</w:t>
      </w:r>
      <w:bookmarkEnd w:id="9"/>
    </w:p>
    <w:p>
      <w:pPr>
        <w:pStyle w:val="ParagrapheIndent2"/>
        <w:spacing w:after="240"/>
        <w:jc w:val="both"/>
        <w:rPr>
          <w:color w:val="000000"/>
          <w:lang w:val="fr-FR"/>
        </w:rPr>
      </w:pPr>
      <w:r>
        <w:rPr>
          <w:color w:val="000000"/>
          <w:lang w:val="fr-FR"/>
        </w:rPr>
        <w:t>Les bons de commande seront notifiés par le pouvoir adjudicateur.</w:t>
      </w:r>
    </w:p>
    <w:p>
      <w:pPr>
        <w:pStyle w:val="ParagrapheIndent2"/>
        <w:spacing w:line="232" w:lineRule="exact"/>
        <w:jc w:val="both"/>
        <w:rPr>
          <w:color w:val="000000"/>
          <w:lang w:val="fr-FR"/>
        </w:rPr>
      </w:pPr>
      <w:r>
        <w:rPr>
          <w:color w:val="000000"/>
          <w:lang w:val="fr-FR"/>
        </w:rPr>
        <w:t>Les mentions devant figurer sur chaque bon de commande sont les suivantes :</w:t>
      </w:r>
    </w:p>
    <w:p>
      <w:pPr>
        <w:pStyle w:val="ParagrapheIndent2"/>
        <w:spacing w:line="232" w:lineRule="exact"/>
        <w:jc w:val="both"/>
        <w:rPr>
          <w:color w:val="000000"/>
          <w:lang w:val="fr-FR"/>
        </w:rPr>
      </w:pPr>
      <w:r>
        <w:rPr>
          <w:color w:val="000000"/>
          <w:lang w:val="fr-FR"/>
        </w:rPr>
        <w:t>- la nature et la description des prestations à réaliser ;</w:t>
      </w:r>
    </w:p>
    <w:p>
      <w:pPr>
        <w:pStyle w:val="ParagrapheIndent2"/>
        <w:spacing w:line="232" w:lineRule="exact"/>
        <w:jc w:val="both"/>
        <w:rPr>
          <w:color w:val="000000"/>
          <w:lang w:val="fr-FR"/>
        </w:rPr>
      </w:pPr>
      <w:r>
        <w:rPr>
          <w:color w:val="000000"/>
          <w:lang w:val="fr-FR"/>
        </w:rPr>
        <w:t>- les lieux de livraison des prestations ;</w:t>
      </w:r>
    </w:p>
    <w:p>
      <w:pPr>
        <w:pStyle w:val="ParagrapheIndent2"/>
        <w:spacing w:line="232" w:lineRule="exact"/>
        <w:jc w:val="both"/>
        <w:rPr>
          <w:color w:val="000000"/>
          <w:lang w:val="fr-FR"/>
        </w:rPr>
      </w:pPr>
      <w:r>
        <w:rPr>
          <w:color w:val="000000"/>
          <w:lang w:val="fr-FR"/>
        </w:rPr>
        <w:t>- le montant du bon de commande ;</w:t>
      </w:r>
    </w:p>
    <w:p>
      <w:pPr>
        <w:pStyle w:val="ParagrapheIndent2"/>
        <w:spacing w:line="232" w:lineRule="exact"/>
        <w:jc w:val="both"/>
        <w:rPr>
          <w:color w:val="000000"/>
          <w:lang w:val="fr-FR"/>
        </w:rPr>
      </w:pPr>
      <w:r>
        <w:rPr>
          <w:color w:val="000000"/>
          <w:lang w:val="fr-FR"/>
        </w:rPr>
        <w:t>- le nom ou la raison sociale du titulaire.</w:t>
      </w:r>
    </w:p>
    <w:p>
      <w:pPr>
        <w:pStyle w:val="ParagrapheIndent2"/>
        <w:spacing w:line="232" w:lineRule="exact"/>
        <w:jc w:val="both"/>
        <w:rPr>
          <w:color w:val="000000"/>
          <w:lang w:val="fr-FR"/>
        </w:rPr>
      </w:pPr>
      <w:r>
        <w:rPr>
          <w:color w:val="000000"/>
          <w:lang w:val="fr-FR"/>
        </w:rPr>
        <w:t>- la date et le numéro du marché ;</w:t>
      </w:r>
    </w:p>
    <w:p>
      <w:pPr>
        <w:pStyle w:val="ParagrapheIndent2"/>
        <w:spacing w:line="232" w:lineRule="exact"/>
        <w:jc w:val="both"/>
        <w:rPr>
          <w:color w:val="000000"/>
          <w:lang w:val="fr-FR"/>
        </w:rPr>
      </w:pPr>
      <w:r>
        <w:rPr>
          <w:color w:val="000000"/>
          <w:lang w:val="fr-FR"/>
        </w:rPr>
        <w:t>- la date et le numéro du bon de commande ;</w:t>
      </w:r>
    </w:p>
    <w:p>
      <w:pPr>
        <w:pStyle w:val="ParagrapheIndent2"/>
        <w:spacing w:after="240" w:line="232" w:lineRule="exact"/>
        <w:jc w:val="both"/>
        <w:rPr>
          <w:color w:val="000000"/>
          <w:lang w:val="fr-FR"/>
        </w:rPr>
      </w:pPr>
    </w:p>
    <w:p>
      <w:pPr>
        <w:pStyle w:val="ParagrapheIndent2"/>
        <w:spacing w:after="240" w:line="232" w:lineRule="exact"/>
        <w:jc w:val="both"/>
        <w:rPr>
          <w:color w:val="000000"/>
          <w:lang w:val="fr-FR"/>
        </w:rPr>
      </w:pPr>
      <w:r>
        <w:rPr>
          <w:color w:val="000000"/>
          <w:lang w:val="fr-FR"/>
        </w:rPr>
        <w:t>Seuls les bons de commande signés par le représentant du pouvoir adjudicateur peuvent être honorés par le ou les titulaires.</w:t>
      </w:r>
    </w:p>
    <w:p>
      <w:pPr>
        <w:pStyle w:val="Titre1"/>
        <w:shd w:val="clear" w:color="2A7CBF" w:fill="2A7CBF"/>
        <w:rPr>
          <w:rFonts w:ascii="Trebuchet MS" w:eastAsia="Trebuchet MS" w:hAnsi="Trebuchet MS" w:cs="Trebuchet MS"/>
          <w:color w:val="FFFFFF"/>
          <w:sz w:val="28"/>
          <w:lang w:val="fr-FR"/>
        </w:rPr>
      </w:pPr>
      <w:bookmarkStart w:id="10" w:name="ArtL1_CCAP-1-A2"/>
      <w:bookmarkStart w:id="11" w:name="_Toc256000005"/>
      <w:bookmarkEnd w:id="10"/>
      <w:r>
        <w:rPr>
          <w:rFonts w:ascii="Trebuchet MS" w:eastAsia="Trebuchet MS" w:hAnsi="Trebuchet MS" w:cs="Trebuchet MS"/>
          <w:color w:val="FFFFFF"/>
          <w:sz w:val="28"/>
          <w:lang w:val="fr-FR"/>
        </w:rPr>
        <w:t>2 - Pièces contractuelles</w:t>
      </w:r>
      <w:bookmarkEnd w:id="11"/>
    </w:p>
    <w:p>
      <w:pPr>
        <w:spacing w:line="60" w:lineRule="exact"/>
        <w:rPr>
          <w:sz w:val="6"/>
          <w:lang w:val="fr-FR"/>
        </w:rPr>
      </w:pPr>
      <w:r>
        <w:rPr>
          <w:lang w:val="fr-FR"/>
        </w:rPr>
        <w:t xml:space="preserve"> </w:t>
      </w:r>
    </w:p>
    <w:p>
      <w:pPr>
        <w:pStyle w:val="ParagrapheIndent1"/>
        <w:spacing w:line="232" w:lineRule="exact"/>
        <w:jc w:val="both"/>
        <w:rPr>
          <w:color w:val="000000"/>
          <w:lang w:val="fr-FR"/>
        </w:rPr>
      </w:pPr>
      <w:r>
        <w:rPr>
          <w:color w:val="000000"/>
          <w:lang w:val="fr-FR"/>
        </w:rPr>
        <w:t>Les pièces contractuelles de l'accord-cadre sont les suivantes et, en cas de contradiction entre leurs stipulations, prévalent dans cet ordre de priorité :</w:t>
      </w:r>
    </w:p>
    <w:p>
      <w:pPr>
        <w:pStyle w:val="ParagrapheIndent1"/>
        <w:spacing w:line="232" w:lineRule="exact"/>
        <w:jc w:val="both"/>
        <w:rPr>
          <w:color w:val="000000"/>
          <w:lang w:val="fr-FR"/>
        </w:rPr>
      </w:pPr>
      <w:r>
        <w:rPr>
          <w:color w:val="000000"/>
          <w:lang w:val="fr-FR"/>
        </w:rPr>
        <w:t>- L'acte d'engagement (AE) et ses annexes financières</w:t>
      </w:r>
    </w:p>
    <w:p>
      <w:pPr>
        <w:pStyle w:val="ParagrapheIndent1"/>
        <w:spacing w:line="232" w:lineRule="exact"/>
        <w:jc w:val="both"/>
        <w:rPr>
          <w:color w:val="000000"/>
          <w:lang w:val="fr-FR"/>
        </w:rPr>
      </w:pPr>
      <w:r>
        <w:rPr>
          <w:color w:val="000000"/>
          <w:lang w:val="fr-FR"/>
        </w:rPr>
        <w:t>- Le cahier des clauses administratives particulières (CCAP) et ses annexes</w:t>
      </w:r>
    </w:p>
    <w:p>
      <w:pPr>
        <w:pStyle w:val="ParagrapheIndent1"/>
        <w:spacing w:line="232" w:lineRule="exact"/>
        <w:jc w:val="both"/>
        <w:rPr>
          <w:color w:val="000000"/>
          <w:lang w:val="fr-FR"/>
        </w:rPr>
      </w:pPr>
      <w:r>
        <w:rPr>
          <w:color w:val="000000"/>
          <w:lang w:val="fr-FR"/>
        </w:rPr>
        <w:t>- Le cahier des clauses techniques particulières (CCTP) et ses annexes éventuelles</w:t>
      </w:r>
    </w:p>
    <w:p>
      <w:pPr>
        <w:pStyle w:val="ParagrapheIndent1"/>
        <w:spacing w:line="232" w:lineRule="exact"/>
        <w:jc w:val="both"/>
        <w:rPr>
          <w:color w:val="000000"/>
          <w:lang w:val="fr-FR"/>
        </w:rPr>
      </w:pPr>
      <w:r>
        <w:rPr>
          <w:color w:val="000000"/>
          <w:lang w:val="fr-FR"/>
        </w:rPr>
        <w:t>- Le cahier des clauses administratives générales (CCAG) applicables aux marchés publics de fournitures courantes et de services, approuvé par l'arrêté du 30 mars 2021</w:t>
      </w:r>
    </w:p>
    <w:p>
      <w:pPr>
        <w:pStyle w:val="ParagrapheIndent1"/>
        <w:spacing w:line="232" w:lineRule="exact"/>
        <w:jc w:val="both"/>
        <w:rPr>
          <w:color w:val="000000"/>
          <w:lang w:val="fr-FR"/>
        </w:rPr>
      </w:pPr>
      <w:r>
        <w:rPr>
          <w:color w:val="000000"/>
          <w:lang w:val="fr-FR"/>
        </w:rPr>
        <w:t>- Le bordereau des prix unitaires (BPU)</w:t>
      </w:r>
    </w:p>
    <w:p>
      <w:pPr>
        <w:pStyle w:val="ParagrapheIndent1"/>
        <w:spacing w:line="232" w:lineRule="exact"/>
        <w:jc w:val="both"/>
        <w:rPr>
          <w:color w:val="000000"/>
          <w:lang w:val="fr-FR"/>
        </w:rPr>
      </w:pPr>
      <w:r>
        <w:rPr>
          <w:color w:val="000000"/>
          <w:lang w:val="fr-FR"/>
        </w:rPr>
        <w:t>- Les fiches techniques</w:t>
      </w:r>
    </w:p>
    <w:p>
      <w:pPr>
        <w:pStyle w:val="ParagrapheIndent1"/>
        <w:spacing w:line="232" w:lineRule="exact"/>
        <w:jc w:val="both"/>
        <w:rPr>
          <w:color w:val="000000"/>
          <w:lang w:val="fr-FR"/>
        </w:rPr>
      </w:pPr>
      <w:r>
        <w:rPr>
          <w:color w:val="000000"/>
          <w:lang w:val="fr-FR"/>
        </w:rPr>
        <w:t>- Le mémoire technique</w:t>
      </w:r>
    </w:p>
    <w:p>
      <w:pPr>
        <w:rPr>
          <w:rFonts w:ascii="Trebuchet MS" w:hAnsi="Trebuchet MS"/>
          <w:lang w:val="fr-FR"/>
        </w:rPr>
      </w:pPr>
      <w:r>
        <w:rPr>
          <w:rFonts w:ascii="Trebuchet MS" w:hAnsi="Trebuchet MS"/>
          <w:sz w:val="20"/>
          <w:szCs w:val="20"/>
          <w:lang w:val="fr-FR"/>
        </w:rPr>
        <w:t>- Le détail quantitatif estimatif (DQE)</w:t>
      </w:r>
    </w:p>
    <w:p>
      <w:pPr>
        <w:rPr>
          <w:lang w:val="fr-FR"/>
        </w:rPr>
      </w:pPr>
    </w:p>
    <w:p>
      <w:pPr>
        <w:pStyle w:val="Titre1"/>
        <w:shd w:val="clear" w:color="2A7CBF" w:fill="2A7CBF"/>
        <w:rPr>
          <w:rFonts w:ascii="Trebuchet MS" w:eastAsia="Trebuchet MS" w:hAnsi="Trebuchet MS" w:cs="Trebuchet MS"/>
          <w:color w:val="FFFFFF"/>
          <w:sz w:val="28"/>
          <w:lang w:val="fr-FR"/>
        </w:rPr>
      </w:pPr>
      <w:bookmarkStart w:id="12" w:name="ArtL1_CCAP-1-A5"/>
      <w:bookmarkStart w:id="13" w:name="_Toc256000006"/>
      <w:bookmarkEnd w:id="12"/>
      <w:r>
        <w:rPr>
          <w:rFonts w:ascii="Trebuchet MS" w:eastAsia="Trebuchet MS" w:hAnsi="Trebuchet MS" w:cs="Trebuchet MS"/>
          <w:color w:val="FFFFFF"/>
          <w:sz w:val="28"/>
          <w:lang w:val="fr-FR"/>
        </w:rPr>
        <w:t>3 - Confidentialité et mesures de sécurité</w:t>
      </w:r>
      <w:bookmarkEnd w:id="13"/>
    </w:p>
    <w:p>
      <w:pPr>
        <w:spacing w:line="60" w:lineRule="exact"/>
        <w:rPr>
          <w:sz w:val="6"/>
          <w:lang w:val="fr-FR"/>
        </w:rPr>
      </w:pPr>
      <w:r>
        <w:rPr>
          <w:lang w:val="fr-FR"/>
        </w:rPr>
        <w:t xml:space="preserve"> </w:t>
      </w:r>
    </w:p>
    <w:p>
      <w:pPr>
        <w:pStyle w:val="ParagrapheIndent1"/>
        <w:spacing w:after="240" w:line="232" w:lineRule="exact"/>
        <w:jc w:val="both"/>
        <w:rPr>
          <w:color w:val="000000"/>
          <w:lang w:val="fr-FR"/>
        </w:rPr>
      </w:pPr>
      <w:r>
        <w:rPr>
          <w:color w:val="000000"/>
          <w:lang w:val="fr-FR"/>
        </w:rPr>
        <w:t>Le présent accord-cadre comporte une obligation de confidentialité telle que prévue à l'article 5.1 du CCAG-FCS.</w:t>
      </w:r>
    </w:p>
    <w:p>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pPr>
        <w:pStyle w:val="Titre1"/>
        <w:shd w:val="clear" w:color="2A7CBF" w:fill="2A7CBF"/>
        <w:rPr>
          <w:rFonts w:ascii="Trebuchet MS" w:eastAsia="Trebuchet MS" w:hAnsi="Trebuchet MS" w:cs="Trebuchet MS"/>
          <w:color w:val="FFFFFF"/>
          <w:sz w:val="28"/>
          <w:lang w:val="fr-FR"/>
        </w:rPr>
      </w:pPr>
      <w:bookmarkStart w:id="14" w:name="ArtL1_CCAP-1-A6"/>
      <w:bookmarkStart w:id="15" w:name="_Toc256000007"/>
      <w:bookmarkEnd w:id="14"/>
      <w:r>
        <w:rPr>
          <w:rFonts w:ascii="Trebuchet MS" w:eastAsia="Trebuchet MS" w:hAnsi="Trebuchet MS" w:cs="Trebuchet MS"/>
          <w:color w:val="FFFFFF"/>
          <w:sz w:val="28"/>
          <w:lang w:val="fr-FR"/>
        </w:rPr>
        <w:t>4 - Protection des données à caractère personnel</w:t>
      </w:r>
      <w:bookmarkEnd w:id="15"/>
    </w:p>
    <w:p>
      <w:pPr>
        <w:spacing w:line="60" w:lineRule="exact"/>
        <w:rPr>
          <w:sz w:val="6"/>
          <w:lang w:val="fr-FR"/>
        </w:rPr>
      </w:pPr>
      <w:r>
        <w:rPr>
          <w:lang w:val="fr-FR"/>
        </w:rPr>
        <w:t xml:space="preserve"> </w:t>
      </w:r>
    </w:p>
    <w:p>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pPr>
        <w:pStyle w:val="ParagrapheIndent1"/>
        <w:spacing w:after="60" w:line="232" w:lineRule="exact"/>
        <w:jc w:val="both"/>
        <w:rPr>
          <w:color w:val="000000"/>
          <w:lang w:val="fr-FR"/>
        </w:rPr>
        <w:sectPr>
          <w:footerReference w:type="default" r:id="rId19"/>
          <w:pgSz w:w="11900" w:h="16840"/>
          <w:pgMar w:top="580" w:right="1140" w:bottom="580" w:left="1140" w:header="580" w:footer="580" w:gutter="0"/>
          <w:cols w:space="708"/>
        </w:sectPr>
      </w:pPr>
    </w:p>
    <w:p>
      <w:pPr>
        <w:pStyle w:val="Titre1"/>
        <w:shd w:val="clear" w:color="2A7CBF" w:fill="2A7CBF"/>
        <w:rPr>
          <w:rFonts w:ascii="Trebuchet MS" w:eastAsia="Trebuchet MS" w:hAnsi="Trebuchet MS" w:cs="Trebuchet MS"/>
          <w:color w:val="FFFFFF"/>
          <w:sz w:val="28"/>
          <w:lang w:val="fr-FR"/>
        </w:rPr>
      </w:pPr>
      <w:bookmarkStart w:id="16" w:name="ArtL1_CCAP-1-A9"/>
      <w:bookmarkStart w:id="17" w:name="_Toc256000008"/>
      <w:bookmarkEnd w:id="16"/>
      <w:r>
        <w:rPr>
          <w:rFonts w:ascii="Trebuchet MS" w:eastAsia="Trebuchet MS" w:hAnsi="Trebuchet MS" w:cs="Trebuchet MS"/>
          <w:color w:val="FFFFFF"/>
          <w:sz w:val="28"/>
          <w:lang w:val="fr-FR"/>
        </w:rPr>
        <w:lastRenderedPageBreak/>
        <w:t>5 - Durée et délais d'exécution</w:t>
      </w:r>
      <w:bookmarkEnd w:id="17"/>
    </w:p>
    <w:p>
      <w:pPr>
        <w:spacing w:line="60" w:lineRule="exact"/>
        <w:rPr>
          <w:sz w:val="6"/>
          <w:lang w:val="fr-FR"/>
        </w:rPr>
      </w:pPr>
      <w:r>
        <w:rPr>
          <w:lang w:val="fr-FR"/>
        </w:rPr>
        <w:t xml:space="preserve"> </w:t>
      </w:r>
    </w:p>
    <w:p>
      <w:pPr>
        <w:pStyle w:val="Titre2"/>
        <w:jc w:val="both"/>
        <w:rPr>
          <w:rFonts w:ascii="Trebuchet MS" w:eastAsia="Trebuchet MS" w:hAnsi="Trebuchet MS" w:cs="Trebuchet MS"/>
          <w:i w:val="0"/>
          <w:color w:val="000000"/>
          <w:sz w:val="24"/>
          <w:lang w:val="fr-FR"/>
        </w:rPr>
      </w:pPr>
      <w:bookmarkStart w:id="18" w:name="ArtL2_CCAP-1-A9.1"/>
      <w:bookmarkStart w:id="19" w:name="ArtL2_CCAP-1-A9.3"/>
      <w:bookmarkStart w:id="20" w:name="_Toc256000010"/>
      <w:bookmarkEnd w:id="18"/>
      <w:bookmarkEnd w:id="19"/>
    </w:p>
    <w:p>
      <w:pPr>
        <w:pStyle w:val="Titre2"/>
        <w:ind w:left="280"/>
        <w:jc w:val="both"/>
        <w:rPr>
          <w:rFonts w:ascii="Trebuchet MS" w:eastAsia="Trebuchet MS" w:hAnsi="Trebuchet MS" w:cs="Trebuchet MS"/>
          <w:i w:val="0"/>
          <w:color w:val="000000"/>
          <w:sz w:val="24"/>
          <w:lang w:val="fr-FR"/>
        </w:rPr>
      </w:pPr>
      <w:r>
        <w:rPr>
          <w:rFonts w:ascii="Trebuchet MS" w:eastAsia="Trebuchet MS" w:hAnsi="Trebuchet MS" w:cs="Trebuchet MS"/>
          <w:i w:val="0"/>
          <w:color w:val="000000"/>
          <w:sz w:val="24"/>
          <w:lang w:val="fr-FR"/>
        </w:rPr>
        <w:t>5.1 - Durée du contrat</w:t>
      </w:r>
      <w:bookmarkEnd w:id="20"/>
    </w:p>
    <w:p>
      <w:pPr>
        <w:pStyle w:val="ParagrapheIndent2"/>
        <w:spacing w:after="240"/>
        <w:jc w:val="both"/>
        <w:rPr>
          <w:color w:val="000000"/>
          <w:lang w:val="fr-FR"/>
        </w:rPr>
      </w:pPr>
      <w:r>
        <w:rPr>
          <w:color w:val="000000"/>
          <w:lang w:val="fr-FR"/>
        </w:rPr>
        <w:t>L'accord-cadre est conclu pour une période initiale de 12 mois.</w:t>
      </w:r>
    </w:p>
    <w:p>
      <w:pPr>
        <w:pStyle w:val="Titre2"/>
        <w:jc w:val="both"/>
        <w:rPr>
          <w:rFonts w:ascii="Trebuchet MS" w:eastAsia="Trebuchet MS" w:hAnsi="Trebuchet MS" w:cs="Trebuchet MS"/>
          <w:b w:val="0"/>
          <w:bCs w:val="0"/>
          <w:i w:val="0"/>
          <w:iCs w:val="0"/>
          <w:color w:val="000000"/>
          <w:sz w:val="20"/>
          <w:szCs w:val="24"/>
          <w:lang w:val="fr-FR"/>
        </w:rPr>
      </w:pPr>
      <w:r>
        <w:rPr>
          <w:rFonts w:ascii="Trebuchet MS" w:eastAsia="Trebuchet MS" w:hAnsi="Trebuchet MS" w:cs="Trebuchet MS"/>
          <w:b w:val="0"/>
          <w:bCs w:val="0"/>
          <w:i w:val="0"/>
          <w:iCs w:val="0"/>
          <w:color w:val="000000"/>
          <w:sz w:val="20"/>
          <w:szCs w:val="24"/>
          <w:lang w:val="fr-FR"/>
        </w:rPr>
        <w:t>Le marché prend effet à compter de sa date de notification au titulaire, laquelle constitue le point de départ du délai d’exécution des prestations.</w:t>
      </w:r>
    </w:p>
    <w:p>
      <w:pPr>
        <w:pStyle w:val="ParagrapheIndent2"/>
        <w:spacing w:after="240"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Les délais d'exécution ou de livraison des prestations sont fixés à chaque bon de commande conformément aux stipulations des pièces de l'accord-cadre.</w:t>
      </w:r>
    </w:p>
    <w:p>
      <w:pPr>
        <w:pStyle w:val="ParagrapheIndent2"/>
        <w:spacing w:after="240" w:line="232" w:lineRule="exact"/>
        <w:jc w:val="both"/>
        <w:rPr>
          <w:color w:val="000000"/>
          <w:lang w:val="fr-FR"/>
        </w:rPr>
      </w:pPr>
      <w:r>
        <w:rPr>
          <w:color w:val="000000"/>
          <w:lang w:val="fr-FR"/>
        </w:rPr>
        <w:t>Une prolongation du délai d'exécution peut être accordée par le pouvoir adjudicateur dans les conditions de l'article 13.3 du CCAG-FCS.</w:t>
      </w:r>
    </w:p>
    <w:p>
      <w:pPr>
        <w:pStyle w:val="Titre2"/>
        <w:ind w:left="280"/>
        <w:jc w:val="both"/>
        <w:rPr>
          <w:rFonts w:ascii="Trebuchet MS" w:eastAsia="Trebuchet MS" w:hAnsi="Trebuchet MS" w:cs="Trebuchet MS"/>
          <w:i w:val="0"/>
          <w:color w:val="000000"/>
          <w:sz w:val="24"/>
          <w:lang w:val="fr-FR"/>
        </w:rPr>
      </w:pPr>
      <w:bookmarkStart w:id="21" w:name="ArtL2_CCAP-1-A9.7"/>
      <w:bookmarkStart w:id="22" w:name="_Toc256000011"/>
      <w:bookmarkEnd w:id="21"/>
      <w:r>
        <w:rPr>
          <w:rFonts w:ascii="Trebuchet MS" w:eastAsia="Trebuchet MS" w:hAnsi="Trebuchet MS" w:cs="Trebuchet MS"/>
          <w:i w:val="0"/>
          <w:color w:val="000000"/>
          <w:sz w:val="24"/>
          <w:lang w:val="fr-FR"/>
        </w:rPr>
        <w:t>5.2 - Reconduction</w:t>
      </w:r>
      <w:bookmarkEnd w:id="22"/>
    </w:p>
    <w:p>
      <w:pPr>
        <w:pStyle w:val="ParagrapheIndent2"/>
        <w:spacing w:after="240" w:line="232" w:lineRule="exact"/>
        <w:jc w:val="both"/>
        <w:rPr>
          <w:color w:val="000000"/>
          <w:lang w:val="fr-FR"/>
        </w:rPr>
      </w:pPr>
      <w:r>
        <w:rPr>
          <w:color w:val="000000"/>
          <w:lang w:val="fr-FR"/>
        </w:rPr>
        <w:t>L'accord-cadre est reconduit tacitement jusqu'à son terme. Le nombre de périodes de reconduction est fixé à 3. La durée de chaque période de reconduction est de 12 mois. La durée maximale du contrat, toutes périodes confondues, est de 48 mois.</w:t>
      </w:r>
    </w:p>
    <w:p>
      <w:pPr>
        <w:pStyle w:val="ParagrapheIndent2"/>
        <w:spacing w:after="240" w:line="232" w:lineRule="exact"/>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pPr>
        <w:pStyle w:val="Titre1"/>
        <w:shd w:val="clear" w:color="2A7CBF" w:fill="2A7CBF"/>
        <w:rPr>
          <w:rFonts w:ascii="Trebuchet MS" w:eastAsia="Trebuchet MS" w:hAnsi="Trebuchet MS" w:cs="Trebuchet MS"/>
          <w:color w:val="FFFFFF"/>
          <w:sz w:val="28"/>
          <w:lang w:val="fr-FR"/>
        </w:rPr>
      </w:pPr>
      <w:bookmarkStart w:id="23" w:name="ArtL1_CCAP-1-A10"/>
      <w:bookmarkStart w:id="24" w:name="_Toc256000012"/>
      <w:bookmarkEnd w:id="23"/>
      <w:r>
        <w:rPr>
          <w:rFonts w:ascii="Trebuchet MS" w:eastAsia="Trebuchet MS" w:hAnsi="Trebuchet MS" w:cs="Trebuchet MS"/>
          <w:color w:val="FFFFFF"/>
          <w:sz w:val="28"/>
          <w:lang w:val="fr-FR"/>
        </w:rPr>
        <w:t>6 - Prix</w:t>
      </w:r>
      <w:bookmarkEnd w:id="24"/>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25" w:name="ArtL2_CCAP-1-A10.1"/>
      <w:bookmarkStart w:id="26" w:name="_Toc256000013"/>
      <w:bookmarkEnd w:id="25"/>
      <w:r>
        <w:rPr>
          <w:rFonts w:ascii="Trebuchet MS" w:eastAsia="Trebuchet MS" w:hAnsi="Trebuchet MS" w:cs="Trebuchet MS"/>
          <w:i w:val="0"/>
          <w:color w:val="000000"/>
          <w:sz w:val="24"/>
          <w:lang w:val="fr-FR"/>
        </w:rPr>
        <w:t>6.1 - Caractéristiques des prix pratiqués</w:t>
      </w:r>
      <w:bookmarkEnd w:id="26"/>
    </w:p>
    <w:p>
      <w:pPr>
        <w:pStyle w:val="ParagrapheIndent2"/>
        <w:spacing w:line="232" w:lineRule="exact"/>
        <w:jc w:val="both"/>
        <w:rPr>
          <w:color w:val="000000"/>
          <w:lang w:val="fr-FR"/>
        </w:rPr>
      </w:pPr>
      <w:r>
        <w:rPr>
          <w:color w:val="000000"/>
          <w:lang w:val="fr-FR"/>
        </w:rPr>
        <w:t>Les prestations sont réglées par des prix unitaires selon les stipulations de l'acte d'engagement.</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Les prix sont réputés comprendre toutes les charges fiscales, parafiscales ou autres, frappant obligatoirement la prestation ainsi que tous les frais afférents au conditionnement, à l'emballage et au transport jusqu'au lieu de livraison.</w:t>
      </w:r>
    </w:p>
    <w:p>
      <w:pPr>
        <w:pStyle w:val="Titre2"/>
        <w:ind w:left="280"/>
        <w:jc w:val="both"/>
        <w:rPr>
          <w:rFonts w:ascii="Trebuchet MS" w:eastAsia="Trebuchet MS" w:hAnsi="Trebuchet MS" w:cs="Trebuchet MS"/>
          <w:i w:val="0"/>
          <w:color w:val="000000"/>
          <w:sz w:val="24"/>
          <w:lang w:val="fr-FR"/>
        </w:rPr>
      </w:pPr>
      <w:bookmarkStart w:id="27" w:name="ArtL2_CCAP-1-A10.3"/>
      <w:bookmarkStart w:id="28" w:name="_Toc256000014"/>
      <w:bookmarkEnd w:id="27"/>
      <w:r>
        <w:rPr>
          <w:rFonts w:ascii="Trebuchet MS" w:eastAsia="Trebuchet MS" w:hAnsi="Trebuchet MS" w:cs="Trebuchet MS"/>
          <w:i w:val="0"/>
          <w:color w:val="000000"/>
          <w:sz w:val="24"/>
          <w:lang w:val="fr-FR"/>
        </w:rPr>
        <w:t>6.2 - Modalités de variation des prix</w:t>
      </w:r>
      <w:bookmarkEnd w:id="28"/>
    </w:p>
    <w:p>
      <w:pPr>
        <w:pStyle w:val="ParagrapheIndent2"/>
        <w:spacing w:after="240" w:line="232" w:lineRule="exact"/>
        <w:jc w:val="both"/>
        <w:rPr>
          <w:color w:val="000000"/>
          <w:lang w:val="fr-FR"/>
        </w:rPr>
      </w:pPr>
      <w:r>
        <w:rPr>
          <w:color w:val="000000"/>
          <w:lang w:val="fr-FR"/>
        </w:rPr>
        <w:t>Les prix de l'accord-cadre sont réputés établis sur la base des conditions économiques du mois de remise de l'offre par le titulaire ; ce mois est appelé " mois zéro ".</w:t>
      </w:r>
    </w:p>
    <w:p>
      <w:pPr>
        <w:pStyle w:val="ParagrapheIndent2"/>
        <w:spacing w:line="232" w:lineRule="exact"/>
        <w:jc w:val="both"/>
        <w:rPr>
          <w:color w:val="000000"/>
          <w:lang w:val="fr-FR"/>
        </w:rPr>
      </w:pPr>
      <w:r>
        <w:rPr>
          <w:color w:val="000000"/>
          <w:lang w:val="fr-FR"/>
        </w:rPr>
        <w:t>Les prix sont ajustables annuellement, par référence au tarif. La référence utilisée est : le dernier prix connu du marché.</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Ces prix seront fermes pour la période initiale. Un ajustement sera possible chaque année sur demande de l'attributaire. Les nouveaux tarifs seront applicables à compter de la date anniversaire du marché.</w:t>
      </w:r>
    </w:p>
    <w:p>
      <w:pPr>
        <w:pStyle w:val="ParagrapheIndent2"/>
        <w:spacing w:after="240" w:line="232" w:lineRule="exact"/>
        <w:jc w:val="both"/>
        <w:rPr>
          <w:color w:val="000000"/>
          <w:lang w:val="fr-FR"/>
        </w:rPr>
      </w:pPr>
      <w:r>
        <w:rPr>
          <w:color w:val="000000"/>
          <w:lang w:val="fr-FR"/>
        </w:rPr>
        <w:t>Le titulaire du marché s'engage, sous peine de forclusion, à notifier ses nouveaux tarifs (ou son nouveau barème) au pouvoir adjudicateur avec un préavis de 3 mois avant la date prévue pour l'application de l'ajustement.</w:t>
      </w:r>
    </w:p>
    <w:p>
      <w:pPr>
        <w:pStyle w:val="ParagrapheIndent2"/>
        <w:spacing w:after="240" w:line="232" w:lineRule="exact"/>
        <w:jc w:val="both"/>
        <w:rPr>
          <w:color w:val="000000"/>
          <w:lang w:val="fr-FR"/>
        </w:rPr>
      </w:pPr>
      <w:r>
        <w:rPr>
          <w:color w:val="000000"/>
          <w:lang w:val="fr-FR"/>
        </w:rPr>
        <w:t>Clause limitative dite " de butoir " : l'évolution du prix de règlement résultant de l'appréciation de la référence d'ajustement (rabais déduit) sera limitée à une augmentation de 3,00 % maximum par période d’ajustement.</w:t>
      </w:r>
    </w:p>
    <w:p>
      <w:pPr>
        <w:pStyle w:val="ParagrapheIndent2"/>
        <w:spacing w:after="100" w:line="232" w:lineRule="exact"/>
        <w:jc w:val="both"/>
        <w:rPr>
          <w:color w:val="000000"/>
          <w:lang w:val="fr-FR"/>
        </w:rPr>
        <w:sectPr>
          <w:footerReference w:type="default" r:id="rId20"/>
          <w:pgSz w:w="11900" w:h="16840"/>
          <w:pgMar w:top="1280" w:right="1140" w:bottom="580" w:left="1140" w:header="1280" w:footer="580" w:gutter="0"/>
          <w:cols w:space="708"/>
        </w:sectPr>
      </w:pPr>
      <w:r>
        <w:rPr>
          <w:color w:val="000000"/>
          <w:lang w:val="fr-FR"/>
        </w:rPr>
        <w:t xml:space="preserve">Lorsqu'un ajustement a été effectué provisoirement en utilisant une référence antérieure à celle qui doit être appliquée, il n'est procédé à aucune variation avant la variation définitive, laquelle intervient sur le </w:t>
      </w:r>
      <w:r>
        <w:rPr>
          <w:color w:val="000000"/>
          <w:lang w:val="fr-FR"/>
        </w:rPr>
        <w:cr/>
      </w:r>
    </w:p>
    <w:p>
      <w:pPr>
        <w:pStyle w:val="ParagrapheIndent2"/>
        <w:spacing w:after="240"/>
        <w:jc w:val="both"/>
        <w:rPr>
          <w:color w:val="000000"/>
          <w:lang w:val="fr-FR"/>
        </w:rPr>
      </w:pPr>
      <w:r>
        <w:rPr>
          <w:color w:val="000000"/>
          <w:lang w:val="fr-FR"/>
        </w:rPr>
        <w:lastRenderedPageBreak/>
        <w:t>premier acompte du marché suivant la parution de la référence correspondante.</w:t>
      </w:r>
    </w:p>
    <w:p>
      <w:pPr>
        <w:pStyle w:val="Titre2"/>
        <w:ind w:left="280"/>
        <w:jc w:val="both"/>
        <w:rPr>
          <w:lang w:val="fr-FR"/>
        </w:rPr>
      </w:pPr>
      <w:r>
        <w:rPr>
          <w:rFonts w:ascii="Trebuchet MS" w:eastAsia="Trebuchet MS" w:hAnsi="Trebuchet MS" w:cs="Trebuchet MS"/>
          <w:i w:val="0"/>
          <w:color w:val="000000"/>
          <w:sz w:val="24"/>
          <w:lang w:val="fr-FR"/>
        </w:rPr>
        <w:t>6.3 – Prix des fournitures hors du bordereau de prix unitaire BPU</w:t>
      </w:r>
    </w:p>
    <w:p>
      <w:pPr>
        <w:rPr>
          <w:lang w:val="fr-FR"/>
        </w:rPr>
      </w:pPr>
      <w:r>
        <w:rPr>
          <w:lang w:val="fr-FR"/>
        </w:rPr>
        <w:t>Pour les fournitures non listées au bordereau de prix unitaires, les prix appliqués seront ceux du tarif public du titulaire en vigueur à la date de la commande, diminués du taux de remise indiqué dans le BPU, pour chaque lot concerné.</w:t>
      </w:r>
    </w:p>
    <w:p>
      <w:pPr>
        <w:rPr>
          <w:lang w:val="fr-FR"/>
        </w:rPr>
      </w:pPr>
    </w:p>
    <w:p>
      <w:pPr>
        <w:pStyle w:val="Titre1"/>
        <w:shd w:val="clear" w:color="2A7CBF" w:fill="2A7CBF"/>
        <w:rPr>
          <w:rFonts w:ascii="Trebuchet MS" w:eastAsia="Trebuchet MS" w:hAnsi="Trebuchet MS" w:cs="Trebuchet MS"/>
          <w:color w:val="FFFFFF"/>
          <w:sz w:val="28"/>
          <w:lang w:val="fr-FR"/>
        </w:rPr>
      </w:pPr>
      <w:bookmarkStart w:id="29" w:name="ArtL1_CCAP-1-A11"/>
      <w:bookmarkStart w:id="30" w:name="_Toc256000015"/>
      <w:bookmarkEnd w:id="29"/>
      <w:r>
        <w:rPr>
          <w:rFonts w:ascii="Trebuchet MS" w:eastAsia="Trebuchet MS" w:hAnsi="Trebuchet MS" w:cs="Trebuchet MS"/>
          <w:color w:val="FFFFFF"/>
          <w:sz w:val="28"/>
          <w:lang w:val="fr-FR"/>
        </w:rPr>
        <w:t>7 - Garanties Financières</w:t>
      </w:r>
      <w:bookmarkEnd w:id="30"/>
    </w:p>
    <w:p>
      <w:pPr>
        <w:spacing w:line="60" w:lineRule="exact"/>
        <w:rPr>
          <w:sz w:val="6"/>
          <w:lang w:val="fr-FR"/>
        </w:rPr>
      </w:pPr>
      <w:r>
        <w:rPr>
          <w:lang w:val="fr-FR"/>
        </w:rPr>
        <w:t xml:space="preserve"> </w:t>
      </w:r>
    </w:p>
    <w:p>
      <w:pPr>
        <w:pStyle w:val="ParagrapheIndent1"/>
        <w:spacing w:after="240"/>
        <w:jc w:val="both"/>
        <w:rPr>
          <w:color w:val="000000"/>
          <w:lang w:val="fr-FR"/>
        </w:rPr>
      </w:pPr>
      <w:r>
        <w:rPr>
          <w:color w:val="000000"/>
          <w:lang w:val="fr-FR"/>
        </w:rPr>
        <w:t>Aucune clause de garantie financière ne sera appliquée.</w:t>
      </w:r>
    </w:p>
    <w:p>
      <w:pPr>
        <w:pStyle w:val="Titre1"/>
        <w:shd w:val="clear" w:color="2A7CBF" w:fill="2A7CBF"/>
        <w:rPr>
          <w:rFonts w:ascii="Trebuchet MS" w:eastAsia="Trebuchet MS" w:hAnsi="Trebuchet MS" w:cs="Trebuchet MS"/>
          <w:color w:val="FFFFFF"/>
          <w:sz w:val="28"/>
          <w:lang w:val="fr-FR"/>
        </w:rPr>
      </w:pPr>
      <w:bookmarkStart w:id="31" w:name="ArtL1_CCAP-1-A12"/>
      <w:bookmarkStart w:id="32" w:name="_Toc256000016"/>
      <w:bookmarkEnd w:id="31"/>
      <w:r>
        <w:rPr>
          <w:rFonts w:ascii="Trebuchet MS" w:eastAsia="Trebuchet MS" w:hAnsi="Trebuchet MS" w:cs="Trebuchet MS"/>
          <w:color w:val="FFFFFF"/>
          <w:sz w:val="28"/>
          <w:lang w:val="fr-FR"/>
        </w:rPr>
        <w:t>8 - Avance</w:t>
      </w:r>
      <w:bookmarkEnd w:id="32"/>
    </w:p>
    <w:p>
      <w:pPr>
        <w:spacing w:line="60" w:lineRule="exact"/>
        <w:rPr>
          <w:sz w:val="6"/>
          <w:lang w:val="fr-FR"/>
        </w:rPr>
      </w:pPr>
      <w:r>
        <w:rPr>
          <w:lang w:val="fr-FR"/>
        </w:rPr>
        <w:t xml:space="preserve"> </w:t>
      </w:r>
    </w:p>
    <w:p>
      <w:pPr>
        <w:pStyle w:val="ParagrapheIndent1"/>
        <w:spacing w:after="240"/>
        <w:jc w:val="both"/>
        <w:rPr>
          <w:color w:val="000000"/>
          <w:lang w:val="fr-FR"/>
        </w:rPr>
      </w:pPr>
      <w:r>
        <w:rPr>
          <w:color w:val="000000"/>
          <w:lang w:val="fr-FR"/>
        </w:rPr>
        <w:t>L'option retenue pour le calcul de l'avance est l'option B du CCAG - Fournitures Courantes et Services.</w:t>
      </w:r>
    </w:p>
    <w:p>
      <w:pPr>
        <w:pStyle w:val="Titre2"/>
        <w:ind w:left="280"/>
        <w:jc w:val="both"/>
        <w:rPr>
          <w:rFonts w:ascii="Trebuchet MS" w:eastAsia="Trebuchet MS" w:hAnsi="Trebuchet MS" w:cs="Trebuchet MS"/>
          <w:i w:val="0"/>
          <w:color w:val="000000"/>
          <w:sz w:val="24"/>
          <w:lang w:val="fr-FR"/>
        </w:rPr>
      </w:pPr>
      <w:bookmarkStart w:id="33" w:name="ArtL2_CCAP-1-A12.3"/>
      <w:bookmarkStart w:id="34" w:name="_Toc256000017"/>
      <w:bookmarkEnd w:id="33"/>
      <w:r>
        <w:rPr>
          <w:rFonts w:ascii="Trebuchet MS" w:eastAsia="Trebuchet MS" w:hAnsi="Trebuchet MS" w:cs="Trebuchet MS"/>
          <w:i w:val="0"/>
          <w:color w:val="000000"/>
          <w:sz w:val="24"/>
          <w:lang w:val="fr-FR"/>
        </w:rPr>
        <w:t>8.1 - Conditions de versement et de remboursement</w:t>
      </w:r>
      <w:bookmarkEnd w:id="34"/>
    </w:p>
    <w:p>
      <w:pPr>
        <w:pStyle w:val="ParagrapheIndent2"/>
        <w:spacing w:after="240" w:line="232" w:lineRule="exact"/>
        <w:jc w:val="both"/>
        <w:rPr>
          <w:color w:val="000000"/>
          <w:lang w:val="fr-FR"/>
        </w:rPr>
      </w:pPr>
      <w:r>
        <w:rPr>
          <w:color w:val="000000"/>
          <w:lang w:val="fr-FR"/>
        </w:rPr>
        <w:t>Une avance est accordée pour chaque bon de commande d'un montant supérieur à 50.000 € HT et dans la mesure où le délai d'exécution est supérieur à 2 mois, sauf indication contraire dans l'acte d'engagement.</w:t>
      </w:r>
    </w:p>
    <w:p>
      <w:pPr>
        <w:pStyle w:val="ParagrapheIndent2"/>
        <w:spacing w:after="240" w:line="232" w:lineRule="exact"/>
        <w:jc w:val="both"/>
        <w:rPr>
          <w:color w:val="000000"/>
          <w:lang w:val="fr-FR"/>
        </w:rPr>
      </w:pPr>
      <w:r>
        <w:rPr>
          <w:color w:val="000000"/>
          <w:lang w:val="fr-FR"/>
        </w:rPr>
        <w:t>Le montant de l'avance est fixé à 5,00 % du montant du bon de commande si la durée de son exécution est inférieure ou égale à douze mois ; si cette durée est supérieure à douze mois, l'avance est égale à 5,00 % d'une somme égale à douze fois le montant du bon de commande divisé par cette durée exprimée en mois.</w:t>
      </w:r>
    </w:p>
    <w:p>
      <w:pPr>
        <w:pStyle w:val="ParagrapheIndent2"/>
        <w:spacing w:after="240" w:line="232" w:lineRule="exact"/>
        <w:jc w:val="both"/>
        <w:rPr>
          <w:color w:val="000000"/>
          <w:lang w:val="fr-FR"/>
        </w:rPr>
      </w:pPr>
      <w:r>
        <w:rPr>
          <w:color w:val="000000"/>
          <w:lang w:val="fr-FR"/>
        </w:rPr>
        <w:t>Le remboursement de l'avance commence lorsque le montant des prestations exécutées par le titulaire atteint ou dépasse 65,00 % du montant du bon de commande. Il doit être terminé lorsque ledit montant atteint 80,00 %.</w:t>
      </w:r>
    </w:p>
    <w:p>
      <w:pPr>
        <w:pStyle w:val="ParagrapheIndent2"/>
        <w:spacing w:after="240" w:line="232" w:lineRule="exact"/>
        <w:jc w:val="both"/>
        <w:rPr>
          <w:color w:val="000000"/>
          <w:lang w:val="fr-FR"/>
        </w:rPr>
      </w:pPr>
      <w:r>
        <w:rPr>
          <w:color w:val="000000"/>
          <w:lang w:val="fr-FR"/>
        </w:rPr>
        <w:t>Ce remboursement s'effectue par précompte sur les sommes dues ultérieurement au titulaire à titre d'acompte ou de solde.</w:t>
      </w:r>
    </w:p>
    <w:p>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pPr>
        <w:pStyle w:val="Titre2"/>
        <w:ind w:left="280"/>
        <w:jc w:val="both"/>
        <w:rPr>
          <w:rFonts w:ascii="Trebuchet MS" w:eastAsia="Trebuchet MS" w:hAnsi="Trebuchet MS" w:cs="Trebuchet MS"/>
          <w:i w:val="0"/>
          <w:color w:val="000000"/>
          <w:sz w:val="24"/>
          <w:lang w:val="fr-FR"/>
        </w:rPr>
      </w:pPr>
      <w:bookmarkStart w:id="35" w:name="ArtL2_CCAP-1-A12.5"/>
      <w:bookmarkStart w:id="36" w:name="_Toc256000018"/>
      <w:bookmarkEnd w:id="35"/>
      <w:r>
        <w:rPr>
          <w:rFonts w:ascii="Trebuchet MS" w:eastAsia="Trebuchet MS" w:hAnsi="Trebuchet MS" w:cs="Trebuchet MS"/>
          <w:i w:val="0"/>
          <w:color w:val="000000"/>
          <w:sz w:val="24"/>
          <w:lang w:val="fr-FR"/>
        </w:rPr>
        <w:t>8.2 - Garanties financières de l'avance</w:t>
      </w:r>
      <w:bookmarkEnd w:id="36"/>
    </w:p>
    <w:p>
      <w:pPr>
        <w:pStyle w:val="ParagrapheIndent2"/>
        <w:spacing w:after="240"/>
        <w:jc w:val="both"/>
        <w:rPr>
          <w:color w:val="000000"/>
          <w:lang w:val="fr-FR"/>
        </w:rPr>
      </w:pPr>
      <w:r>
        <w:rPr>
          <w:color w:val="000000"/>
          <w:lang w:val="fr-FR"/>
        </w:rPr>
        <w:t>Aucune garantie financière ne sera demandée au titulaire pour le versement de l'avance.</w:t>
      </w:r>
    </w:p>
    <w:p>
      <w:pPr>
        <w:pStyle w:val="Titre1"/>
        <w:shd w:val="clear" w:color="2A7CBF" w:fill="2A7CBF"/>
        <w:rPr>
          <w:rFonts w:ascii="Trebuchet MS" w:eastAsia="Trebuchet MS" w:hAnsi="Trebuchet MS" w:cs="Trebuchet MS"/>
          <w:color w:val="FFFFFF"/>
          <w:sz w:val="28"/>
          <w:lang w:val="fr-FR"/>
        </w:rPr>
      </w:pPr>
      <w:bookmarkStart w:id="37" w:name="ArtL1_CCAP-1-A13"/>
      <w:bookmarkStart w:id="38" w:name="_Toc256000019"/>
      <w:bookmarkEnd w:id="37"/>
      <w:r>
        <w:rPr>
          <w:rFonts w:ascii="Trebuchet MS" w:eastAsia="Trebuchet MS" w:hAnsi="Trebuchet MS" w:cs="Trebuchet MS"/>
          <w:color w:val="FFFFFF"/>
          <w:sz w:val="28"/>
          <w:lang w:val="fr-FR"/>
        </w:rPr>
        <w:t>9 - Modalités de règlement des comptes</w:t>
      </w:r>
      <w:bookmarkEnd w:id="38"/>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39" w:name="ArtL2_CCAP-1-A13.1"/>
      <w:bookmarkStart w:id="40" w:name="_Toc256000020"/>
      <w:bookmarkEnd w:id="39"/>
      <w:r>
        <w:rPr>
          <w:rFonts w:ascii="Trebuchet MS" w:eastAsia="Trebuchet MS" w:hAnsi="Trebuchet MS" w:cs="Trebuchet MS"/>
          <w:i w:val="0"/>
          <w:color w:val="000000"/>
          <w:sz w:val="24"/>
          <w:lang w:val="fr-FR"/>
        </w:rPr>
        <w:t>9.1 - Acomptes et paiements partiels définitifs</w:t>
      </w:r>
      <w:bookmarkEnd w:id="40"/>
    </w:p>
    <w:p>
      <w:pPr>
        <w:pStyle w:val="ParagrapheIndent2"/>
        <w:spacing w:after="240"/>
        <w:jc w:val="both"/>
        <w:rPr>
          <w:color w:val="000000"/>
          <w:lang w:val="fr-FR"/>
        </w:rPr>
      </w:pPr>
      <w:r>
        <w:rPr>
          <w:color w:val="000000"/>
          <w:lang w:val="fr-FR"/>
        </w:rPr>
        <w:t>Les modalités de règlement des comptes sont définies dans les conditions de l'article 11 du CCAG-FCS.</w:t>
      </w:r>
    </w:p>
    <w:p>
      <w:pPr>
        <w:pStyle w:val="Titre2"/>
        <w:ind w:left="280"/>
        <w:jc w:val="both"/>
        <w:rPr>
          <w:rFonts w:ascii="Trebuchet MS" w:eastAsia="Trebuchet MS" w:hAnsi="Trebuchet MS" w:cs="Trebuchet MS"/>
          <w:i w:val="0"/>
          <w:color w:val="000000"/>
          <w:sz w:val="24"/>
          <w:lang w:val="fr-FR"/>
        </w:rPr>
      </w:pPr>
      <w:bookmarkStart w:id="41" w:name="ArtL2_CCAP-1-A13.4"/>
      <w:bookmarkStart w:id="42" w:name="_Toc256000021"/>
      <w:bookmarkEnd w:id="41"/>
      <w:r>
        <w:rPr>
          <w:rFonts w:ascii="Trebuchet MS" w:eastAsia="Trebuchet MS" w:hAnsi="Trebuchet MS" w:cs="Trebuchet MS"/>
          <w:i w:val="0"/>
          <w:color w:val="000000"/>
          <w:sz w:val="24"/>
          <w:lang w:val="fr-FR"/>
        </w:rPr>
        <w:t>9.2 - Présentation des demandes de paiement</w:t>
      </w:r>
      <w:bookmarkEnd w:id="42"/>
    </w:p>
    <w:p>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pPr>
        <w:pStyle w:val="ParagrapheIndent2"/>
        <w:spacing w:line="232" w:lineRule="exact"/>
        <w:jc w:val="both"/>
        <w:rPr>
          <w:color w:val="000000"/>
          <w:lang w:val="fr-FR"/>
        </w:rPr>
      </w:pPr>
      <w:r>
        <w:rPr>
          <w:color w:val="000000"/>
          <w:lang w:val="fr-FR"/>
        </w:rPr>
        <w:t>1° La date d'émission de la facture ;</w:t>
      </w:r>
    </w:p>
    <w:p>
      <w:pPr>
        <w:pStyle w:val="ParagrapheIndent2"/>
        <w:spacing w:line="232" w:lineRule="exact"/>
        <w:jc w:val="both"/>
        <w:rPr>
          <w:color w:val="000000"/>
          <w:lang w:val="fr-FR"/>
        </w:rPr>
      </w:pPr>
      <w:r>
        <w:rPr>
          <w:color w:val="000000"/>
          <w:lang w:val="fr-FR"/>
        </w:rPr>
        <w:t>2° La désignation de l'émetteur et du destinataire de la facture ;</w:t>
      </w:r>
    </w:p>
    <w:p>
      <w:pPr>
        <w:pStyle w:val="ParagrapheIndent2"/>
        <w:spacing w:line="232" w:lineRule="exact"/>
        <w:jc w:val="both"/>
        <w:rPr>
          <w:color w:val="000000"/>
          <w:lang w:val="fr-FR"/>
        </w:rPr>
      </w:pPr>
      <w:r>
        <w:rPr>
          <w:color w:val="000000"/>
          <w:lang w:val="fr-FR"/>
        </w:rPr>
        <w:t>3° Le numéro unique basé sur une séquence chronologique et continue établie par l'émetteur de la facture, la numérotation pouvant être établie dans ces conditions sur une ou plusieurs séries ;</w:t>
      </w:r>
    </w:p>
    <w:p>
      <w:pPr>
        <w:pStyle w:val="ParagrapheIndent2"/>
        <w:spacing w:line="232" w:lineRule="exact"/>
        <w:jc w:val="both"/>
        <w:rPr>
          <w:color w:val="000000"/>
          <w:lang w:val="fr-FR"/>
        </w:rPr>
      </w:pPr>
      <w:r>
        <w:rPr>
          <w:color w:val="000000"/>
          <w:lang w:val="fr-FR"/>
        </w:rPr>
        <w:lastRenderedPageBreak/>
        <w:t>4° En cas de contrat exécuté au moyen de bons de commande, le numéro du bon de commande ou, dans les autres cas, les références du contrat ou le numéro de l'engagement attribué par le système d'information financière et comptable du destinataire de la facture ;</w:t>
      </w:r>
    </w:p>
    <w:p>
      <w:pPr>
        <w:pStyle w:val="ParagrapheIndent2"/>
        <w:spacing w:line="232" w:lineRule="exact"/>
        <w:jc w:val="both"/>
        <w:rPr>
          <w:color w:val="000000"/>
          <w:lang w:val="fr-FR"/>
        </w:rPr>
        <w:sectPr>
          <w:footerReference w:type="default" r:id="rId21"/>
          <w:pgSz w:w="11900" w:h="16840"/>
          <w:pgMar w:top="580" w:right="1140" w:bottom="580" w:left="1140" w:header="580" w:footer="580" w:gutter="0"/>
          <w:cols w:space="708"/>
        </w:sectPr>
      </w:pPr>
      <w:r>
        <w:rPr>
          <w:color w:val="000000"/>
          <w:lang w:val="fr-FR"/>
        </w:rPr>
        <w:t xml:space="preserve">5° La désignation du payeur, avec l'indication, pour les personnes publiques, du code d'identification du </w:t>
      </w:r>
      <w:r>
        <w:rPr>
          <w:color w:val="000000"/>
          <w:lang w:val="fr-FR"/>
        </w:rPr>
        <w:cr/>
      </w:r>
    </w:p>
    <w:p>
      <w:pPr>
        <w:pStyle w:val="ParagrapheIndent2"/>
        <w:spacing w:line="232" w:lineRule="exact"/>
        <w:jc w:val="both"/>
        <w:rPr>
          <w:color w:val="000000"/>
          <w:lang w:val="fr-FR"/>
        </w:rPr>
      </w:pPr>
      <w:r>
        <w:rPr>
          <w:color w:val="000000"/>
          <w:lang w:val="fr-FR"/>
        </w:rPr>
        <w:lastRenderedPageBreak/>
        <w:t>service chargé du paiement ;</w:t>
      </w:r>
    </w:p>
    <w:p>
      <w:pPr>
        <w:pStyle w:val="ParagrapheIndent2"/>
        <w:spacing w:line="232" w:lineRule="exact"/>
        <w:jc w:val="both"/>
        <w:rPr>
          <w:color w:val="000000"/>
          <w:lang w:val="fr-FR"/>
        </w:rPr>
      </w:pPr>
      <w:r>
        <w:rPr>
          <w:color w:val="000000"/>
          <w:lang w:val="fr-FR"/>
        </w:rPr>
        <w:t>6° La date de livraison des fournitures ou d'exécution des services ou des travaux ;</w:t>
      </w:r>
    </w:p>
    <w:p>
      <w:pPr>
        <w:pStyle w:val="ParagrapheIndent2"/>
        <w:spacing w:line="232" w:lineRule="exact"/>
        <w:jc w:val="both"/>
        <w:rPr>
          <w:color w:val="000000"/>
          <w:lang w:val="fr-FR"/>
        </w:rPr>
      </w:pPr>
      <w:r>
        <w:rPr>
          <w:color w:val="000000"/>
          <w:lang w:val="fr-FR"/>
        </w:rPr>
        <w:t>7° La quantité et la dénomination précise des produits livrés, des prestations et travaux réalisés ;</w:t>
      </w:r>
    </w:p>
    <w:p>
      <w:pPr>
        <w:pStyle w:val="ParagrapheIndent2"/>
        <w:spacing w:line="232" w:lineRule="exact"/>
        <w:jc w:val="both"/>
        <w:rPr>
          <w:color w:val="000000"/>
          <w:lang w:val="fr-FR"/>
        </w:rPr>
      </w:pPr>
      <w:r>
        <w:rPr>
          <w:color w:val="000000"/>
          <w:lang w:val="fr-FR"/>
        </w:rPr>
        <w:t>8° Le prix unitaire hors taxes des produits livrés, des prestations et travaux réalisés ou, lorsqu'il y a lieu, leur prix forfaitaire ;</w:t>
      </w:r>
    </w:p>
    <w:p>
      <w:pPr>
        <w:pStyle w:val="ParagrapheIndent2"/>
        <w:spacing w:line="232" w:lineRule="exact"/>
        <w:jc w:val="both"/>
        <w:rPr>
          <w:color w:val="000000"/>
          <w:lang w:val="fr-FR"/>
        </w:rPr>
      </w:pPr>
      <w:r>
        <w:rPr>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pPr>
        <w:pStyle w:val="ParagrapheIndent2"/>
        <w:spacing w:line="232" w:lineRule="exact"/>
        <w:jc w:val="both"/>
        <w:rPr>
          <w:color w:val="000000"/>
          <w:lang w:val="fr-FR"/>
        </w:rPr>
      </w:pPr>
      <w:r>
        <w:rPr>
          <w:color w:val="000000"/>
          <w:lang w:val="fr-FR"/>
        </w:rPr>
        <w:t>10° L'identification, le cas échéant, du représentant fiscal de l'émetteur de la facture ;</w:t>
      </w:r>
    </w:p>
    <w:p>
      <w:pPr>
        <w:pStyle w:val="ParagrapheIndent2"/>
        <w:spacing w:line="232" w:lineRule="exact"/>
        <w:jc w:val="both"/>
        <w:rPr>
          <w:color w:val="000000"/>
          <w:lang w:val="fr-FR"/>
        </w:rPr>
      </w:pPr>
      <w:r>
        <w:rPr>
          <w:color w:val="000000"/>
          <w:lang w:val="fr-FR"/>
        </w:rPr>
        <w:t>11° Le cas échéant, les modalités de règlement ;</w:t>
      </w:r>
    </w:p>
    <w:p>
      <w:pPr>
        <w:pStyle w:val="ParagrapheIndent2"/>
        <w:spacing w:line="232" w:lineRule="exact"/>
        <w:jc w:val="both"/>
        <w:rPr>
          <w:color w:val="000000"/>
          <w:lang w:val="fr-FR"/>
        </w:rPr>
      </w:pPr>
      <w:r>
        <w:rPr>
          <w:color w:val="000000"/>
          <w:lang w:val="fr-FR"/>
        </w:rPr>
        <w:t>12° Le cas échéant, les renseignements relatifs aux déductions ou versements complémentaires.</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pPr>
        <w:pStyle w:val="ParagrapheIndent2"/>
        <w:spacing w:line="232" w:lineRule="exact"/>
        <w:jc w:val="both"/>
        <w:rPr>
          <w:color w:val="000000"/>
          <w:lang w:val="fr-FR"/>
        </w:rPr>
      </w:pPr>
      <w:r>
        <w:rPr>
          <w:color w:val="000000"/>
          <w:u w:val="single"/>
          <w:lang w:val="fr-FR"/>
        </w:rPr>
        <w:t>Informations à utiliser pour la facturation électronique</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Les factures seront adressées à chaque établissement du GHT (cf annexe du CCAP).</w:t>
      </w:r>
    </w:p>
    <w:p>
      <w:pPr>
        <w:pStyle w:val="ParagrapheIndent3"/>
        <w:spacing w:line="232" w:lineRule="exact"/>
        <w:jc w:val="both"/>
        <w:rPr>
          <w:color w:val="000000"/>
          <w:lang w:val="fr-FR"/>
        </w:rPr>
      </w:pPr>
      <w:r>
        <w:rPr>
          <w:color w:val="000000"/>
          <w:lang w:val="fr-FR"/>
        </w:rPr>
        <w:t>Suivi financier du montant maximum de l’accord cadre à bons de commandes du GHT :</w:t>
      </w:r>
    </w:p>
    <w:p>
      <w:pPr>
        <w:pStyle w:val="ParagrapheIndent3"/>
        <w:spacing w:line="232" w:lineRule="exact"/>
        <w:jc w:val="both"/>
        <w:rPr>
          <w:color w:val="000000"/>
          <w:lang w:val="fr-FR"/>
        </w:rPr>
      </w:pPr>
    </w:p>
    <w:p>
      <w:pPr>
        <w:pStyle w:val="ParagrapheIndent3"/>
        <w:spacing w:line="232" w:lineRule="exact"/>
        <w:jc w:val="both"/>
        <w:rPr>
          <w:color w:val="000000"/>
          <w:lang w:val="fr-FR"/>
        </w:rPr>
      </w:pPr>
      <w:r>
        <w:rPr>
          <w:color w:val="000000"/>
          <w:lang w:val="fr-FR"/>
        </w:rPr>
        <w:t>Afin de permettre à l'acheteur de suivre l'exécution financière du présent accord-cadre, le titulaire est tenu de produire un état semestriel de la consommation, tous bénéficiaires confondus pendant toute la durée du marché.</w:t>
      </w:r>
    </w:p>
    <w:p>
      <w:pPr>
        <w:pStyle w:val="ParagrapheIndent3"/>
        <w:spacing w:line="232" w:lineRule="exact"/>
        <w:jc w:val="both"/>
        <w:rPr>
          <w:color w:val="000000"/>
          <w:lang w:val="fr-FR"/>
        </w:rPr>
      </w:pPr>
    </w:p>
    <w:p>
      <w:pPr>
        <w:pStyle w:val="ParagrapheIndent3"/>
        <w:spacing w:line="232" w:lineRule="exact"/>
        <w:jc w:val="both"/>
        <w:rPr>
          <w:color w:val="000000"/>
          <w:lang w:val="fr-FR"/>
        </w:rPr>
      </w:pPr>
      <w:r>
        <w:rPr>
          <w:color w:val="000000"/>
          <w:lang w:val="fr-FR"/>
        </w:rPr>
        <w:t>Le reporting sera transmis par voie électronique avec les mentions suivantes :</w:t>
      </w:r>
    </w:p>
    <w:p>
      <w:pPr>
        <w:pStyle w:val="ParagrapheIndent3"/>
        <w:spacing w:line="232" w:lineRule="exact"/>
        <w:jc w:val="both"/>
        <w:rPr>
          <w:color w:val="000000"/>
          <w:lang w:val="fr-FR"/>
        </w:rPr>
      </w:pPr>
      <w:r>
        <w:rPr>
          <w:color w:val="000000"/>
          <w:lang w:val="fr-FR"/>
        </w:rPr>
        <w:t>-Libellé du marché;</w:t>
      </w:r>
    </w:p>
    <w:p>
      <w:pPr>
        <w:pStyle w:val="ParagrapheIndent3"/>
        <w:spacing w:line="232" w:lineRule="exact"/>
        <w:jc w:val="both"/>
        <w:rPr>
          <w:color w:val="000000"/>
          <w:lang w:val="fr-FR"/>
        </w:rPr>
      </w:pPr>
      <w:r>
        <w:rPr>
          <w:color w:val="000000"/>
          <w:lang w:val="fr-FR"/>
        </w:rPr>
        <w:t>-Identification des bénéficiaires;</w:t>
      </w:r>
    </w:p>
    <w:p>
      <w:pPr>
        <w:pStyle w:val="ParagrapheIndent3"/>
        <w:spacing w:line="232" w:lineRule="exact"/>
        <w:jc w:val="both"/>
        <w:rPr>
          <w:color w:val="000000"/>
          <w:lang w:val="fr-FR"/>
        </w:rPr>
      </w:pPr>
      <w:r>
        <w:rPr>
          <w:color w:val="000000"/>
          <w:lang w:val="fr-FR"/>
        </w:rPr>
        <w:t>-une liste des commandes passés et leurs montants, par bénéficiaire;</w:t>
      </w:r>
    </w:p>
    <w:p>
      <w:pPr>
        <w:pStyle w:val="ParagrapheIndent3"/>
        <w:spacing w:after="240" w:line="232" w:lineRule="exact"/>
        <w:jc w:val="both"/>
        <w:rPr>
          <w:color w:val="000000"/>
          <w:lang w:val="fr-FR"/>
        </w:rPr>
      </w:pPr>
      <w:r>
        <w:rPr>
          <w:color w:val="000000"/>
          <w:lang w:val="fr-FR"/>
        </w:rPr>
        <w:t>-le cas échant, la liste des anomalies relevées et des évolutions demandées, ainsi que le niveau de traitement et d’avancement.</w:t>
      </w:r>
    </w:p>
    <w:p>
      <w:pPr>
        <w:pStyle w:val="Titre2"/>
        <w:ind w:left="280"/>
        <w:jc w:val="both"/>
        <w:rPr>
          <w:rFonts w:ascii="Trebuchet MS" w:eastAsia="Trebuchet MS" w:hAnsi="Trebuchet MS" w:cs="Trebuchet MS"/>
          <w:i w:val="0"/>
          <w:color w:val="000000"/>
          <w:sz w:val="24"/>
          <w:lang w:val="fr-FR"/>
        </w:rPr>
      </w:pPr>
      <w:bookmarkStart w:id="43" w:name="ArtL2_CCAP-1-A13.5"/>
      <w:bookmarkStart w:id="44" w:name="_Toc256000022"/>
      <w:bookmarkEnd w:id="43"/>
      <w:r>
        <w:rPr>
          <w:rFonts w:ascii="Trebuchet MS" w:eastAsia="Trebuchet MS" w:hAnsi="Trebuchet MS" w:cs="Trebuchet MS"/>
          <w:i w:val="0"/>
          <w:color w:val="000000"/>
          <w:sz w:val="24"/>
          <w:lang w:val="fr-FR"/>
        </w:rPr>
        <w:t>9.3 - Délai global de paiement</w:t>
      </w:r>
      <w:bookmarkEnd w:id="44"/>
    </w:p>
    <w:p>
      <w:pPr>
        <w:pStyle w:val="ParagrapheIndent2"/>
        <w:spacing w:line="232" w:lineRule="exact"/>
        <w:jc w:val="both"/>
        <w:rPr>
          <w:color w:val="000000"/>
          <w:lang w:val="fr-FR"/>
        </w:rPr>
      </w:pPr>
      <w:r>
        <w:rPr>
          <w:color w:val="000000"/>
          <w:lang w:val="fr-FR"/>
        </w:rPr>
        <w:t>Les sommes dues au(x) titulaire(s) seront payées dans un délai global de 50 jours à compter de la date de réception des demandes de paiement.</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pPr>
        <w:pStyle w:val="Titre2"/>
        <w:ind w:left="280"/>
        <w:jc w:val="both"/>
        <w:rPr>
          <w:rFonts w:ascii="Trebuchet MS" w:eastAsia="Trebuchet MS" w:hAnsi="Trebuchet MS" w:cs="Trebuchet MS"/>
          <w:i w:val="0"/>
          <w:color w:val="000000"/>
          <w:sz w:val="24"/>
          <w:lang w:val="fr-FR"/>
        </w:rPr>
      </w:pPr>
      <w:bookmarkStart w:id="45" w:name="ArtL2_CCAP-1-A13.6"/>
      <w:bookmarkStart w:id="46" w:name="_Toc256000023"/>
      <w:bookmarkEnd w:id="45"/>
      <w:r>
        <w:rPr>
          <w:rFonts w:ascii="Trebuchet MS" w:eastAsia="Trebuchet MS" w:hAnsi="Trebuchet MS" w:cs="Trebuchet MS"/>
          <w:i w:val="0"/>
          <w:color w:val="000000"/>
          <w:sz w:val="24"/>
          <w:lang w:val="fr-FR"/>
        </w:rPr>
        <w:t>9.4 - Paiement des cotraitants</w:t>
      </w:r>
      <w:bookmarkEnd w:id="46"/>
    </w:p>
    <w:p>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pPr>
        <w:pStyle w:val="ParagrapheIndent2"/>
        <w:spacing w:after="240" w:line="232" w:lineRule="exact"/>
        <w:jc w:val="both"/>
        <w:rPr>
          <w:color w:val="000000"/>
          <w:lang w:val="fr-FR"/>
        </w:rPr>
      </w:pPr>
      <w:r>
        <w:rPr>
          <w:color w:val="000000"/>
          <w:lang w:val="fr-FR"/>
        </w:rPr>
        <w:t>Les autres dispositions relatives à la cotraitance s'appliquent selon l'article 12.1 du CCAG-FCS.</w:t>
      </w:r>
    </w:p>
    <w:p>
      <w:pPr>
        <w:pStyle w:val="Titre1"/>
        <w:shd w:val="clear" w:color="2A7CBF" w:fill="2A7CBF"/>
        <w:rPr>
          <w:rFonts w:ascii="Trebuchet MS" w:eastAsia="Trebuchet MS" w:hAnsi="Trebuchet MS" w:cs="Trebuchet MS"/>
          <w:color w:val="FFFFFF"/>
          <w:sz w:val="28"/>
          <w:lang w:val="fr-FR"/>
        </w:rPr>
      </w:pPr>
      <w:bookmarkStart w:id="47" w:name="ArtL1_CCAP-1-A15"/>
      <w:bookmarkStart w:id="48" w:name="_Toc256000024"/>
      <w:bookmarkEnd w:id="47"/>
      <w:r>
        <w:rPr>
          <w:rFonts w:ascii="Trebuchet MS" w:eastAsia="Trebuchet MS" w:hAnsi="Trebuchet MS" w:cs="Trebuchet MS"/>
          <w:color w:val="FFFFFF"/>
          <w:sz w:val="28"/>
          <w:lang w:val="fr-FR"/>
        </w:rPr>
        <w:t>10 - Conditions d'exécution des prestations</w:t>
      </w:r>
      <w:bookmarkEnd w:id="48"/>
    </w:p>
    <w:p>
      <w:pPr>
        <w:spacing w:line="60" w:lineRule="exact"/>
        <w:rPr>
          <w:sz w:val="6"/>
          <w:lang w:val="fr-FR"/>
        </w:rPr>
      </w:pPr>
      <w:r>
        <w:rPr>
          <w:lang w:val="fr-FR"/>
        </w:rPr>
        <w:t xml:space="preserve"> </w:t>
      </w:r>
    </w:p>
    <w:p>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 L'accord-cadre s'exécute au moyen de bons de commande dont le délai d'exécution commence à courir à compter de la date de notification du bon.</w:t>
      </w:r>
    </w:p>
    <w:p>
      <w:pPr>
        <w:pStyle w:val="ParagrapheIndent1"/>
        <w:spacing w:line="232" w:lineRule="exact"/>
        <w:jc w:val="both"/>
        <w:rPr>
          <w:color w:val="000000"/>
          <w:lang w:val="fr-FR"/>
        </w:rPr>
      </w:pPr>
      <w:r>
        <w:rPr>
          <w:color w:val="000000"/>
          <w:u w:val="single"/>
          <w:lang w:val="fr-FR"/>
        </w:rPr>
        <w:t>Notification par le biais du profil d'acheteur</w:t>
      </w:r>
    </w:p>
    <w:p>
      <w:pPr>
        <w:pStyle w:val="ParagrapheIndent1"/>
        <w:spacing w:line="232" w:lineRule="exact"/>
        <w:jc w:val="both"/>
        <w:rPr>
          <w:color w:val="000000"/>
          <w:lang w:val="fr-FR"/>
        </w:rPr>
        <w:sectPr>
          <w:footerReference w:type="default" r:id="rId22"/>
          <w:pgSz w:w="11900" w:h="16840"/>
          <w:pgMar w:top="580" w:right="1140" w:bottom="580" w:left="1140" w:header="580" w:footer="580" w:gutter="0"/>
          <w:cols w:space="708"/>
        </w:sectPr>
      </w:pPr>
    </w:p>
    <w:p>
      <w:pPr>
        <w:pStyle w:val="ParagrapheIndent1"/>
        <w:spacing w:after="240" w:line="232" w:lineRule="exact"/>
        <w:jc w:val="both"/>
        <w:rPr>
          <w:color w:val="000000"/>
          <w:lang w:val="fr-FR"/>
        </w:rPr>
      </w:pPr>
      <w:r>
        <w:rPr>
          <w:color w:val="000000"/>
          <w:lang w:val="fr-FR"/>
        </w:rPr>
        <w:lastRenderedPageBreak/>
        <w:t>La notification d'une décision, observation ou information faisant courir un délai peut être effectuée par le biais du profil d'acheteur, conformément aux dispositions de l'article 3.1 du CCAG-FCS.</w:t>
      </w:r>
    </w:p>
    <w:p>
      <w:pPr>
        <w:pStyle w:val="ParagrapheIndent1"/>
        <w:spacing w:line="232" w:lineRule="exact"/>
        <w:jc w:val="both"/>
        <w:rPr>
          <w:color w:val="000000"/>
          <w:lang w:val="fr-FR"/>
        </w:rPr>
      </w:pPr>
      <w:r>
        <w:rPr>
          <w:color w:val="000000"/>
          <w:u w:val="single"/>
          <w:lang w:val="fr-FR"/>
        </w:rPr>
        <w:t>Stockage, emballage et transport</w:t>
      </w:r>
      <w:r>
        <w:rPr>
          <w:color w:val="000000"/>
          <w:lang w:val="fr-FR"/>
        </w:rPr>
        <w:t xml:space="preserve"> :</w:t>
      </w:r>
    </w:p>
    <w:p>
      <w:pPr>
        <w:pStyle w:val="ParagrapheIndent1"/>
        <w:spacing w:line="232" w:lineRule="exact"/>
        <w:jc w:val="both"/>
        <w:rPr>
          <w:color w:val="000000"/>
          <w:lang w:val="fr-FR"/>
        </w:rPr>
      </w:pPr>
    </w:p>
    <w:p>
      <w:pPr>
        <w:pStyle w:val="ParagrapheIndent1"/>
        <w:spacing w:after="240" w:line="232" w:lineRule="exact"/>
        <w:jc w:val="both"/>
        <w:rPr>
          <w:color w:val="000000"/>
          <w:lang w:val="fr-FR"/>
        </w:rPr>
      </w:pPr>
      <w:r>
        <w:rPr>
          <w:color w:val="000000"/>
          <w:lang w:val="fr-FR"/>
        </w:rPr>
        <w:t>Le stockage, l'emballage et le transport des fournitures sont effectués dans les conditions de l'article 20 du CCAG-FCS. Les emballages relèvent de la responsabilité du titulaire et restent sa propriété. Le transport s'effectue sous sa responsabilité jusqu'au lieu de livraison.</w:t>
      </w:r>
    </w:p>
    <w:p>
      <w:pPr>
        <w:pStyle w:val="ParagrapheIndent1"/>
        <w:spacing w:line="232" w:lineRule="exact"/>
        <w:jc w:val="both"/>
        <w:rPr>
          <w:color w:val="000000"/>
          <w:lang w:val="fr-FR"/>
        </w:rPr>
      </w:pPr>
      <w:r>
        <w:rPr>
          <w:color w:val="000000"/>
          <w:u w:val="single"/>
          <w:lang w:val="fr-FR"/>
        </w:rPr>
        <w:t>Conditions de livraison</w:t>
      </w:r>
      <w:r>
        <w:rPr>
          <w:color w:val="000000"/>
          <w:lang w:val="fr-FR"/>
        </w:rPr>
        <w:t xml:space="preserve"> :</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La livraison des fournitures s'effectuera dans les conditions de l'article 21 du CCAG-FCS.</w:t>
      </w:r>
    </w:p>
    <w:p>
      <w:pPr>
        <w:pStyle w:val="ParagrapheIndent1"/>
        <w:spacing w:line="232" w:lineRule="exact"/>
        <w:jc w:val="both"/>
        <w:rPr>
          <w:color w:val="000000"/>
          <w:lang w:val="fr-FR"/>
        </w:rPr>
      </w:pPr>
    </w:p>
    <w:p>
      <w:pPr>
        <w:pStyle w:val="ParagrapheIndent1"/>
        <w:spacing w:after="240" w:line="232" w:lineRule="exact"/>
        <w:jc w:val="both"/>
        <w:rPr>
          <w:color w:val="000000"/>
          <w:lang w:val="fr-FR"/>
        </w:rPr>
      </w:pPr>
      <w:r>
        <w:rPr>
          <w:color w:val="000000"/>
          <w:lang w:val="fr-FR"/>
        </w:rPr>
        <w:t>L’adresse de livraison sera stipulée sur les bons de commande des établissements.</w:t>
      </w:r>
    </w:p>
    <w:p>
      <w:pPr>
        <w:pStyle w:val="Titre1"/>
        <w:shd w:val="clear" w:color="2A7CBF" w:fill="2A7CBF"/>
        <w:rPr>
          <w:rFonts w:ascii="Trebuchet MS" w:eastAsia="Trebuchet MS" w:hAnsi="Trebuchet MS" w:cs="Trebuchet MS"/>
          <w:color w:val="FFFFFF"/>
          <w:sz w:val="28"/>
          <w:lang w:val="fr-FR"/>
        </w:rPr>
      </w:pPr>
      <w:bookmarkStart w:id="49" w:name="ArtL1_CCAP-1-A16"/>
      <w:bookmarkStart w:id="50" w:name="_Toc256000025"/>
      <w:bookmarkEnd w:id="49"/>
      <w:r>
        <w:rPr>
          <w:rFonts w:ascii="Trebuchet MS" w:eastAsia="Trebuchet MS" w:hAnsi="Trebuchet MS" w:cs="Trebuchet MS"/>
          <w:color w:val="FFFFFF"/>
          <w:sz w:val="28"/>
          <w:lang w:val="fr-FR"/>
        </w:rPr>
        <w:t>11 - Développement durable</w:t>
      </w:r>
      <w:bookmarkEnd w:id="50"/>
    </w:p>
    <w:p>
      <w:pPr>
        <w:spacing w:line="60" w:lineRule="exact"/>
        <w:rPr>
          <w:sz w:val="6"/>
          <w:lang w:val="fr-FR"/>
        </w:rPr>
      </w:pPr>
      <w:r>
        <w:rPr>
          <w:lang w:val="fr-FR"/>
        </w:rPr>
        <w:t xml:space="preserve"> </w:t>
      </w:r>
    </w:p>
    <w:p>
      <w:pPr>
        <w:pStyle w:val="ParagrapheIndent1"/>
        <w:spacing w:after="240"/>
        <w:jc w:val="both"/>
        <w:rPr>
          <w:color w:val="000000"/>
          <w:lang w:val="fr-FR"/>
        </w:rPr>
      </w:pPr>
      <w:r>
        <w:rPr>
          <w:color w:val="000000"/>
          <w:lang w:val="fr-FR"/>
        </w:rPr>
        <w:t>Il n'est prévu aucune obligation environnementale dans l'exécution de l'accord-cadre.</w:t>
      </w:r>
    </w:p>
    <w:p>
      <w:pPr>
        <w:pStyle w:val="Titre1"/>
        <w:shd w:val="clear" w:color="2A7CBF" w:fill="2A7CBF"/>
        <w:rPr>
          <w:rFonts w:ascii="Trebuchet MS" w:eastAsia="Trebuchet MS" w:hAnsi="Trebuchet MS" w:cs="Trebuchet MS"/>
          <w:color w:val="FFFFFF"/>
          <w:sz w:val="28"/>
          <w:lang w:val="fr-FR"/>
        </w:rPr>
      </w:pPr>
      <w:bookmarkStart w:id="51" w:name="ArtL1_CCAP-1-A22"/>
      <w:bookmarkStart w:id="52" w:name="_Toc256000026"/>
      <w:bookmarkEnd w:id="51"/>
      <w:r>
        <w:rPr>
          <w:rFonts w:ascii="Trebuchet MS" w:eastAsia="Trebuchet MS" w:hAnsi="Trebuchet MS" w:cs="Trebuchet MS"/>
          <w:color w:val="FFFFFF"/>
          <w:sz w:val="28"/>
          <w:lang w:val="fr-FR"/>
        </w:rPr>
        <w:t>12 - Constatation de l'exécution des prestations</w:t>
      </w:r>
      <w:bookmarkEnd w:id="52"/>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53" w:name="ArtL2_CCAP-1-A22.2"/>
      <w:bookmarkStart w:id="54" w:name="_Toc256000027"/>
      <w:bookmarkEnd w:id="53"/>
      <w:r>
        <w:rPr>
          <w:rFonts w:ascii="Trebuchet MS" w:eastAsia="Trebuchet MS" w:hAnsi="Trebuchet MS" w:cs="Trebuchet MS"/>
          <w:i w:val="0"/>
          <w:color w:val="000000"/>
          <w:sz w:val="24"/>
          <w:lang w:val="fr-FR"/>
        </w:rPr>
        <w:t>12.1 - Vérifications</w:t>
      </w:r>
      <w:bookmarkEnd w:id="54"/>
    </w:p>
    <w:p>
      <w:pPr>
        <w:pStyle w:val="ParagrapheIndent2"/>
        <w:spacing w:after="240" w:line="232" w:lineRule="exact"/>
        <w:jc w:val="both"/>
        <w:rPr>
          <w:color w:val="000000"/>
          <w:lang w:val="fr-FR"/>
        </w:rPr>
      </w:pPr>
      <w:r>
        <w:rPr>
          <w:color w:val="000000"/>
          <w:lang w:val="fr-FR"/>
        </w:rPr>
        <w:t>Les vérifications quantitatives et qualitatives simples seront effectuées au moment même de la livraison de la fourniture ou de l'exécution de service (examen sommaire) conformément aux articles 27 et 28.1 du CCAG-FCS.</w:t>
      </w:r>
    </w:p>
    <w:p>
      <w:pPr>
        <w:pStyle w:val="Titre2"/>
        <w:ind w:left="280"/>
        <w:jc w:val="both"/>
        <w:rPr>
          <w:rFonts w:ascii="Trebuchet MS" w:eastAsia="Trebuchet MS" w:hAnsi="Trebuchet MS" w:cs="Trebuchet MS"/>
          <w:i w:val="0"/>
          <w:color w:val="000000"/>
          <w:sz w:val="24"/>
          <w:lang w:val="fr-FR"/>
        </w:rPr>
      </w:pPr>
      <w:bookmarkStart w:id="55" w:name="ArtL2_CCAP-1-A22.6"/>
      <w:bookmarkStart w:id="56" w:name="_Toc256000028"/>
      <w:bookmarkEnd w:id="55"/>
      <w:r>
        <w:rPr>
          <w:rFonts w:ascii="Trebuchet MS" w:eastAsia="Trebuchet MS" w:hAnsi="Trebuchet MS" w:cs="Trebuchet MS"/>
          <w:i w:val="0"/>
          <w:color w:val="000000"/>
          <w:sz w:val="24"/>
          <w:lang w:val="fr-FR"/>
        </w:rPr>
        <w:t>12.2 - Décision après vérification</w:t>
      </w:r>
      <w:bookmarkEnd w:id="56"/>
    </w:p>
    <w:p>
      <w:pPr>
        <w:pStyle w:val="ParagrapheIndent2"/>
        <w:spacing w:after="240" w:line="232" w:lineRule="exact"/>
        <w:jc w:val="both"/>
        <w:rPr>
          <w:color w:val="000000"/>
          <w:lang w:val="fr-FR"/>
        </w:rPr>
      </w:pPr>
      <w:r>
        <w:rPr>
          <w:color w:val="000000"/>
          <w:lang w:val="fr-FR"/>
        </w:rPr>
        <w:t>A l'issue des opérations de vérification, le pouvoir adjudicateur prendra sa décision dans les conditions prévues aux articles 29 et 30 du CCAG-FCS.</w:t>
      </w:r>
    </w:p>
    <w:p>
      <w:pPr>
        <w:pStyle w:val="Titre1"/>
        <w:shd w:val="clear" w:color="2A7CBF" w:fill="2A7CBF"/>
        <w:rPr>
          <w:rFonts w:ascii="Trebuchet MS" w:eastAsia="Trebuchet MS" w:hAnsi="Trebuchet MS" w:cs="Trebuchet MS"/>
          <w:color w:val="FFFFFF"/>
          <w:sz w:val="28"/>
          <w:lang w:val="fr-FR"/>
        </w:rPr>
      </w:pPr>
      <w:bookmarkStart w:id="57" w:name="ArtL1_CCAP-1-A29"/>
      <w:bookmarkStart w:id="58" w:name="_Toc256000029"/>
      <w:bookmarkEnd w:id="57"/>
      <w:r>
        <w:rPr>
          <w:rFonts w:ascii="Trebuchet MS" w:eastAsia="Trebuchet MS" w:hAnsi="Trebuchet MS" w:cs="Trebuchet MS"/>
          <w:color w:val="FFFFFF"/>
          <w:sz w:val="28"/>
          <w:lang w:val="fr-FR"/>
        </w:rPr>
        <w:t>13 - Droit de propriété industrielle et intellectuelle</w:t>
      </w:r>
      <w:bookmarkEnd w:id="58"/>
    </w:p>
    <w:p>
      <w:pPr>
        <w:spacing w:line="60" w:lineRule="exact"/>
        <w:rPr>
          <w:sz w:val="6"/>
          <w:lang w:val="fr-FR"/>
        </w:rPr>
      </w:pPr>
      <w:r>
        <w:rPr>
          <w:lang w:val="fr-FR"/>
        </w:rPr>
        <w:t xml:space="preserve"> </w:t>
      </w:r>
    </w:p>
    <w:p>
      <w:pPr>
        <w:pStyle w:val="ParagrapheIndent1"/>
        <w:spacing w:after="240"/>
        <w:jc w:val="both"/>
        <w:rPr>
          <w:color w:val="000000"/>
          <w:lang w:val="fr-FR"/>
        </w:rPr>
      </w:pPr>
      <w:r>
        <w:rPr>
          <w:color w:val="000000"/>
          <w:lang w:val="fr-FR"/>
        </w:rPr>
        <w:t>Aucun droit de propriété intellectuelle n'est applicable à ce contrat.</w:t>
      </w:r>
    </w:p>
    <w:p>
      <w:pPr>
        <w:pStyle w:val="Titre1"/>
        <w:shd w:val="clear" w:color="2A7CBF" w:fill="2A7CBF"/>
        <w:rPr>
          <w:rFonts w:ascii="Trebuchet MS" w:eastAsia="Trebuchet MS" w:hAnsi="Trebuchet MS" w:cs="Trebuchet MS"/>
          <w:color w:val="FFFFFF"/>
          <w:sz w:val="28"/>
          <w:lang w:val="fr-FR"/>
        </w:rPr>
      </w:pPr>
      <w:bookmarkStart w:id="59" w:name="ArtL1_CCAP-1-A30"/>
      <w:bookmarkStart w:id="60" w:name="_Toc256000030"/>
      <w:bookmarkEnd w:id="59"/>
      <w:r>
        <w:rPr>
          <w:rFonts w:ascii="Trebuchet MS" w:eastAsia="Trebuchet MS" w:hAnsi="Trebuchet MS" w:cs="Trebuchet MS"/>
          <w:color w:val="FFFFFF"/>
          <w:sz w:val="28"/>
          <w:lang w:val="fr-FR"/>
        </w:rPr>
        <w:t>14 - Pénalités</w:t>
      </w:r>
      <w:bookmarkEnd w:id="60"/>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61" w:name="ArtL2_CCAP-1-A30.1"/>
      <w:bookmarkStart w:id="62" w:name="_Toc256000031"/>
      <w:bookmarkEnd w:id="61"/>
      <w:r>
        <w:rPr>
          <w:rFonts w:ascii="Trebuchet MS" w:eastAsia="Trebuchet MS" w:hAnsi="Trebuchet MS" w:cs="Trebuchet MS"/>
          <w:i w:val="0"/>
          <w:color w:val="000000"/>
          <w:sz w:val="24"/>
          <w:lang w:val="fr-FR"/>
        </w:rPr>
        <w:t>14.1 - Pénalités de retard</w:t>
      </w:r>
      <w:bookmarkEnd w:id="62"/>
    </w:p>
    <w:p>
      <w:pPr>
        <w:pStyle w:val="ParagrapheIndent2"/>
        <w:spacing w:after="240" w:line="232"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20,00 €.</w:t>
      </w:r>
    </w:p>
    <w:p>
      <w:pPr>
        <w:pStyle w:val="ParagrapheIndent2"/>
        <w:spacing w:after="240" w:line="232" w:lineRule="exact"/>
        <w:jc w:val="both"/>
        <w:rPr>
          <w:color w:val="000000"/>
          <w:lang w:val="fr-FR"/>
        </w:rPr>
      </w:pPr>
      <w:r>
        <w:rPr>
          <w:color w:val="000000"/>
          <w:lang w:val="fr-FR"/>
        </w:rPr>
        <w:t>Par dérogation à l'article 14.1.3 du CCAG-FCS, il n'est prévu aucune exonération à l'application des pénalités de retard.</w:t>
      </w:r>
    </w:p>
    <w:p>
      <w:pPr>
        <w:pStyle w:val="ParagrapheIndent2"/>
        <w:spacing w:after="240"/>
        <w:jc w:val="both"/>
        <w:rPr>
          <w:color w:val="000000"/>
          <w:lang w:val="fr-FR"/>
        </w:rPr>
      </w:pPr>
      <w:r>
        <w:rPr>
          <w:color w:val="000000"/>
          <w:lang w:val="fr-FR"/>
        </w:rPr>
        <w:t>Le montant total des pénalités de retard n'est pas plafonné.</w:t>
      </w:r>
    </w:p>
    <w:p>
      <w:pPr>
        <w:pStyle w:val="ParagrapheIndent2"/>
        <w:spacing w:after="240"/>
        <w:jc w:val="both"/>
        <w:rPr>
          <w:color w:val="000000"/>
          <w:lang w:val="fr-FR"/>
        </w:rPr>
      </w:pPr>
      <w:r>
        <w:rPr>
          <w:color w:val="000000"/>
          <w:lang w:val="fr-FR"/>
        </w:rPr>
        <w:t>Les pénalités de retard sont appliquées sans mise en demeure préalable du titulaire.</w:t>
      </w:r>
    </w:p>
    <w:p>
      <w:pPr>
        <w:pStyle w:val="Titre1"/>
        <w:shd w:val="clear" w:color="2A7CBF" w:fill="2A7CBF"/>
        <w:rPr>
          <w:rFonts w:ascii="Trebuchet MS" w:eastAsia="Trebuchet MS" w:hAnsi="Trebuchet MS" w:cs="Trebuchet MS"/>
          <w:color w:val="FFFFFF"/>
          <w:sz w:val="28"/>
          <w:lang w:val="fr-FR"/>
        </w:rPr>
      </w:pPr>
      <w:bookmarkStart w:id="63" w:name="ArtL1_CCAP-1-A32"/>
      <w:bookmarkStart w:id="64" w:name="_Toc256000032"/>
      <w:bookmarkEnd w:id="63"/>
      <w:r>
        <w:rPr>
          <w:rFonts w:ascii="Trebuchet MS" w:eastAsia="Trebuchet MS" w:hAnsi="Trebuchet MS" w:cs="Trebuchet MS"/>
          <w:color w:val="FFFFFF"/>
          <w:sz w:val="28"/>
          <w:lang w:val="fr-FR"/>
        </w:rPr>
        <w:t>15 - Assurances</w:t>
      </w:r>
      <w:bookmarkEnd w:id="64"/>
    </w:p>
    <w:p>
      <w:pPr>
        <w:spacing w:line="60" w:lineRule="exact"/>
        <w:rPr>
          <w:sz w:val="6"/>
          <w:lang w:val="fr-FR"/>
        </w:rPr>
      </w:pPr>
      <w:r>
        <w:rPr>
          <w:lang w:val="fr-FR"/>
        </w:rPr>
        <w:t xml:space="preserve"> </w:t>
      </w:r>
    </w:p>
    <w:p>
      <w:pPr>
        <w:pStyle w:val="ParagrapheIndent1"/>
        <w:spacing w:line="232" w:lineRule="exact"/>
        <w:jc w:val="both"/>
        <w:rPr>
          <w:color w:val="000000"/>
          <w:lang w:val="fr-FR"/>
        </w:rPr>
        <w:sectPr>
          <w:footerReference w:type="default" r:id="rId23"/>
          <w:pgSz w:w="11900" w:h="16840"/>
          <w:pgMar w:top="580" w:right="1140" w:bottom="580" w:left="1140" w:header="580" w:footer="580" w:gutter="0"/>
          <w:cols w:space="708"/>
        </w:sectPr>
      </w:pPr>
      <w:r>
        <w:rPr>
          <w:color w:val="000000"/>
          <w:lang w:val="fr-FR"/>
        </w:rPr>
        <w:t>Conformément aux dispositions de l'article 9 du CCAG-FCS, tout titulaire (mandataire et cotraitants inclus) doit justifier, dans un délai de 10 jours à compter de la notification du contrat et avant tout commencement d'exécution, qu'il est titulaire des contrats d'assurances, au moyen d'une attestation établissant l'étendue de la responsabilité garantie.</w:t>
      </w:r>
      <w:r>
        <w:rPr>
          <w:color w:val="000000"/>
          <w:lang w:val="fr-FR"/>
        </w:rPr>
        <w:cr/>
      </w:r>
    </w:p>
    <w:p>
      <w:pPr>
        <w:pStyle w:val="Titre1"/>
        <w:shd w:val="clear" w:color="2A7CBF" w:fill="2A7CBF"/>
        <w:rPr>
          <w:rFonts w:ascii="Trebuchet MS" w:eastAsia="Trebuchet MS" w:hAnsi="Trebuchet MS" w:cs="Trebuchet MS"/>
          <w:color w:val="FFFFFF"/>
          <w:sz w:val="28"/>
          <w:lang w:val="fr-FR"/>
        </w:rPr>
      </w:pPr>
      <w:bookmarkStart w:id="65" w:name="ArtL1_CCAP-1-A33"/>
      <w:bookmarkStart w:id="66" w:name="_Toc256000033"/>
      <w:bookmarkEnd w:id="65"/>
      <w:r>
        <w:rPr>
          <w:rFonts w:ascii="Trebuchet MS" w:eastAsia="Trebuchet MS" w:hAnsi="Trebuchet MS" w:cs="Trebuchet MS"/>
          <w:color w:val="FFFFFF"/>
          <w:sz w:val="28"/>
          <w:lang w:val="fr-FR"/>
        </w:rPr>
        <w:lastRenderedPageBreak/>
        <w:t>16 - Clause de réexamen</w:t>
      </w:r>
      <w:bookmarkEnd w:id="66"/>
    </w:p>
    <w:p>
      <w:pPr>
        <w:spacing w:line="60" w:lineRule="exact"/>
        <w:rPr>
          <w:sz w:val="6"/>
          <w:lang w:val="fr-FR"/>
        </w:rPr>
      </w:pPr>
      <w:r>
        <w:rPr>
          <w:lang w:val="fr-FR"/>
        </w:rPr>
        <w:t xml:space="preserve"> </w:t>
      </w:r>
    </w:p>
    <w:p>
      <w:pPr>
        <w:pStyle w:val="ParagrapheIndent1"/>
        <w:spacing w:line="232" w:lineRule="exact"/>
        <w:jc w:val="both"/>
        <w:rPr>
          <w:color w:val="000000"/>
          <w:lang w:val="fr-FR"/>
        </w:rPr>
      </w:pPr>
      <w:r>
        <w:rPr>
          <w:color w:val="000000"/>
          <w:lang w:val="fr-FR"/>
        </w:rPr>
        <w:t>Une procédure de réexamen des conditions d'exécution de l'accord-cadre peut être menée en application des articles L. 2194-1 1° et R. 2194-1 du Code de la commande publique. Toute modification des conditions d'exécution acceptée à l'issue de cette procédure de réexamen fait l'objet d'un avenant au présent accord-cadre.</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Cette procédure s'applique lorsque la teneur des modifications n'est pas prévue initialement dans l'accord-cadre, et ce pendant toute la durée de son exécution.</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Si le principe et les conditions de mise en œuvre du réexamen sont acceptés par les parties, il trouve à s'appliquer quel que soit le montant des modifications qu'il induit.</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L'initiative de la demande de réexamen appartient aux deux parties, et la procédure de réexamen n'interrompt en aucun cas l'exécution des prestations.</w:t>
      </w:r>
    </w:p>
    <w:p>
      <w:pPr>
        <w:pStyle w:val="ParagrapheIndent1"/>
        <w:spacing w:line="232" w:lineRule="exact"/>
        <w:jc w:val="both"/>
        <w:rPr>
          <w:color w:val="000000"/>
          <w:lang w:val="fr-FR"/>
        </w:rPr>
      </w:pPr>
      <w:r>
        <w:rPr>
          <w:color w:val="000000"/>
          <w:lang w:val="fr-FR"/>
        </w:rPr>
        <w:t>La demande doit être transmise par tout moyen matériel ou dématérialisé permettant de déterminer de façon certaine la date de sa réception.</w:t>
      </w:r>
    </w:p>
    <w:p>
      <w:pPr>
        <w:pStyle w:val="ParagrapheIndent1"/>
        <w:spacing w:line="232" w:lineRule="exact"/>
        <w:jc w:val="both"/>
        <w:rPr>
          <w:color w:val="000000"/>
          <w:lang w:val="fr-FR"/>
        </w:rPr>
      </w:pPr>
      <w:r>
        <w:rPr>
          <w:color w:val="000000"/>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La procédure de réexamen ainsi définie peut être initiée dans les cas suivants :</w:t>
      </w:r>
    </w:p>
    <w:p>
      <w:pPr>
        <w:pStyle w:val="ParagrapheIndent1"/>
        <w:spacing w:line="232" w:lineRule="exact"/>
        <w:jc w:val="both"/>
        <w:rPr>
          <w:color w:val="000000"/>
          <w:lang w:val="fr-FR"/>
        </w:rPr>
      </w:pPr>
      <w:r>
        <w:rPr>
          <w:color w:val="000000"/>
          <w:lang w:val="fr-FR"/>
        </w:rPr>
        <w:t>Le titulaire du marché pourra formuler une demande d’indemnisation en cas de poursuite d’exécution du contrat s’il produit des justificatifs permettant de caractériser un bouleversement de l’économie générale du contrat du fait de la poursuite de l’exécution du contrat dans les conditions de l’offre. A ce titre, il devra notamment justifier de la différence entre son prix de revient et sa marge bénéficiaire au moment où il a remis son offre et au moment où l’évènement survient, ainsi que de l’importance des charges extracontractuelles supportées du seul fait de l’évènement imprévisible. Il est entendu que l’indemnisation ne doit pas avoir pour effet de faire supporter la totalité de la perte au pouvoir adjudicateur. Le pouvoir adjudicateur analysera le bien-fondé de cette demande sur la base des justificatifs transmis et se réserve la possibilité de refuser cette demande si les éléments apportés ne sont pas suffisants pour justifier une indemnisation au regard de la réglementation en vigueur et dans la limite du montant maximum du marché. Le cas échéant, l’indemnisation prendra la forme d’une modification provisoire des prix du marché, par voie d’avenant, pour une durée limitée à la période de déséquilibre financier du marché dûment justifié, et en tout état de cause sans que la période de modification des prix ne puisse excéder 6 mois. Au-delà de ce délai, les prix de l’offre initiale s’appliqueront de nouveau.</w:t>
      </w:r>
    </w:p>
    <w:p>
      <w:pPr>
        <w:pStyle w:val="ParagrapheIndent1"/>
        <w:spacing w:line="232" w:lineRule="exact"/>
        <w:jc w:val="both"/>
        <w:rPr>
          <w:color w:val="000000"/>
          <w:lang w:val="fr-FR"/>
        </w:rPr>
      </w:pPr>
      <w:r>
        <w:rPr>
          <w:color w:val="000000"/>
          <w:lang w:val="fr-FR"/>
        </w:rPr>
        <w:t>En tout état de cause :</w:t>
      </w:r>
    </w:p>
    <w:p>
      <w:pPr>
        <w:pStyle w:val="ParagrapheIndent1"/>
        <w:spacing w:line="232" w:lineRule="exact"/>
        <w:jc w:val="both"/>
        <w:rPr>
          <w:color w:val="000000"/>
          <w:lang w:val="fr-FR"/>
        </w:rPr>
      </w:pPr>
      <w:r>
        <w:rPr>
          <w:color w:val="000000"/>
          <w:lang w:val="fr-FR"/>
        </w:rPr>
        <w:t>- Aucune augmentation de prix ne peut être imposée unilatéralement par le titulaire : les prix contractuels du marché demeurent en vigueur dans l’attente de l’avenant signé par le pouvoir adjudicateur</w:t>
      </w:r>
    </w:p>
    <w:p>
      <w:pPr>
        <w:pStyle w:val="ParagrapheIndent1"/>
        <w:spacing w:line="232" w:lineRule="exact"/>
        <w:jc w:val="both"/>
        <w:rPr>
          <w:color w:val="000000"/>
          <w:lang w:val="fr-FR"/>
        </w:rPr>
      </w:pPr>
      <w:r>
        <w:rPr>
          <w:color w:val="000000"/>
          <w:lang w:val="fr-FR"/>
        </w:rPr>
        <w:t>-Le titulaire ne peut refuser d’approvisionner.</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Si le montant maximum du marché est atteint, le pouvoir adjudicateur aura la possibilité de poursuivre le marché. Le montant du marché pourra être augmentée dans la limite de XX%.</w:t>
      </w:r>
    </w:p>
    <w:p>
      <w:pPr>
        <w:pStyle w:val="ParagrapheIndent1"/>
        <w:spacing w:line="232" w:lineRule="exact"/>
        <w:jc w:val="both"/>
        <w:rPr>
          <w:color w:val="000000"/>
          <w:lang w:val="fr-FR"/>
        </w:rPr>
      </w:pPr>
      <w:r>
        <w:rPr>
          <w:color w:val="000000"/>
          <w:lang w:val="fr-FR"/>
        </w:rPr>
        <w:t>Un avenant sera conclu pour prendre acte de cette augmentation du montant maximum du marché.</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En cas de remise complémentaire (ou de prix à la baisse) accordé par le titulaire, cette remise pourra s'appliquer d'office.</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En cas d'escompte proposée par le titulaire en cours d'exécution, le pouvoir adjudicateur pourra accepter ou non cette proposition.</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En cas d'évolution, ou de modification de la réglementation en cours d'exécution du marché, le titulaire a la possibilité, après accord du CHU de</w:t>
      </w:r>
    </w:p>
    <w:p>
      <w:pPr>
        <w:pStyle w:val="ParagrapheIndent1"/>
        <w:spacing w:line="232" w:lineRule="exact"/>
        <w:jc w:val="both"/>
        <w:rPr>
          <w:color w:val="000000"/>
          <w:lang w:val="fr-FR"/>
        </w:rPr>
      </w:pPr>
      <w:r>
        <w:rPr>
          <w:color w:val="000000"/>
          <w:lang w:val="fr-FR"/>
        </w:rPr>
        <w:t>Besançon, de modifier ou remplacer les fournitures faisant l'objet du marché dans la limite du montant maximum du marché.</w:t>
      </w:r>
    </w:p>
    <w:p>
      <w:pPr>
        <w:pStyle w:val="ParagrapheIndent1"/>
        <w:spacing w:line="232" w:lineRule="exact"/>
        <w:jc w:val="both"/>
        <w:rPr>
          <w:color w:val="000000"/>
          <w:lang w:val="fr-FR"/>
        </w:rPr>
        <w:sectPr>
          <w:footerReference w:type="default" r:id="rId24"/>
          <w:pgSz w:w="11900" w:h="16840"/>
          <w:pgMar w:top="580" w:right="1140" w:bottom="580" w:left="1140" w:header="580" w:footer="580" w:gutter="0"/>
          <w:cols w:space="708"/>
        </w:sectPr>
      </w:pPr>
    </w:p>
    <w:p>
      <w:pPr>
        <w:pStyle w:val="ParagrapheIndent1"/>
        <w:spacing w:line="232" w:lineRule="exact"/>
        <w:jc w:val="both"/>
        <w:rPr>
          <w:color w:val="000000"/>
          <w:lang w:val="fr-FR"/>
        </w:rPr>
      </w:pPr>
      <w:r>
        <w:rPr>
          <w:color w:val="000000"/>
          <w:lang w:val="fr-FR"/>
        </w:rPr>
        <w:lastRenderedPageBreak/>
        <w:t>En cours de validité de l’accord-cadre, les titulaires pourront être amenés à compléter leurs gammes de produits dans la limite du montant maximum du lot, et à la condition :</w:t>
      </w:r>
    </w:p>
    <w:p>
      <w:pPr>
        <w:pStyle w:val="ParagrapheIndent1"/>
        <w:spacing w:line="232" w:lineRule="exact"/>
        <w:jc w:val="both"/>
        <w:rPr>
          <w:color w:val="000000"/>
          <w:lang w:val="fr-FR"/>
        </w:rPr>
      </w:pPr>
      <w:r>
        <w:rPr>
          <w:color w:val="000000"/>
          <w:lang w:val="fr-FR"/>
        </w:rPr>
        <w:t>Que le produit réponde aux spécifications techniques du CCTP ;</w:t>
      </w:r>
    </w:p>
    <w:p>
      <w:pPr>
        <w:pStyle w:val="ParagrapheIndent1"/>
        <w:spacing w:line="232" w:lineRule="exact"/>
        <w:jc w:val="both"/>
        <w:rPr>
          <w:color w:val="000000"/>
          <w:lang w:val="fr-FR"/>
        </w:rPr>
      </w:pPr>
      <w:r>
        <w:rPr>
          <w:color w:val="000000"/>
          <w:lang w:val="fr-FR"/>
        </w:rPr>
        <w:t>Que le produit ne soit pas susceptible d’entrer en concurrence d’un autre lot ;</w:t>
      </w:r>
    </w:p>
    <w:p>
      <w:pPr>
        <w:pStyle w:val="ParagrapheIndent1"/>
        <w:spacing w:line="232" w:lineRule="exact"/>
        <w:jc w:val="both"/>
        <w:rPr>
          <w:color w:val="000000"/>
          <w:lang w:val="fr-FR"/>
        </w:rPr>
      </w:pPr>
      <w:r>
        <w:rPr>
          <w:color w:val="000000"/>
          <w:lang w:val="fr-FR"/>
        </w:rPr>
        <w:t>Que l’intégration du nouveau produit ne soit pas susceptible de bouleverser les conditions initiales de mise en concurrence ;</w:t>
      </w:r>
    </w:p>
    <w:p>
      <w:pPr>
        <w:pStyle w:val="ParagrapheIndent1"/>
        <w:spacing w:line="232" w:lineRule="exact"/>
        <w:jc w:val="both"/>
        <w:rPr>
          <w:color w:val="000000"/>
          <w:lang w:val="fr-FR"/>
        </w:rPr>
      </w:pPr>
      <w:r>
        <w:rPr>
          <w:color w:val="000000"/>
          <w:lang w:val="fr-FR"/>
        </w:rPr>
        <w:t>Que le produit soit d’un prix équivalent ou inférieur aux produits de la gamme qu’il vient compléter.</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Le pouvoir adjudicateur se réserve le droit d'adapter la clause de révision de prix en cours de validité de l'accord cadre :</w:t>
      </w:r>
    </w:p>
    <w:p>
      <w:pPr>
        <w:pStyle w:val="ParagrapheIndent1"/>
        <w:spacing w:line="232" w:lineRule="exact"/>
        <w:jc w:val="both"/>
        <w:rPr>
          <w:color w:val="000000"/>
          <w:lang w:val="fr-FR"/>
        </w:rPr>
      </w:pPr>
      <w:r>
        <w:rPr>
          <w:color w:val="000000"/>
          <w:lang w:val="fr-FR"/>
        </w:rPr>
        <w:t>-4 mois avant la deuxième période de reconduction le pouvoir adjudicateur pourra adapter à la baisse ou à la hausse le pourcentage d'augmentation prévu dans la clause de sauvegarde.</w:t>
      </w:r>
    </w:p>
    <w:p>
      <w:pPr>
        <w:pStyle w:val="ParagrapheIndent1"/>
        <w:spacing w:line="232" w:lineRule="exact"/>
        <w:jc w:val="both"/>
        <w:rPr>
          <w:color w:val="000000"/>
          <w:lang w:val="fr-FR"/>
        </w:rPr>
      </w:pPr>
      <w:r>
        <w:rPr>
          <w:color w:val="000000"/>
          <w:lang w:val="fr-FR"/>
        </w:rPr>
        <w:t>-4 mois avant la troisième période de reconduction le pouvoir adjudicateur pourra décider de mettre fin à la clause de révision de prix, afin de maintenir les prix lors de la dernière année d'exécution du marché.</w:t>
      </w:r>
    </w:p>
    <w:p>
      <w:pPr>
        <w:pStyle w:val="ParagrapheIndent1"/>
        <w:spacing w:line="232" w:lineRule="exact"/>
        <w:jc w:val="both"/>
        <w:rPr>
          <w:color w:val="000000"/>
          <w:lang w:val="fr-FR"/>
        </w:rPr>
      </w:pPr>
    </w:p>
    <w:p>
      <w:pPr>
        <w:pStyle w:val="ParagrapheIndent1"/>
        <w:spacing w:line="232" w:lineRule="exact"/>
        <w:jc w:val="both"/>
        <w:rPr>
          <w:color w:val="000000"/>
          <w:lang w:val="fr-FR"/>
        </w:rPr>
      </w:pPr>
      <w:r>
        <w:rPr>
          <w:color w:val="000000"/>
          <w:lang w:val="fr-FR"/>
        </w:rPr>
        <w:t>Si l’un des indices servant de référence à la mise en œuvre de la formule de variation de prix venait à être changé ou à disparaître pendant la période d’exécution du présent contrat, les parties conviennent de lui substituer l’indice préconisé par l’organisme qui a créé l’ancien indice, en utilisant le coefficient de raccordement qui s’y rattache.</w:t>
      </w:r>
    </w:p>
    <w:p>
      <w:pPr>
        <w:pStyle w:val="ParagrapheIndent1"/>
        <w:spacing w:line="232" w:lineRule="exact"/>
        <w:jc w:val="both"/>
        <w:rPr>
          <w:color w:val="000000"/>
          <w:lang w:val="fr-FR"/>
        </w:rPr>
      </w:pPr>
      <w:r>
        <w:rPr>
          <w:color w:val="000000"/>
          <w:lang w:val="fr-FR"/>
        </w:rPr>
        <w:t>Si aucun indice n’est prévu par l’organisme ci-dessus mentionné, les parties s’engagent à rechercher d’un commun accord un indice qui pourrait lui être substitué ayant des caractéristiques approchantes sans que l’application de ce nouvel indice n’entraîne un bouleversement de l’économie du contrat, ni une remise en cause des conditions de la mise en concurrence des soumissionnaires au présent marché.</w:t>
      </w:r>
    </w:p>
    <w:p>
      <w:pPr>
        <w:pStyle w:val="ParagrapheIndent1"/>
        <w:spacing w:line="232" w:lineRule="exact"/>
        <w:jc w:val="both"/>
        <w:rPr>
          <w:color w:val="000000"/>
          <w:lang w:val="fr-FR"/>
        </w:rPr>
      </w:pPr>
      <w:r>
        <w:rPr>
          <w:color w:val="000000"/>
          <w:lang w:val="fr-FR"/>
        </w:rPr>
        <w:t>Dans ce dernier cas, la mise en œuvre du nouvel indice nécessite la passation d'un avenant.</w:t>
      </w:r>
    </w:p>
    <w:p>
      <w:pPr>
        <w:pStyle w:val="ParagrapheIndent1"/>
        <w:spacing w:line="232" w:lineRule="exact"/>
        <w:jc w:val="both"/>
        <w:rPr>
          <w:color w:val="000000"/>
          <w:lang w:val="fr-FR"/>
        </w:rPr>
      </w:pPr>
    </w:p>
    <w:p>
      <w:pPr>
        <w:pStyle w:val="ParagrapheIndent1"/>
        <w:spacing w:after="240" w:line="232" w:lineRule="exact"/>
        <w:jc w:val="both"/>
        <w:rPr>
          <w:color w:val="000000"/>
          <w:lang w:val="fr-FR"/>
        </w:rPr>
      </w:pPr>
      <w:r>
        <w:rPr>
          <w:color w:val="000000"/>
          <w:lang w:val="fr-FR"/>
        </w:rPr>
        <w:t>Si l’un des indices servant de référence à la mise en œuvre de la formule de variation de prix augmente de façon trop importante, le pouvoir adjudicateur se réserve la possibilité de substituer cet indice par un indice plus favorable X mois avant la période de reconduction.</w:t>
      </w:r>
    </w:p>
    <w:p>
      <w:pPr>
        <w:pStyle w:val="Titre1"/>
        <w:shd w:val="clear" w:color="2A7CBF" w:fill="2A7CBF"/>
        <w:rPr>
          <w:rFonts w:ascii="Trebuchet MS" w:eastAsia="Trebuchet MS" w:hAnsi="Trebuchet MS" w:cs="Trebuchet MS"/>
          <w:color w:val="FFFFFF"/>
          <w:sz w:val="28"/>
          <w:lang w:val="fr-FR"/>
        </w:rPr>
      </w:pPr>
      <w:bookmarkStart w:id="67" w:name="ArtL1_NA39.1"/>
      <w:bookmarkStart w:id="68" w:name="_Toc256000034"/>
      <w:bookmarkEnd w:id="67"/>
      <w:r>
        <w:rPr>
          <w:rFonts w:ascii="Trebuchet MS" w:eastAsia="Trebuchet MS" w:hAnsi="Trebuchet MS" w:cs="Trebuchet MS"/>
          <w:color w:val="FFFFFF"/>
          <w:sz w:val="28"/>
          <w:lang w:val="fr-FR"/>
        </w:rPr>
        <w:t>17 - Responsabilité du titulaire</w:t>
      </w:r>
      <w:bookmarkEnd w:id="68"/>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69" w:name="ArtL2_NA39.1.1"/>
      <w:bookmarkStart w:id="70" w:name="_Toc256000035"/>
      <w:bookmarkEnd w:id="69"/>
      <w:r>
        <w:rPr>
          <w:rFonts w:ascii="Trebuchet MS" w:eastAsia="Trebuchet MS" w:hAnsi="Trebuchet MS" w:cs="Trebuchet MS"/>
          <w:i w:val="0"/>
          <w:color w:val="000000"/>
          <w:sz w:val="24"/>
          <w:lang w:val="fr-FR"/>
        </w:rPr>
        <w:t>17.1 - Obligation de conseil</w:t>
      </w:r>
      <w:bookmarkEnd w:id="70"/>
    </w:p>
    <w:p>
      <w:pPr>
        <w:pStyle w:val="ParagrapheIndent2"/>
        <w:spacing w:after="240"/>
        <w:jc w:val="both"/>
        <w:rPr>
          <w:color w:val="000000"/>
          <w:lang w:val="fr-FR"/>
        </w:rPr>
      </w:pPr>
      <w:r>
        <w:rPr>
          <w:color w:val="000000"/>
          <w:lang w:val="fr-FR"/>
        </w:rPr>
        <w:t>Le titulaire à un devoir de conseil et d’information pendant toute la durée du marché.</w:t>
      </w:r>
    </w:p>
    <w:p>
      <w:pPr>
        <w:pStyle w:val="Titre2"/>
        <w:ind w:left="280"/>
        <w:jc w:val="both"/>
        <w:rPr>
          <w:rFonts w:ascii="Trebuchet MS" w:eastAsia="Trebuchet MS" w:hAnsi="Trebuchet MS" w:cs="Trebuchet MS"/>
          <w:i w:val="0"/>
          <w:color w:val="000000"/>
          <w:sz w:val="24"/>
          <w:lang w:val="fr-FR"/>
        </w:rPr>
      </w:pPr>
      <w:bookmarkStart w:id="71" w:name="ArtL2_NA39.1.4"/>
      <w:bookmarkStart w:id="72" w:name="_Toc256000036"/>
      <w:bookmarkEnd w:id="71"/>
      <w:r>
        <w:rPr>
          <w:rFonts w:ascii="Trebuchet MS" w:eastAsia="Trebuchet MS" w:hAnsi="Trebuchet MS" w:cs="Trebuchet MS"/>
          <w:i w:val="0"/>
          <w:color w:val="000000"/>
          <w:sz w:val="24"/>
          <w:lang w:val="fr-FR"/>
        </w:rPr>
        <w:t>17.2 - En cas de changement de référence</w:t>
      </w:r>
      <w:bookmarkEnd w:id="72"/>
    </w:p>
    <w:p>
      <w:pPr>
        <w:pStyle w:val="ParagrapheIndent2"/>
        <w:spacing w:line="232" w:lineRule="exact"/>
        <w:jc w:val="both"/>
        <w:rPr>
          <w:color w:val="000000"/>
          <w:lang w:val="fr-FR"/>
        </w:rPr>
      </w:pPr>
      <w:r>
        <w:rPr>
          <w:color w:val="000000"/>
          <w:lang w:val="fr-FR"/>
        </w:rPr>
        <w:t>En cas d'évolutions technologiques, de changement de techniques, ou de modification de la réglementation en cours d'exécution du marché, le titulaire a la possibilité, après accord du CHU de Besançon, de modifier ou remplacer les fournitures faisant l'objet du marché par des fournitures jugées plus performantes ou plus adaptées aux besoins, sans supplément de prix.</w:t>
      </w:r>
    </w:p>
    <w:p>
      <w:pPr>
        <w:pStyle w:val="ParagrapheIndent2"/>
        <w:spacing w:line="232" w:lineRule="exact"/>
        <w:jc w:val="both"/>
        <w:rPr>
          <w:color w:val="000000"/>
          <w:lang w:val="fr-FR"/>
        </w:rPr>
      </w:pPr>
      <w:r>
        <w:rPr>
          <w:color w:val="000000"/>
          <w:lang w:val="fr-FR"/>
        </w:rPr>
        <w:t>Dans ce cas, le titulaire est tenu de produire un certificat indiquant :</w:t>
      </w:r>
    </w:p>
    <w:p>
      <w:pPr>
        <w:pStyle w:val="ParagrapheIndent2"/>
        <w:spacing w:line="232" w:lineRule="exact"/>
        <w:jc w:val="both"/>
        <w:rPr>
          <w:color w:val="000000"/>
          <w:lang w:val="fr-FR"/>
        </w:rPr>
      </w:pPr>
      <w:r>
        <w:rPr>
          <w:color w:val="000000"/>
          <w:lang w:val="fr-FR"/>
        </w:rPr>
        <w:t>- d'une part, que cette nouvelle référence se substitue à l'ancienne pour des raisons d'innovation technologique, de changement de technique ou de modification de la réglementation</w:t>
      </w:r>
    </w:p>
    <w:p>
      <w:pPr>
        <w:pStyle w:val="ParagrapheIndent2"/>
        <w:spacing w:line="232" w:lineRule="exact"/>
        <w:jc w:val="both"/>
        <w:rPr>
          <w:color w:val="000000"/>
          <w:lang w:val="fr-FR"/>
        </w:rPr>
      </w:pPr>
      <w:r>
        <w:rPr>
          <w:color w:val="000000"/>
          <w:lang w:val="fr-FR"/>
        </w:rPr>
        <w:t>- d'autre part, que le prix fixé au marché pour l'ancienne référence est maintenu pour la nouvelle.</w:t>
      </w:r>
    </w:p>
    <w:p>
      <w:pPr>
        <w:pStyle w:val="ParagrapheIndent2"/>
        <w:spacing w:after="240" w:line="232" w:lineRule="exact"/>
        <w:jc w:val="both"/>
        <w:rPr>
          <w:color w:val="000000"/>
          <w:lang w:val="fr-FR"/>
        </w:rPr>
      </w:pPr>
      <w:r>
        <w:rPr>
          <w:color w:val="000000"/>
          <w:lang w:val="fr-FR"/>
        </w:rPr>
        <w:t>A savoir que la substitution d’une référence par une autre référence ou l'ajout d'un produit identique (de taille différente par exemple) de la gamme au cours du marché, est possible, sans modification de marché, dès lors que le prix unitaire n’est pas supérieur au prix du marché, et que l’économie globale du marché ne s’en trouve pas bouleversée.</w:t>
      </w:r>
    </w:p>
    <w:p>
      <w:pPr>
        <w:pStyle w:val="Titre2"/>
        <w:ind w:left="280"/>
        <w:jc w:val="both"/>
        <w:rPr>
          <w:rFonts w:ascii="Trebuchet MS" w:eastAsia="Trebuchet MS" w:hAnsi="Trebuchet MS" w:cs="Trebuchet MS"/>
          <w:i w:val="0"/>
          <w:color w:val="000000"/>
          <w:sz w:val="24"/>
          <w:lang w:val="fr-FR"/>
        </w:rPr>
      </w:pPr>
      <w:bookmarkStart w:id="73" w:name="ArtL2_NA39.1.6"/>
      <w:bookmarkStart w:id="74" w:name="_Toc256000037"/>
      <w:bookmarkEnd w:id="73"/>
      <w:r>
        <w:rPr>
          <w:rFonts w:ascii="Trebuchet MS" w:eastAsia="Trebuchet MS" w:hAnsi="Trebuchet MS" w:cs="Trebuchet MS"/>
          <w:i w:val="0"/>
          <w:color w:val="000000"/>
          <w:sz w:val="24"/>
          <w:lang w:val="fr-FR"/>
        </w:rPr>
        <w:t>17.3 - En cas de changements affectant le titulaire</w:t>
      </w:r>
      <w:bookmarkEnd w:id="74"/>
    </w:p>
    <w:p>
      <w:pPr>
        <w:pStyle w:val="ParagrapheIndent2"/>
        <w:spacing w:line="232" w:lineRule="exact"/>
        <w:jc w:val="both"/>
        <w:rPr>
          <w:color w:val="000000"/>
          <w:lang w:val="fr-FR"/>
        </w:rPr>
      </w:pPr>
      <w:r>
        <w:rPr>
          <w:color w:val="000000"/>
          <w:lang w:val="fr-FR"/>
        </w:rPr>
        <w:t>En cas de changements dans l’entreprise affectant ou non sa forme juridique, sous peine du renvoi sans autre formalité de ses factures éventuellement en instance, le titulaire s’engage formellement à en informer ou à en faire informer directement et immédiatement par écrit le pouvoir adjudicateur.</w:t>
      </w:r>
    </w:p>
    <w:p>
      <w:pPr>
        <w:pStyle w:val="ParagrapheIndent2"/>
        <w:spacing w:line="232" w:lineRule="exact"/>
        <w:jc w:val="both"/>
        <w:rPr>
          <w:color w:val="000000"/>
          <w:lang w:val="fr-FR"/>
        </w:rPr>
      </w:pPr>
    </w:p>
    <w:p>
      <w:pPr>
        <w:pStyle w:val="ParagrapheIndent2"/>
        <w:spacing w:line="232" w:lineRule="exact"/>
        <w:jc w:val="both"/>
        <w:rPr>
          <w:color w:val="000000"/>
          <w:lang w:val="fr-FR"/>
        </w:rPr>
        <w:sectPr>
          <w:footerReference w:type="default" r:id="rId25"/>
          <w:pgSz w:w="11900" w:h="16840"/>
          <w:pgMar w:top="580" w:right="1140" w:bottom="580" w:left="1140" w:header="580" w:footer="580" w:gutter="0"/>
          <w:cols w:space="708"/>
        </w:sectPr>
      </w:pPr>
      <w:r>
        <w:rPr>
          <w:color w:val="000000"/>
          <w:lang w:val="fr-FR"/>
        </w:rPr>
        <w:t>De façon générale, le titulaire est tenu de notifier sans délai à l'acheteur toutes les modifications importantes concernant le fonctionnement de l'entreprise pouvant influer sur le déroulement du marché.</w:t>
      </w:r>
      <w:r>
        <w:rPr>
          <w:color w:val="000000"/>
          <w:lang w:val="fr-FR"/>
        </w:rPr>
        <w:cr/>
      </w:r>
    </w:p>
    <w:p>
      <w:pPr>
        <w:pStyle w:val="Titre2"/>
        <w:ind w:left="280"/>
        <w:jc w:val="both"/>
        <w:rPr>
          <w:rFonts w:ascii="Trebuchet MS" w:eastAsia="Trebuchet MS" w:hAnsi="Trebuchet MS" w:cs="Trebuchet MS"/>
          <w:i w:val="0"/>
          <w:color w:val="000000"/>
          <w:sz w:val="24"/>
          <w:lang w:val="fr-FR"/>
        </w:rPr>
      </w:pPr>
      <w:bookmarkStart w:id="75" w:name="ArtL2_NA39.1.8"/>
      <w:bookmarkStart w:id="76" w:name="_Toc256000038"/>
      <w:bookmarkEnd w:id="75"/>
      <w:r>
        <w:rPr>
          <w:rFonts w:ascii="Trebuchet MS" w:eastAsia="Trebuchet MS" w:hAnsi="Trebuchet MS" w:cs="Trebuchet MS"/>
          <w:i w:val="0"/>
          <w:color w:val="000000"/>
          <w:sz w:val="24"/>
          <w:lang w:val="fr-FR"/>
        </w:rPr>
        <w:lastRenderedPageBreak/>
        <w:t>17.4 - Attestations sociales et fiscales</w:t>
      </w:r>
      <w:bookmarkEnd w:id="76"/>
    </w:p>
    <w:p>
      <w:pPr>
        <w:pStyle w:val="ParagrapheIndent2"/>
        <w:spacing w:line="232" w:lineRule="exact"/>
        <w:jc w:val="both"/>
        <w:rPr>
          <w:color w:val="000000"/>
          <w:lang w:val="fr-FR"/>
        </w:rPr>
      </w:pPr>
      <w:r>
        <w:rPr>
          <w:color w:val="000000"/>
          <w:lang w:val="fr-FR"/>
        </w:rPr>
        <w:t>Le titulaire du marché devra transmettre tous les 6 mois pendant l’exécution du marché les attestations sociales et les informations relatives à la lutte contre le travail dissimulé ainsi que les documents afférents conformément aux articles D.8222-5 ou D.8222-7, D.8222-8 et D.8254-2 et suivants du code du travail.</w:t>
      </w:r>
    </w:p>
    <w:p>
      <w:pPr>
        <w:pStyle w:val="ParagrapheIndent2"/>
        <w:spacing w:after="240" w:line="232" w:lineRule="exact"/>
        <w:jc w:val="both"/>
        <w:rPr>
          <w:color w:val="000000"/>
          <w:lang w:val="fr-FR"/>
        </w:rPr>
      </w:pPr>
      <w:r>
        <w:rPr>
          <w:color w:val="000000"/>
          <w:lang w:val="fr-FR"/>
        </w:rPr>
        <w:t xml:space="preserve">Les opérateurs économiques sont invités à utiliser l’espace de stockage numérique disponible sur le profil acheteur </w:t>
      </w:r>
      <w:hyperlink r:id="rId26" w:history="1">
        <w:r>
          <w:rPr>
            <w:color w:val="000000"/>
            <w:lang w:val="fr-FR"/>
          </w:rPr>
          <w:t>https://www.marches-publics.gouv.fr</w:t>
        </w:r>
      </w:hyperlink>
      <w:r>
        <w:rPr>
          <w:color w:val="000000"/>
          <w:lang w:val="fr-FR"/>
        </w:rPr>
        <w:t xml:space="preserve"> afin d’y déposer et mettre régulièrement à jour les pièces.</w:t>
      </w:r>
    </w:p>
    <w:p>
      <w:pPr>
        <w:pStyle w:val="Titre2"/>
        <w:ind w:left="280"/>
        <w:jc w:val="both"/>
        <w:rPr>
          <w:rFonts w:ascii="Trebuchet MS" w:eastAsia="Trebuchet MS" w:hAnsi="Trebuchet MS" w:cs="Trebuchet MS"/>
          <w:i w:val="0"/>
          <w:color w:val="000000"/>
          <w:sz w:val="24"/>
          <w:lang w:val="fr-FR"/>
        </w:rPr>
      </w:pPr>
      <w:bookmarkStart w:id="77" w:name="ArtL2_NA39.1.5"/>
      <w:bookmarkStart w:id="78" w:name="_Toc256000039"/>
      <w:bookmarkEnd w:id="77"/>
      <w:r>
        <w:rPr>
          <w:rFonts w:ascii="Trebuchet MS" w:eastAsia="Trebuchet MS" w:hAnsi="Trebuchet MS" w:cs="Trebuchet MS"/>
          <w:i w:val="0"/>
          <w:color w:val="000000"/>
          <w:sz w:val="24"/>
          <w:lang w:val="fr-FR"/>
        </w:rPr>
        <w:t>17.5 - Rupture de stock</w:t>
      </w:r>
      <w:bookmarkEnd w:id="78"/>
    </w:p>
    <w:p>
      <w:pPr>
        <w:pStyle w:val="ParagrapheIndent2"/>
        <w:spacing w:line="232" w:lineRule="exact"/>
        <w:jc w:val="both"/>
        <w:rPr>
          <w:color w:val="000000"/>
          <w:lang w:val="fr-FR"/>
        </w:rPr>
      </w:pPr>
      <w:r>
        <w:rPr>
          <w:color w:val="000000"/>
          <w:lang w:val="fr-FR"/>
        </w:rPr>
        <w:t>En cas de rupture de stock d’un produit, ou de l'arrêt de commercialisation d'un produit retenu au marché, le titulaire du marché est tenu d'en informer dans les plus brefs délais le pouvoir adjudicateur. </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Le titulaire est tenu de proposer un produit de substitution au même prix et comportant les mêmes caractéristiques techniques que le produit original, et ce, sous réserve que l’utilisateur donne son accord. Le titulaire devra fournir à l’appui, une fiche technique du produit de substitution voire un échantillon avant envoi des produits.</w:t>
      </w:r>
    </w:p>
    <w:p>
      <w:pPr>
        <w:pStyle w:val="Titre1"/>
        <w:shd w:val="clear" w:color="2A7CBF" w:fill="2A7CBF"/>
        <w:rPr>
          <w:rFonts w:ascii="Trebuchet MS" w:eastAsia="Trebuchet MS" w:hAnsi="Trebuchet MS" w:cs="Trebuchet MS"/>
          <w:color w:val="FFFFFF"/>
          <w:sz w:val="28"/>
          <w:lang w:val="fr-FR"/>
        </w:rPr>
      </w:pPr>
      <w:bookmarkStart w:id="79" w:name="ArtL1_CCAP-1-A34"/>
      <w:bookmarkStart w:id="80" w:name="_Toc256000040"/>
      <w:bookmarkEnd w:id="79"/>
      <w:r>
        <w:rPr>
          <w:rFonts w:ascii="Trebuchet MS" w:eastAsia="Trebuchet MS" w:hAnsi="Trebuchet MS" w:cs="Trebuchet MS"/>
          <w:color w:val="FFFFFF"/>
          <w:sz w:val="28"/>
          <w:lang w:val="fr-FR"/>
        </w:rPr>
        <w:t>18 - Résiliation du contrat</w:t>
      </w:r>
      <w:bookmarkEnd w:id="80"/>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81" w:name="ArtL2_CCAP-1-A34.1"/>
      <w:bookmarkStart w:id="82" w:name="_Toc256000041"/>
      <w:bookmarkEnd w:id="81"/>
      <w:r>
        <w:rPr>
          <w:rFonts w:ascii="Trebuchet MS" w:eastAsia="Trebuchet MS" w:hAnsi="Trebuchet MS" w:cs="Trebuchet MS"/>
          <w:i w:val="0"/>
          <w:color w:val="000000"/>
          <w:sz w:val="24"/>
          <w:lang w:val="fr-FR"/>
        </w:rPr>
        <w:t>18.1 - Conditions de résiliation de l'accord-cadre</w:t>
      </w:r>
      <w:bookmarkEnd w:id="82"/>
    </w:p>
    <w:p>
      <w:pPr>
        <w:pStyle w:val="ParagrapheIndent2"/>
        <w:spacing w:after="240"/>
        <w:jc w:val="both"/>
        <w:rPr>
          <w:color w:val="000000"/>
          <w:lang w:val="fr-FR"/>
        </w:rPr>
      </w:pPr>
      <w:r>
        <w:rPr>
          <w:color w:val="000000"/>
          <w:lang w:val="fr-FR"/>
        </w:rPr>
        <w:t>Les conditions de résiliation de l'accord-cadre sont définies aux articles 38 à 45 du CCAG-FCS.</w:t>
      </w:r>
    </w:p>
    <w:p>
      <w:pPr>
        <w:pStyle w:val="ParagrapheIndent2"/>
        <w:spacing w:after="240" w:line="232" w:lineRule="exact"/>
        <w:jc w:val="both"/>
        <w:rPr>
          <w:color w:val="000000"/>
          <w:lang w:val="fr-FR"/>
        </w:rPr>
      </w:pPr>
      <w:r>
        <w:rPr>
          <w:color w:val="000000"/>
          <w:lang w:val="fr-FR"/>
        </w:rPr>
        <w:t>En cas de résiliation de l'accord-cadre pour motif d'intérêt général par le pouvoir adjudicateur, le titulaire ne percevra aucune indemnisation.</w:t>
      </w:r>
    </w:p>
    <w:p>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pPr>
        <w:pStyle w:val="Titre2"/>
        <w:ind w:left="280"/>
        <w:jc w:val="both"/>
        <w:rPr>
          <w:rFonts w:ascii="Trebuchet MS" w:eastAsia="Trebuchet MS" w:hAnsi="Trebuchet MS" w:cs="Trebuchet MS"/>
          <w:i w:val="0"/>
          <w:color w:val="000000"/>
          <w:sz w:val="24"/>
          <w:lang w:val="fr-FR"/>
        </w:rPr>
      </w:pPr>
      <w:bookmarkStart w:id="83" w:name="ArtL2_CCAP-1-A34.3"/>
      <w:bookmarkStart w:id="84" w:name="_Toc256000042"/>
      <w:bookmarkEnd w:id="83"/>
      <w:r>
        <w:rPr>
          <w:rFonts w:ascii="Trebuchet MS" w:eastAsia="Trebuchet MS" w:hAnsi="Trebuchet MS" w:cs="Trebuchet MS"/>
          <w:i w:val="0"/>
          <w:color w:val="000000"/>
          <w:sz w:val="24"/>
          <w:lang w:val="fr-FR"/>
        </w:rPr>
        <w:t>18.2 - Redressement ou liquidation judiciaire</w:t>
      </w:r>
      <w:bookmarkEnd w:id="84"/>
    </w:p>
    <w:p>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pPr>
        <w:pStyle w:val="ParagrapheIndent2"/>
        <w:spacing w:line="232" w:lineRule="exact"/>
        <w:jc w:val="both"/>
        <w:rPr>
          <w:color w:val="000000"/>
          <w:lang w:val="fr-FR"/>
        </w:rPr>
      </w:pPr>
    </w:p>
    <w:p>
      <w:pPr>
        <w:pStyle w:val="ParagrapheIndent2"/>
        <w:spacing w:line="232" w:lineRule="exact"/>
        <w:jc w:val="both"/>
        <w:rPr>
          <w:color w:val="000000"/>
          <w:lang w:val="fr-FR"/>
        </w:rPr>
        <w:sectPr>
          <w:footerReference w:type="default" r:id="rId27"/>
          <w:pgSz w:w="11900" w:h="16840"/>
          <w:pgMar w:top="580" w:right="1140" w:bottom="580" w:left="1140" w:header="580" w:footer="580" w:gutter="0"/>
          <w:cols w:space="708"/>
        </w:sectPr>
      </w:pPr>
      <w:r>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r>
        <w:rPr>
          <w:color w:val="000000"/>
          <w:lang w:val="fr-FR"/>
        </w:rPr>
        <w:cr/>
      </w:r>
    </w:p>
    <w:p>
      <w:pPr>
        <w:pStyle w:val="Titre1"/>
        <w:shd w:val="clear" w:color="2A7CBF" w:fill="2A7CBF"/>
        <w:rPr>
          <w:rFonts w:ascii="Trebuchet MS" w:eastAsia="Trebuchet MS" w:hAnsi="Trebuchet MS" w:cs="Trebuchet MS"/>
          <w:color w:val="FFFFFF"/>
          <w:sz w:val="28"/>
          <w:lang w:val="fr-FR"/>
        </w:rPr>
      </w:pPr>
      <w:bookmarkStart w:id="85" w:name="ArtL1_CCAP-1-A35"/>
      <w:bookmarkStart w:id="86" w:name="_Toc256000043"/>
      <w:bookmarkEnd w:id="85"/>
      <w:r>
        <w:rPr>
          <w:rFonts w:ascii="Trebuchet MS" w:eastAsia="Trebuchet MS" w:hAnsi="Trebuchet MS" w:cs="Trebuchet MS"/>
          <w:color w:val="FFFFFF"/>
          <w:sz w:val="28"/>
          <w:lang w:val="fr-FR"/>
        </w:rPr>
        <w:lastRenderedPageBreak/>
        <w:t>19 - Règlement des litiges et langues</w:t>
      </w:r>
      <w:bookmarkEnd w:id="86"/>
    </w:p>
    <w:p>
      <w:pPr>
        <w:spacing w:line="60" w:lineRule="exact"/>
        <w:rPr>
          <w:sz w:val="6"/>
          <w:lang w:val="fr-FR"/>
        </w:rPr>
      </w:pPr>
      <w:r>
        <w:rPr>
          <w:lang w:val="fr-FR"/>
        </w:rPr>
        <w:t xml:space="preserve"> </w:t>
      </w:r>
    </w:p>
    <w:p>
      <w:pPr>
        <w:pStyle w:val="ParagrapheIndent1"/>
        <w:spacing w:after="240"/>
        <w:jc w:val="both"/>
        <w:rPr>
          <w:color w:val="000000"/>
          <w:lang w:val="fr-FR"/>
        </w:rPr>
      </w:pPr>
      <w:r>
        <w:rPr>
          <w:color w:val="000000"/>
          <w:lang w:val="fr-FR"/>
        </w:rPr>
        <w:t>En cas de litige, seul le Tribunal Administratif de Besançon est compétent en la matière.</w:t>
      </w:r>
    </w:p>
    <w:p>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pPr>
        <w:pStyle w:val="Titre1"/>
        <w:shd w:val="clear" w:color="2A7CBF" w:fill="2A7CBF"/>
        <w:rPr>
          <w:rFonts w:ascii="Trebuchet MS" w:eastAsia="Trebuchet MS" w:hAnsi="Trebuchet MS" w:cs="Trebuchet MS"/>
          <w:color w:val="FFFFFF"/>
          <w:sz w:val="28"/>
          <w:lang w:val="fr-FR"/>
        </w:rPr>
      </w:pPr>
      <w:bookmarkStart w:id="87" w:name="ArtL1_CCAP-1-A38"/>
      <w:bookmarkStart w:id="88" w:name="_Toc256000044"/>
      <w:bookmarkEnd w:id="87"/>
      <w:r>
        <w:rPr>
          <w:rFonts w:ascii="Trebuchet MS" w:eastAsia="Trebuchet MS" w:hAnsi="Trebuchet MS" w:cs="Trebuchet MS"/>
          <w:color w:val="FFFFFF"/>
          <w:sz w:val="28"/>
          <w:lang w:val="fr-FR"/>
        </w:rPr>
        <w:t>20 - Dérogations</w:t>
      </w:r>
      <w:bookmarkEnd w:id="88"/>
    </w:p>
    <w:p>
      <w:pPr>
        <w:spacing w:line="60" w:lineRule="exact"/>
        <w:rPr>
          <w:sz w:val="6"/>
          <w:lang w:val="fr-FR"/>
        </w:rPr>
      </w:pPr>
      <w:r>
        <w:rPr>
          <w:lang w:val="fr-FR"/>
        </w:rPr>
        <w:t xml:space="preserve"> </w:t>
      </w:r>
    </w:p>
    <w:p>
      <w:pPr>
        <w:pStyle w:val="ParagrapheIndent1"/>
        <w:spacing w:line="232" w:lineRule="exact"/>
        <w:jc w:val="both"/>
        <w:rPr>
          <w:color w:val="000000"/>
          <w:lang w:val="fr-FR"/>
        </w:rPr>
      </w:pPr>
      <w:r>
        <w:rPr>
          <w:color w:val="000000"/>
          <w:lang w:val="fr-FR"/>
        </w:rPr>
        <w:t>- L'article 4 du CCAP déroge à l'article 5.2 du CCAG - Fournitures Courantes et Services</w:t>
      </w:r>
    </w:p>
    <w:p>
      <w:pPr>
        <w:pStyle w:val="ParagrapheIndent1"/>
        <w:spacing w:line="232" w:lineRule="exact"/>
        <w:jc w:val="both"/>
        <w:rPr>
          <w:color w:val="000000"/>
          <w:lang w:val="fr-FR"/>
        </w:rPr>
      </w:pPr>
      <w:r>
        <w:rPr>
          <w:color w:val="000000"/>
          <w:lang w:val="fr-FR"/>
        </w:rPr>
        <w:t>- L'article 11 du CCAP déroge à l'article 16.2 du CCAG - Fournitures Courantes et Services 2021</w:t>
      </w:r>
    </w:p>
    <w:p>
      <w:pPr>
        <w:pStyle w:val="ParagrapheIndent1"/>
        <w:spacing w:line="232" w:lineRule="exact"/>
        <w:jc w:val="both"/>
        <w:rPr>
          <w:color w:val="000000"/>
          <w:lang w:val="fr-FR"/>
        </w:rPr>
      </w:pPr>
      <w:r>
        <w:rPr>
          <w:color w:val="000000"/>
          <w:lang w:val="fr-FR"/>
        </w:rPr>
        <w:t>- L'article 14.1 du CCAP déroge à l'article 14.1.1 du CCAG - Fournitures Courantes et Services</w:t>
      </w:r>
    </w:p>
    <w:p>
      <w:pPr>
        <w:pStyle w:val="ParagrapheIndent1"/>
        <w:spacing w:line="232" w:lineRule="exact"/>
        <w:jc w:val="both"/>
        <w:rPr>
          <w:color w:val="000000"/>
          <w:lang w:val="fr-FR"/>
        </w:rPr>
      </w:pPr>
      <w:r>
        <w:rPr>
          <w:color w:val="000000"/>
          <w:lang w:val="fr-FR"/>
        </w:rPr>
        <w:t>- L'article 14.1 du CCAP déroge à l'article 14.1.3 du CCAG - Fournitures Courantes et Services</w:t>
      </w:r>
    </w:p>
    <w:p>
      <w:pPr>
        <w:pStyle w:val="ParagrapheIndent1"/>
        <w:spacing w:line="232" w:lineRule="exact"/>
        <w:jc w:val="both"/>
        <w:rPr>
          <w:color w:val="000000"/>
          <w:lang w:val="fr-FR"/>
        </w:rPr>
      </w:pPr>
      <w:r>
        <w:rPr>
          <w:color w:val="000000"/>
          <w:lang w:val="fr-FR"/>
        </w:rPr>
        <w:t>- L'article 14.1 du CCAP déroge à l'article 14.1.2 du CCAG - Fournitures Courantes et Services</w:t>
      </w:r>
    </w:p>
    <w:p>
      <w:pPr>
        <w:pStyle w:val="ParagrapheIndent1"/>
        <w:spacing w:line="232" w:lineRule="exact"/>
        <w:jc w:val="both"/>
        <w:rPr>
          <w:color w:val="000000"/>
          <w:lang w:val="fr-FR"/>
        </w:rPr>
      </w:pPr>
      <w:r>
        <w:rPr>
          <w:color w:val="000000"/>
          <w:lang w:val="fr-FR"/>
        </w:rPr>
        <w:t>- L'article 14.1 du CCAP déroge à l'article 14.1.1 alinéa 2 du CCAG - Fournitures Courantes et Services</w:t>
      </w:r>
    </w:p>
    <w:p>
      <w:pPr>
        <w:pStyle w:val="ParagrapheIndent1"/>
        <w:spacing w:line="232" w:lineRule="exact"/>
        <w:jc w:val="both"/>
        <w:rPr>
          <w:color w:val="000000"/>
          <w:lang w:val="fr-FR"/>
        </w:rPr>
      </w:pPr>
      <w:r>
        <w:rPr>
          <w:color w:val="000000"/>
          <w:lang w:val="fr-FR"/>
        </w:rPr>
        <w:t>- L'article 15 du CCAP déroge à l'article 9.2 du CCAG - Fournitures Courantes et Services</w:t>
      </w:r>
    </w:p>
    <w:p>
      <w:pPr>
        <w:pStyle w:val="ParagrapheIndent1"/>
        <w:spacing w:line="232" w:lineRule="exact"/>
        <w:jc w:val="both"/>
        <w:rPr>
          <w:color w:val="000000"/>
          <w:lang w:val="fr-FR"/>
        </w:rPr>
      </w:pPr>
      <w:r>
        <w:rPr>
          <w:color w:val="000000"/>
          <w:lang w:val="fr-FR"/>
        </w:rPr>
        <w:t>- L'article 18.1 du CCAP déroge à l'article 42 du CCAG - Fournitures Courantes et Services</w:t>
      </w:r>
    </w:p>
    <w:p>
      <w:pPr>
        <w:pStyle w:val="ParagrapheIndent1"/>
        <w:spacing w:line="232" w:lineRule="exact"/>
        <w:jc w:val="both"/>
        <w:rPr>
          <w:color w:val="000000"/>
          <w:lang w:val="fr-FR"/>
        </w:rPr>
      </w:pPr>
    </w:p>
    <w:sectPr>
      <w:footerReference w:type="default" r:id="rId28"/>
      <w:pgSz w:w="11900" w:h="16840"/>
      <w:pgMar w:top="580" w:right="1140" w:bottom="580" w:left="1140" w:header="580" w:footer="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ED6ADA-57E7-4826-9764-E954184F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spacing w:after="120"/>
      <w:outlineLvl w:val="0"/>
    </w:pPr>
    <w:rPr>
      <w:rFonts w:ascii="Arial" w:hAnsi="Arial" w:cs="Arial"/>
      <w:b/>
      <w:bCs/>
      <w:kern w:val="32"/>
      <w:sz w:val="32"/>
      <w:szCs w:val="32"/>
    </w:rPr>
  </w:style>
  <w:style w:type="paragraph" w:styleId="Titre2">
    <w:name w:val="heading 2"/>
    <w:basedOn w:val="Normal"/>
    <w:next w:val="Normal"/>
    <w:qFormat/>
    <w:pPr>
      <w:keepNext/>
      <w:spacing w:after="60"/>
      <w:outlineLvl w:val="1"/>
    </w:pPr>
    <w:rPr>
      <w:rFonts w:ascii="Arial" w:hAnsi="Arial" w:cs="Arial"/>
      <w:b/>
      <w:bCs/>
      <w:i/>
      <w:iCs/>
      <w:sz w:val="28"/>
      <w:szCs w:val="28"/>
    </w:rPr>
  </w:style>
  <w:style w:type="paragraph" w:styleId="Titre3">
    <w:name w:val="heading 3"/>
    <w:basedOn w:val="Normal"/>
    <w:next w:val="Normal"/>
    <w:qFormat/>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style>
  <w:style w:type="character" w:styleId="Lienhypertexte">
    <w:name w:val="Hyperlink"/>
    <w:basedOn w:val="Policepardfaut"/>
    <w:rPr>
      <w:color w:val="0000FF"/>
      <w:u w:val="single"/>
    </w:rPr>
  </w:style>
  <w:style w:type="paragraph" w:styleId="TM2">
    <w:name w:val="toc 2"/>
    <w:basedOn w:val="Normal"/>
    <w:next w:val="Normal"/>
    <w:autoRedefin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26" Type="http://schemas.openxmlformats.org/officeDocument/2006/relationships/hyperlink" Target="https://www.marches-publics.gouv.fr" TargetMode="External"/><Relationship Id="rId3" Type="http://schemas.openxmlformats.org/officeDocument/2006/relationships/webSettings" Target="webSettings.xml"/><Relationship Id="rId21" Type="http://schemas.openxmlformats.org/officeDocument/2006/relationships/footer" Target="footer4.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8.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7.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6.xml"/><Relationship Id="rId28" Type="http://schemas.openxmlformats.org/officeDocument/2006/relationships/footer" Target="footer10.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5.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5038</Words>
  <Characters>30005</Characters>
  <Application>Microsoft Office Word</Application>
  <DocSecurity>0</DocSecurity>
  <Lines>250</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HURTARD</dc:creator>
  <cp:lastModifiedBy>Julie SAUQUET</cp:lastModifiedBy>
  <cp:revision>7</cp:revision>
  <dcterms:created xsi:type="dcterms:W3CDTF">2025-07-09T09:49:00Z</dcterms:created>
  <dcterms:modified xsi:type="dcterms:W3CDTF">2025-07-16T12:03:00Z</dcterms:modified>
</cp:coreProperties>
</file>