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2.jpeg" ContentType="image/jpeg"/>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Arial" w:hAnsi="Arial"/>
        </w:rPr>
      </w:pPr>
      <w:r>
        <w:rPr>
          <w:rFonts w:ascii="Arial" w:hAnsi="Arial"/>
        </w:rPr>
        <w:drawing>
          <wp:anchor behindDoc="0" distT="0" distB="0" distL="0" distR="0" simplePos="0" locked="0" layoutInCell="0" allowOverlap="1" relativeHeight="5">
            <wp:simplePos x="0" y="0"/>
            <wp:positionH relativeFrom="column">
              <wp:posOffset>3204210</wp:posOffset>
            </wp:positionH>
            <wp:positionV relativeFrom="paragraph">
              <wp:posOffset>-290830</wp:posOffset>
            </wp:positionV>
            <wp:extent cx="2324735" cy="689610"/>
            <wp:effectExtent l="0" t="0" r="0" b="0"/>
            <wp:wrapSquare wrapText="largest"/>
            <wp:docPr id="1" name="Image2 Copi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Copie 1" descr=""/>
                    <pic:cNvPicPr>
                      <a:picLocks noChangeAspect="1" noChangeArrowheads="1"/>
                    </pic:cNvPicPr>
                  </pic:nvPicPr>
                  <pic:blipFill>
                    <a:blip r:embed="rId2"/>
                    <a:stretch>
                      <a:fillRect/>
                    </a:stretch>
                  </pic:blipFill>
                  <pic:spPr bwMode="auto">
                    <a:xfrm>
                      <a:off x="0" y="0"/>
                      <a:ext cx="2324735" cy="689610"/>
                    </a:xfrm>
                    <a:prstGeom prst="rect">
                      <a:avLst/>
                    </a:prstGeom>
                  </pic:spPr>
                </pic:pic>
              </a:graphicData>
            </a:graphic>
          </wp:anchor>
        </w:drawing>
      </w:r>
    </w:p>
    <w:p>
      <w:pPr>
        <w:pStyle w:val="BodyText"/>
        <w:widowControl/>
        <w:tabs>
          <w:tab w:val="clear" w:pos="708"/>
        </w:tabs>
        <w:bidi w:val="0"/>
        <w:spacing w:before="0" w:after="0"/>
        <w:ind w:hanging="0" w:left="0" w:right="0"/>
        <w:jc w:val="right"/>
        <w:rPr>
          <w:rFonts w:ascii="Arial" w:hAnsi="Arial"/>
          <w:b/>
          <w:bCs/>
          <w:sz w:val="22"/>
          <w:szCs w:val="22"/>
        </w:rPr>
      </w:pPr>
      <w:r>
        <w:rPr>
          <w:rFonts w:ascii="Arial" w:hAnsi="Arial"/>
          <w:b/>
          <w:bCs/>
          <w:sz w:val="22"/>
          <w:szCs w:val="22"/>
        </w:rPr>
      </w:r>
    </w:p>
    <w:p>
      <w:pPr>
        <w:pStyle w:val="BodyText"/>
        <w:widowControl/>
        <w:tabs>
          <w:tab w:val="clear" w:pos="708"/>
        </w:tabs>
        <w:bidi w:val="0"/>
        <w:spacing w:before="0" w:after="0"/>
        <w:ind w:hanging="0" w:left="0" w:right="0"/>
        <w:jc w:val="left"/>
        <w:rPr/>
      </w:pPr>
      <w:r>
        <w:rPr/>
        <mc:AlternateContent>
          <mc:Choice Requires="wps">
            <w:drawing>
              <wp:anchor behindDoc="0" distT="0" distB="0" distL="0" distR="0" simplePos="0" locked="0" layoutInCell="1" allowOverlap="1" relativeHeight="6">
                <wp:simplePos x="0" y="0"/>
                <wp:positionH relativeFrom="column">
                  <wp:posOffset>2689860</wp:posOffset>
                </wp:positionH>
                <wp:positionV relativeFrom="paragraph">
                  <wp:posOffset>362585</wp:posOffset>
                </wp:positionV>
                <wp:extent cx="3657600" cy="327025"/>
                <wp:effectExtent l="0" t="0" r="0" b="0"/>
                <wp:wrapNone/>
                <wp:docPr id="2" name="Cadre de texte 1"/>
                <a:graphic xmlns:a="http://schemas.openxmlformats.org/drawingml/2006/main">
                  <a:graphicData uri="http://schemas.microsoft.com/office/word/2010/wordprocessingShape">
                    <wps:wsp>
                      <wps:cNvSpPr/>
                      <wps:spPr>
                        <a:xfrm>
                          <a:off x="0" y="0"/>
                          <a:ext cx="3657600" cy="326880"/>
                        </a:xfrm>
                        <a:prstGeom prst="rect">
                          <a:avLst/>
                        </a:prstGeom>
                        <a:noFill/>
                        <a:ln w="0">
                          <a:noFill/>
                        </a:ln>
                      </wps:spPr>
                      <wps:style>
                        <a:lnRef idx="0"/>
                        <a:fillRef idx="0"/>
                        <a:effectRef idx="0"/>
                        <a:fontRef idx="minor"/>
                      </wps:style>
                      <wps:txbx>
                        <w:txbxContent>
                          <w:p>
                            <w:pPr>
                              <w:pStyle w:val="Contenudecadre"/>
                              <w:overflowPunct w:val="true"/>
                              <w:spacing w:lineRule="auto" w:line="240" w:before="0" w:after="0"/>
                              <w:rPr>
                                <w:color w:val="000000"/>
                              </w:rPr>
                            </w:pPr>
                            <w:r>
                              <w:rPr>
                                <w:rFonts w:eastAsia="Calibri" w:cs="" w:cstheme="minorBidi" w:eastAsiaTheme="minorHAnsi"/>
                                <w:b/>
                                <w:bCs/>
                                <w:color w:val="000000"/>
                                <w:sz w:val="22"/>
                                <w:szCs w:val="22"/>
                              </w:rPr>
                              <w:t>Secrétariat Général pour les Affaires Régionales</w:t>
                            </w:r>
                          </w:p>
                        </w:txbxContent>
                      </wps:txbx>
                      <wps:bodyPr lIns="0" rIns="0" tIns="0" bIns="0" anchor="t">
                        <a:noAutofit/>
                      </wps:bodyPr>
                    </wps:wsp>
                  </a:graphicData>
                </a:graphic>
              </wp:anchor>
            </w:drawing>
          </mc:Choice>
          <mc:Fallback>
            <w:pict>
              <v:rect id="shape_0" ID="Cadre de texte 1" path="m0,0l-2147483645,0l-2147483645,-2147483646l0,-2147483646xe" stroked="f" o:allowincell="f" style="position:absolute;margin-left:211.8pt;margin-top:28.55pt;width:287.95pt;height:25.7pt;mso-wrap-style:square;v-text-anchor:top">
                <v:fill o:detectmouseclick="t" on="false"/>
                <v:stroke color="#3465a4" joinstyle="round" endcap="flat"/>
                <v:textbox>
                  <w:txbxContent>
                    <w:p>
                      <w:pPr>
                        <w:pStyle w:val="Contenudecadre"/>
                        <w:overflowPunct w:val="true"/>
                        <w:spacing w:lineRule="auto" w:line="240" w:before="0" w:after="0"/>
                        <w:rPr>
                          <w:color w:val="000000"/>
                        </w:rPr>
                      </w:pPr>
                      <w:r>
                        <w:rPr>
                          <w:rFonts w:eastAsia="Calibri" w:cs="" w:cstheme="minorBidi" w:eastAsiaTheme="minorHAnsi"/>
                          <w:b/>
                          <w:bCs/>
                          <w:color w:val="000000"/>
                          <w:sz w:val="22"/>
                          <w:szCs w:val="22"/>
                        </w:rPr>
                        <w:t>Secrétariat Général pour les Affaires Régionales</w:t>
                      </w:r>
                    </w:p>
                  </w:txbxContent>
                </v:textbox>
                <w10:wrap type="none"/>
              </v:rect>
            </w:pict>
          </mc:Fallback>
        </mc:AlternateContent>
        <w:drawing>
          <wp:inline distT="0" distB="0" distL="0" distR="0">
            <wp:extent cx="2167255" cy="1572895"/>
            <wp:effectExtent l="0" t="0" r="0" b="0"/>
            <wp:docPr id="3" name="Imag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
                    <pic:cNvPicPr>
                      <a:picLocks noChangeAspect="1" noChangeArrowheads="1"/>
                    </pic:cNvPicPr>
                  </pic:nvPicPr>
                  <pic:blipFill>
                    <a:blip r:embed="rId3"/>
                    <a:stretch>
                      <a:fillRect/>
                    </a:stretch>
                  </pic:blipFill>
                  <pic:spPr bwMode="auto">
                    <a:xfrm>
                      <a:off x="0" y="0"/>
                      <a:ext cx="2167255" cy="1572895"/>
                    </a:xfrm>
                    <a:prstGeom prst="rect">
                      <a:avLst/>
                    </a:prstGeom>
                  </pic:spPr>
                </pic:pic>
              </a:graphicData>
            </a:graphic>
          </wp:inline>
        </w:drawing>
      </w:r>
    </w:p>
    <w:p>
      <w:pPr>
        <w:pStyle w:val="western"/>
        <w:pBdr>
          <w:top w:val="single" w:sz="4" w:space="1" w:color="000000"/>
          <w:left w:val="single" w:sz="4" w:space="4" w:color="000000"/>
          <w:bottom w:val="single" w:sz="4" w:space="1" w:color="000000"/>
          <w:right w:val="single" w:sz="4" w:space="4" w:color="000000"/>
        </w:pBdr>
        <w:spacing w:before="0" w:after="0"/>
        <w:jc w:val="center"/>
        <w:rPr>
          <w:rFonts w:ascii="Arial" w:hAnsi="Arial" w:cs="Times New Roman"/>
          <w:b/>
          <w:bCs/>
          <w:sz w:val="28"/>
          <w:szCs w:val="28"/>
        </w:rPr>
      </w:pPr>
      <w:r>
        <w:rPr>
          <w:rFonts w:cs="Times New Roman"/>
          <w:b/>
          <w:bCs/>
          <w:sz w:val="28"/>
          <w:szCs w:val="28"/>
        </w:rPr>
        <w:t>Cadre de réponse technique</w:t>
      </w:r>
    </w:p>
    <w:p>
      <w:pPr>
        <w:pStyle w:val="western"/>
        <w:pBdr>
          <w:top w:val="single" w:sz="4" w:space="1" w:color="000000"/>
          <w:left w:val="single" w:sz="4" w:space="4" w:color="000000"/>
          <w:bottom w:val="single" w:sz="4" w:space="1" w:color="000000"/>
          <w:right w:val="single" w:sz="4" w:space="4" w:color="000000"/>
        </w:pBdr>
        <w:spacing w:before="0" w:after="0"/>
        <w:jc w:val="center"/>
        <w:rPr>
          <w:i w:val="false"/>
          <w:i w:val="false"/>
          <w:iCs w:val="false"/>
        </w:rPr>
      </w:pPr>
      <w:r>
        <w:rPr>
          <w:rFonts w:cs="Times New Roman"/>
          <w:b w:val="false"/>
          <w:bCs w:val="false"/>
          <w:i w:val="false"/>
          <w:iCs w:val="false"/>
          <w:sz w:val="28"/>
          <w:szCs w:val="28"/>
        </w:rPr>
        <w:t>Annexe 3 au règlement de la consultation</w:t>
      </w:r>
    </w:p>
    <w:p>
      <w:pPr>
        <w:pStyle w:val="Normal"/>
        <w:rPr>
          <w:rFonts w:ascii="Arial" w:hAnsi="Arial"/>
        </w:rPr>
      </w:pPr>
      <w:r>
        <w:rPr>
          <w:rFonts w:ascii="Arial" w:hAnsi="Arial"/>
        </w:rPr>
      </w:r>
    </w:p>
    <w:p>
      <w:pPr>
        <w:pStyle w:val="Contenudetableau"/>
        <w:pBdr>
          <w:top w:val="single" w:sz="8" w:space="1" w:color="000000"/>
          <w:left w:val="single" w:sz="8" w:space="1" w:color="000000"/>
          <w:bottom w:val="single" w:sz="8" w:space="1" w:color="000000"/>
          <w:right w:val="single" w:sz="8" w:space="1" w:color="000000"/>
        </w:pBdr>
        <w:tabs>
          <w:tab w:val="clear" w:pos="708"/>
        </w:tabs>
        <w:spacing w:lineRule="auto" w:line="240" w:before="0" w:after="0"/>
        <w:ind w:hanging="0" w:left="0" w:right="0"/>
        <w:jc w:val="center"/>
        <w:textAlignment w:val="center"/>
        <w:rPr>
          <w:rFonts w:ascii="Arial" w:hAnsi="Arial" w:eastAsia="Times New Roman" w:cs="Arial"/>
          <w:b/>
          <w:bCs/>
          <w:i w:val="false"/>
          <w:i w:val="false"/>
          <w:iCs w:val="false"/>
          <w:color w:val="auto"/>
          <w:sz w:val="24"/>
          <w:szCs w:val="24"/>
          <w:shd w:fill="FFFFFF" w:val="clear"/>
          <w:lang w:eastAsia="fr-FR"/>
        </w:rPr>
      </w:pPr>
      <w:r>
        <w:rPr>
          <w:rFonts w:eastAsia="Times New Roman" w:cs="Arial" w:ascii="Arial" w:hAnsi="Arial"/>
          <w:b/>
          <w:bCs/>
          <w:i w:val="false"/>
          <w:iCs w:val="false"/>
          <w:color w:val="000000"/>
          <w:sz w:val="24"/>
          <w:szCs w:val="24"/>
          <w:shd w:fill="FFFFFF" w:val="clear"/>
          <w:lang w:eastAsia="fr-FR"/>
        </w:rPr>
        <w:t>Entretien des espaces verts pour les services de l’État et les établissements publics en région Hauts-de-France</w:t>
      </w:r>
    </w:p>
    <w:p>
      <w:pPr>
        <w:pStyle w:val="Contenudetableau"/>
        <w:pBdr>
          <w:top w:val="single" w:sz="8" w:space="1" w:color="000000"/>
          <w:left w:val="single" w:sz="8" w:space="1" w:color="000000"/>
          <w:bottom w:val="single" w:sz="8" w:space="1" w:color="000000"/>
          <w:right w:val="single" w:sz="8" w:space="1" w:color="000000"/>
        </w:pBdr>
        <w:tabs>
          <w:tab w:val="clear" w:pos="708"/>
        </w:tabs>
        <w:spacing w:lineRule="auto" w:line="240" w:before="0" w:after="0"/>
        <w:ind w:hanging="0" w:left="0" w:right="0"/>
        <w:jc w:val="center"/>
        <w:textAlignment w:val="center"/>
        <w:rPr>
          <w:rFonts w:ascii="Arial" w:hAnsi="Arial" w:eastAsia="Times New Roman" w:cs="Arial"/>
          <w:b/>
          <w:bCs/>
          <w:i w:val="false"/>
          <w:i w:val="false"/>
          <w:iCs w:val="false"/>
          <w:color w:val="auto"/>
          <w:sz w:val="24"/>
          <w:szCs w:val="24"/>
          <w:shd w:fill="FFFFFF" w:val="clear"/>
          <w:lang w:eastAsia="fr-FR"/>
        </w:rPr>
      </w:pPr>
      <w:r>
        <w:rPr>
          <w:rFonts w:eastAsia="Times New Roman" w:cs="Arial" w:ascii="Arial" w:hAnsi="Arial"/>
          <w:b/>
          <w:bCs/>
          <w:i w:val="false"/>
          <w:iCs w:val="false"/>
          <w:color w:val="000000"/>
          <w:sz w:val="24"/>
          <w:szCs w:val="24"/>
          <w:shd w:fill="FFFFFF" w:val="clear"/>
          <w:lang w:eastAsia="fr-FR"/>
        </w:rPr>
      </w:r>
    </w:p>
    <w:p>
      <w:pPr>
        <w:pStyle w:val="Contenudetableau"/>
        <w:pBdr>
          <w:top w:val="single" w:sz="8" w:space="1" w:color="000000"/>
          <w:left w:val="single" w:sz="8" w:space="1" w:color="000000"/>
          <w:bottom w:val="single" w:sz="8" w:space="1" w:color="000000"/>
          <w:right w:val="single" w:sz="8" w:space="1" w:color="000000"/>
        </w:pBdr>
        <w:tabs>
          <w:tab w:val="clear" w:pos="708"/>
        </w:tabs>
        <w:spacing w:lineRule="auto" w:line="240" w:before="0" w:after="0"/>
        <w:ind w:hanging="0" w:left="0" w:right="0"/>
        <w:jc w:val="center"/>
        <w:textAlignment w:val="center"/>
        <w:rPr/>
      </w:pPr>
      <w:r>
        <w:rPr>
          <w:rFonts w:eastAsia="Times New Roman" w:cs="Arial" w:ascii="Arial" w:hAnsi="Arial"/>
          <w:b w:val="false"/>
          <w:bCs w:val="false"/>
          <w:i w:val="false"/>
          <w:iCs w:val="false"/>
          <w:color w:val="000000"/>
          <w:sz w:val="24"/>
          <w:szCs w:val="24"/>
          <w:u w:val="single"/>
          <w:shd w:fill="FFFFFF" w:val="clear"/>
          <w:lang w:eastAsia="fr-FR"/>
        </w:rPr>
        <w:t xml:space="preserve">Référence de la consultation :  </w:t>
      </w:r>
    </w:p>
    <w:p>
      <w:pPr>
        <w:pStyle w:val="Normal"/>
        <w:pBdr>
          <w:top w:val="single" w:sz="8" w:space="1" w:color="000000"/>
          <w:left w:val="single" w:sz="8" w:space="1" w:color="000000"/>
          <w:bottom w:val="single" w:sz="8" w:space="1" w:color="000000"/>
          <w:right w:val="single" w:sz="8" w:space="1" w:color="000000"/>
        </w:pBdr>
        <w:tabs>
          <w:tab w:val="clear" w:pos="708"/>
        </w:tabs>
        <w:spacing w:lineRule="auto" w:line="240" w:before="0" w:after="0"/>
        <w:ind w:hanging="0" w:left="0" w:right="0"/>
        <w:jc w:val="center"/>
        <w:textAlignment w:val="center"/>
        <w:rPr>
          <w:rFonts w:ascii="Arial" w:hAnsi="Arial" w:eastAsia="Times New Roman" w:cs="Arial"/>
          <w:b w:val="false"/>
          <w:bCs w:val="false"/>
          <w:i w:val="false"/>
          <w:i w:val="false"/>
          <w:iCs w:val="false"/>
          <w:color w:val="auto"/>
          <w:sz w:val="24"/>
          <w:szCs w:val="24"/>
          <w:shd w:fill="FFFFFF" w:val="clear"/>
          <w:lang w:eastAsia="fr-FR"/>
        </w:rPr>
      </w:pPr>
      <w:r>
        <w:rPr>
          <w:rFonts w:eastAsia="Times New Roman" w:cs="Arial" w:ascii="Arial" w:hAnsi="Arial"/>
          <w:b w:val="false"/>
          <w:bCs w:val="false"/>
          <w:i w:val="false"/>
          <w:iCs w:val="false"/>
          <w:color w:val="000000"/>
          <w:sz w:val="24"/>
          <w:szCs w:val="24"/>
          <w:shd w:fill="FFFFFF" w:val="clear"/>
          <w:lang w:eastAsia="fr-FR"/>
        </w:rPr>
        <w:t>PFRA-HDF-2026-EV</w:t>
      </w:r>
    </w:p>
    <w:p>
      <w:pPr>
        <w:pStyle w:val="Normal"/>
        <w:pBdr>
          <w:top w:val="single" w:sz="8" w:space="1" w:color="000000"/>
          <w:left w:val="single" w:sz="8" w:space="1" w:color="000000"/>
          <w:bottom w:val="single" w:sz="8" w:space="1" w:color="000000"/>
          <w:right w:val="single" w:sz="8" w:space="1" w:color="000000"/>
        </w:pBdr>
        <w:tabs>
          <w:tab w:val="clear" w:pos="708"/>
        </w:tabs>
        <w:spacing w:lineRule="auto" w:line="240" w:before="0" w:after="0"/>
        <w:ind w:hanging="0" w:left="0" w:right="0"/>
        <w:jc w:val="center"/>
        <w:textAlignment w:val="center"/>
        <w:rPr>
          <w:rFonts w:ascii="Arial" w:hAnsi="Arial" w:eastAsia="Times New Roman" w:cs="Arial"/>
          <w:b w:val="false"/>
          <w:bCs w:val="false"/>
          <w:i w:val="false"/>
          <w:i w:val="false"/>
          <w:iCs w:val="false"/>
          <w:color w:val="auto"/>
          <w:sz w:val="24"/>
          <w:szCs w:val="24"/>
          <w:shd w:fill="FFFFFF" w:val="clear"/>
          <w:lang w:eastAsia="fr-FR"/>
        </w:rPr>
      </w:pPr>
      <w:r>
        <w:rPr>
          <w:rFonts w:eastAsia="Times New Roman" w:cs="Arial" w:ascii="Arial" w:hAnsi="Arial"/>
          <w:b w:val="false"/>
          <w:bCs w:val="false"/>
          <w:i w:val="false"/>
          <w:iCs w:val="false"/>
          <w:color w:val="000000"/>
          <w:sz w:val="24"/>
          <w:szCs w:val="24"/>
          <w:shd w:fill="FFFFFF" w:val="clear"/>
          <w:lang w:eastAsia="fr-FR"/>
        </w:rPr>
      </w:r>
    </w:p>
    <w:p>
      <w:pPr>
        <w:pStyle w:val="Contenudetableau"/>
        <w:pBdr>
          <w:top w:val="single" w:sz="8" w:space="1" w:color="000000"/>
          <w:left w:val="single" w:sz="8" w:space="1" w:color="000000"/>
          <w:bottom w:val="single" w:sz="8" w:space="1" w:color="000000"/>
          <w:right w:val="single" w:sz="8" w:space="1" w:color="000000"/>
        </w:pBdr>
        <w:spacing w:lineRule="auto" w:line="240" w:before="0" w:after="0"/>
        <w:jc w:val="center"/>
        <w:rPr>
          <w:rFonts w:ascii="Arial" w:hAnsi="Arial" w:eastAsia="Times New Roman" w:cs="Arial"/>
          <w:b/>
          <w:bCs/>
          <w:color w:val="FF4000"/>
          <w:sz w:val="24"/>
          <w:szCs w:val="24"/>
          <w:lang w:eastAsia="fr-FR"/>
        </w:rPr>
      </w:pPr>
      <w:r>
        <w:rPr>
          <w:rFonts w:eastAsia="Times New Roman" w:cs="Arial" w:ascii="Arial" w:hAnsi="Arial"/>
          <w:b/>
          <w:bCs/>
          <w:color w:val="FF4000"/>
          <w:sz w:val="24"/>
          <w:szCs w:val="24"/>
          <w:lang w:eastAsia="fr-FR"/>
        </w:rPr>
        <w:t xml:space="preserve">Cadre de réponse commun à l’ensemble des lots </w:t>
      </w:r>
    </w:p>
    <w:p>
      <w:pPr>
        <w:pStyle w:val="Normal"/>
        <w:rPr/>
      </w:pPr>
      <w:r>
        <w:rPr/>
      </w:r>
    </w:p>
    <w:p>
      <w:pPr>
        <w:pStyle w:val="Normal"/>
        <w:rPr/>
      </w:pPr>
      <w:r>
        <w:rPr/>
        <mc:AlternateContent>
          <mc:Choice Requires="wps">
            <w:drawing>
              <wp:anchor behindDoc="0" distT="43815" distB="41910" distL="108585" distR="134620" simplePos="0" locked="0" layoutInCell="0" allowOverlap="1" relativeHeight="3">
                <wp:simplePos x="0" y="0"/>
                <wp:positionH relativeFrom="column">
                  <wp:posOffset>277495</wp:posOffset>
                </wp:positionH>
                <wp:positionV relativeFrom="paragraph">
                  <wp:posOffset>97790</wp:posOffset>
                </wp:positionV>
                <wp:extent cx="5401945" cy="3719830"/>
                <wp:effectExtent l="5715" t="5715" r="4445" b="4445"/>
                <wp:wrapSquare wrapText="bothSides"/>
                <wp:docPr id="4" name="Zone de texte 2"/>
                <a:graphic xmlns:a="http://schemas.openxmlformats.org/drawingml/2006/main">
                  <a:graphicData uri="http://schemas.microsoft.com/office/word/2010/wordprocessingShape">
                    <wps:wsp>
                      <wps:cNvSpPr/>
                      <wps:spPr>
                        <a:xfrm>
                          <a:off x="0" y="0"/>
                          <a:ext cx="5401800" cy="3719880"/>
                        </a:xfrm>
                        <a:prstGeom prst="rect">
                          <a:avLst/>
                        </a:prstGeom>
                        <a:solidFill>
                          <a:srgbClr val="ffffff"/>
                        </a:solidFill>
                        <a:ln w="9525">
                          <a:solidFill>
                            <a:srgbClr val="000000"/>
                          </a:solidFill>
                          <a:miter/>
                        </a:ln>
                      </wps:spPr>
                      <wps:style>
                        <a:lnRef idx="0"/>
                        <a:fillRef idx="0"/>
                        <a:effectRef idx="0"/>
                        <a:fontRef idx="minor"/>
                      </wps:style>
                      <wps:txbx>
                        <w:txbxContent>
                          <w:p>
                            <w:pPr>
                              <w:pStyle w:val="Contenudecadre"/>
                              <w:jc w:val="center"/>
                              <w:rPr>
                                <w:b/>
                              </w:rPr>
                            </w:pPr>
                            <w:r>
                              <w:rPr>
                                <w:b/>
                                <w:color w:val="000000"/>
                              </w:rPr>
                              <w:t>NOTICE EXPLICATIVE</w:t>
                            </w:r>
                          </w:p>
                          <w:p>
                            <w:pPr>
                              <w:pStyle w:val="Contenudecadre"/>
                              <w:jc w:val="both"/>
                              <w:rPr/>
                            </w:pPr>
                            <w:r>
                              <w:rPr>
                                <w:color w:val="000000"/>
                              </w:rPr>
                              <w:t>Ce dossier constitue le cadre de réponse à utiliser pour votre mémoire tech</w:t>
                            </w:r>
                            <w:r>
                              <w:rPr>
                                <w:rFonts w:eastAsia="Calibri" w:cs="" w:cstheme="minorBidi" w:eastAsiaTheme="minorHAnsi"/>
                                <w:color w:val="000000"/>
                                <w:shd w:fill="auto" w:val="clear"/>
                              </w:rPr>
                              <w:t>nique (cf. article 8.2 - </w:t>
                            </w:r>
                            <w:r>
                              <w:rPr>
                                <w:rFonts w:eastAsia="Calibri" w:cs="" w:cstheme="minorBidi" w:eastAsiaTheme="minorHAnsi"/>
                                <w:i/>
                                <w:iCs/>
                                <w:color w:val="000000"/>
                                <w:shd w:fill="auto" w:val="clear"/>
                              </w:rPr>
                              <w:t xml:space="preserve">Présentation de l’offre </w:t>
                            </w:r>
                            <w:r>
                              <w:rPr>
                                <w:rFonts w:eastAsia="Calibri" w:cs="" w:cstheme="minorBidi" w:eastAsiaTheme="minorHAnsi"/>
                                <w:color w:val="000000"/>
                                <w:shd w:fill="auto" w:val="clear"/>
                              </w:rPr>
                              <w:t xml:space="preserve">et 8.3 - </w:t>
                            </w:r>
                            <w:r>
                              <w:rPr>
                                <w:rFonts w:eastAsia="Calibri" w:cs="" w:cstheme="minorBidi" w:eastAsiaTheme="minorHAnsi"/>
                                <w:i/>
                                <w:iCs/>
                                <w:color w:val="000000"/>
                                <w:shd w:fill="auto" w:val="clear"/>
                              </w:rPr>
                              <w:t>Analyse des offres</w:t>
                            </w:r>
                            <w:r>
                              <w:rPr>
                                <w:rFonts w:eastAsia="Calibri" w:cs="" w:cstheme="minorBidi" w:eastAsiaTheme="minorHAnsi"/>
                                <w:color w:val="000000"/>
                                <w:shd w:fill="auto" w:val="clear"/>
                              </w:rPr>
                              <w:t xml:space="preserve"> du règlement de la consultation)</w:t>
                            </w:r>
                          </w:p>
                          <w:p>
                            <w:pPr>
                              <w:pStyle w:val="ListParagraph"/>
                              <w:numPr>
                                <w:ilvl w:val="0"/>
                                <w:numId w:val="1"/>
                              </w:numPr>
                              <w:jc w:val="both"/>
                              <w:rPr/>
                            </w:pPr>
                            <w:r>
                              <w:rPr>
                                <w:color w:val="000000"/>
                                <w:sz w:val="22"/>
                                <w:szCs w:val="22"/>
                              </w:rPr>
                              <w:t xml:space="preserve">Tous les champs en </w:t>
                            </w:r>
                            <w:r>
                              <w:rPr>
                                <w:color w:val="000000"/>
                                <w:sz w:val="22"/>
                                <w:szCs w:val="22"/>
                                <w:highlight w:val="lightGray"/>
                              </w:rPr>
                              <w:t>gris</w:t>
                            </w:r>
                            <w:r>
                              <w:rPr>
                                <w:color w:val="000000"/>
                                <w:sz w:val="22"/>
                                <w:szCs w:val="22"/>
                              </w:rPr>
                              <w:t xml:space="preserve"> doivent être impérativement renseignés ;</w:t>
                            </w:r>
                          </w:p>
                          <w:p>
                            <w:pPr>
                              <w:pStyle w:val="ListParagraph"/>
                              <w:numPr>
                                <w:ilvl w:val="0"/>
                                <w:numId w:val="1"/>
                              </w:numPr>
                              <w:jc w:val="both"/>
                              <w:rPr/>
                            </w:pPr>
                            <w:r>
                              <w:rPr>
                                <w:rFonts w:eastAsia="Calibri" w:cs="" w:cstheme="minorBidi" w:eastAsiaTheme="minorHAnsi"/>
                                <w:color w:val="000000"/>
                                <w:sz w:val="22"/>
                                <w:szCs w:val="22"/>
                                <w:shd w:fill="auto" w:val="clear"/>
                              </w:rPr>
                              <w:t>Les soumissionnaires conserveront le format de réponse attendu pour les pages de réponse - police : Calibri - taille police : 11 – interligne : simple – fichier document word ;</w:t>
                            </w:r>
                          </w:p>
                          <w:p>
                            <w:pPr>
                              <w:pStyle w:val="ListParagraph"/>
                              <w:numPr>
                                <w:ilvl w:val="0"/>
                                <w:numId w:val="1"/>
                              </w:numPr>
                              <w:jc w:val="both"/>
                              <w:rPr/>
                            </w:pPr>
                            <w:r>
                              <w:rPr>
                                <w:rFonts w:eastAsia="Times New Roman" w:cs="Arial"/>
                                <w:color w:val="000000"/>
                                <w:sz w:val="22"/>
                                <w:szCs w:val="22"/>
                                <w:shd w:fill="auto" w:val="clear"/>
                                <w:lang w:eastAsia="fr-FR"/>
                              </w:rPr>
                              <w:t>Le cadre de réponse est limité à 30 pages maximum ;</w:t>
                            </w:r>
                          </w:p>
                          <w:p>
                            <w:pPr>
                              <w:pStyle w:val="ListParagraph"/>
                              <w:numPr>
                                <w:ilvl w:val="0"/>
                                <w:numId w:val="1"/>
                              </w:numPr>
                              <w:jc w:val="both"/>
                              <w:rPr/>
                            </w:pPr>
                            <w:r>
                              <w:rPr>
                                <w:rFonts w:eastAsia="Times New Roman" w:cs="Arial"/>
                                <w:color w:val="000000"/>
                                <w:sz w:val="22"/>
                                <w:szCs w:val="22"/>
                                <w:shd w:fill="auto" w:val="clear"/>
                                <w:lang w:eastAsia="fr-FR"/>
                              </w:rPr>
                              <w:t>Si des annexes sont jointes au présent cadre de réponse, ces dernières sont  limitées à 10 pages maximum ;</w:t>
                            </w:r>
                          </w:p>
                          <w:p>
                            <w:pPr>
                              <w:pStyle w:val="ListParagraph"/>
                              <w:numPr>
                                <w:ilvl w:val="0"/>
                                <w:numId w:val="1"/>
                              </w:numPr>
                              <w:jc w:val="both"/>
                              <w:rPr/>
                            </w:pPr>
                            <w:r>
                              <w:rPr>
                                <w:rFonts w:eastAsia="Times New Roman" w:cs="Arial"/>
                                <w:color w:val="000000"/>
                                <w:sz w:val="22"/>
                                <w:szCs w:val="22"/>
                                <w:shd w:fill="auto" w:val="clear"/>
                                <w:lang w:eastAsia="fr-FR"/>
                              </w:rPr>
                              <w:t>Une annexe ne sera consultée que si le paragraphe qu'elle complète renvoie explicitement à cette annexe identifiée. Autrement dit, le candidat dépose un mémoire technique ou un document distinct du cadre de réponse technique, ce support devra suivre scrupuleusement l'ordre des questions du cadre de réponse technique et reporter le nom du document et la référence de la page sur laquelle la réponse figure dans le cadre de réponse technique.</w:t>
                            </w:r>
                          </w:p>
                          <w:p>
                            <w:pPr>
                              <w:pStyle w:val="Contenudecadre"/>
                              <w:spacing w:before="0" w:after="160"/>
                              <w:jc w:val="center"/>
                              <w:rPr>
                                <w:b/>
                              </w:rPr>
                            </w:pPr>
                            <w:r>
                              <w:rPr>
                                <w:b/>
                                <w:color w:val="000000"/>
                              </w:rPr>
                              <w:t>Le candidat est invité à répondre sur ce cadre de mémoire et le retourner au format word, en respectant le cadre de celui-ci.</w:t>
                            </w:r>
                          </w:p>
                        </w:txbxContent>
                      </wps:txbx>
                      <wps:bodyPr anchor="t">
                        <a:spAutoFit/>
                      </wps:bodyPr>
                    </wps:wsp>
                  </a:graphicData>
                </a:graphic>
                <wp14:sizeRelV relativeFrom="margin">
                  <wp14:pctHeight>20000</wp14:pctHeight>
                </wp14:sizeRelV>
              </wp:anchor>
            </w:drawing>
          </mc:Choice>
          <mc:Fallback>
            <w:pict>
              <v:rect id="shape_0" ID="Zone de texte 2" path="m0,0l-2147483645,0l-2147483645,-2147483646l0,-2147483646xe" fillcolor="white" stroked="t" o:allowincell="f" style="position:absolute;margin-left:21.85pt;margin-top:7.7pt;width:425.3pt;height:292.85pt;mso-wrap-style:square;v-text-anchor:top">
                <v:fill o:detectmouseclick="t" type="solid" color2="black"/>
                <v:stroke color="black" weight="9360" joinstyle="miter" endcap="flat"/>
                <v:textbox>
                  <w:txbxContent>
                    <w:p>
                      <w:pPr>
                        <w:pStyle w:val="Contenudecadre"/>
                        <w:jc w:val="center"/>
                        <w:rPr>
                          <w:b/>
                        </w:rPr>
                      </w:pPr>
                      <w:r>
                        <w:rPr>
                          <w:b/>
                          <w:color w:val="000000"/>
                        </w:rPr>
                        <w:t>NOTICE EXPLICATIVE</w:t>
                      </w:r>
                    </w:p>
                    <w:p>
                      <w:pPr>
                        <w:pStyle w:val="Contenudecadre"/>
                        <w:jc w:val="both"/>
                        <w:rPr/>
                      </w:pPr>
                      <w:r>
                        <w:rPr>
                          <w:color w:val="000000"/>
                        </w:rPr>
                        <w:t>Ce dossier constitue le cadre de réponse à utiliser pour votre mémoire tech</w:t>
                      </w:r>
                      <w:r>
                        <w:rPr>
                          <w:rFonts w:eastAsia="Calibri" w:cs="" w:cstheme="minorBidi" w:eastAsiaTheme="minorHAnsi"/>
                          <w:color w:val="000000"/>
                          <w:shd w:fill="auto" w:val="clear"/>
                        </w:rPr>
                        <w:t>nique (cf. article 8.2 - </w:t>
                      </w:r>
                      <w:r>
                        <w:rPr>
                          <w:rFonts w:eastAsia="Calibri" w:cs="" w:cstheme="minorBidi" w:eastAsiaTheme="minorHAnsi"/>
                          <w:i/>
                          <w:iCs/>
                          <w:color w:val="000000"/>
                          <w:shd w:fill="auto" w:val="clear"/>
                        </w:rPr>
                        <w:t xml:space="preserve">Présentation de l’offre </w:t>
                      </w:r>
                      <w:r>
                        <w:rPr>
                          <w:rFonts w:eastAsia="Calibri" w:cs="" w:cstheme="minorBidi" w:eastAsiaTheme="minorHAnsi"/>
                          <w:color w:val="000000"/>
                          <w:shd w:fill="auto" w:val="clear"/>
                        </w:rPr>
                        <w:t xml:space="preserve">et 8.3 - </w:t>
                      </w:r>
                      <w:r>
                        <w:rPr>
                          <w:rFonts w:eastAsia="Calibri" w:cs="" w:cstheme="minorBidi" w:eastAsiaTheme="minorHAnsi"/>
                          <w:i/>
                          <w:iCs/>
                          <w:color w:val="000000"/>
                          <w:shd w:fill="auto" w:val="clear"/>
                        </w:rPr>
                        <w:t>Analyse des offres</w:t>
                      </w:r>
                      <w:r>
                        <w:rPr>
                          <w:rFonts w:eastAsia="Calibri" w:cs="" w:cstheme="minorBidi" w:eastAsiaTheme="minorHAnsi"/>
                          <w:color w:val="000000"/>
                          <w:shd w:fill="auto" w:val="clear"/>
                        </w:rPr>
                        <w:t xml:space="preserve"> du règlement de la consultation)</w:t>
                      </w:r>
                    </w:p>
                    <w:p>
                      <w:pPr>
                        <w:pStyle w:val="ListParagraph"/>
                        <w:numPr>
                          <w:ilvl w:val="0"/>
                          <w:numId w:val="1"/>
                        </w:numPr>
                        <w:jc w:val="both"/>
                        <w:rPr/>
                      </w:pPr>
                      <w:r>
                        <w:rPr>
                          <w:color w:val="000000"/>
                          <w:sz w:val="22"/>
                          <w:szCs w:val="22"/>
                        </w:rPr>
                        <w:t xml:space="preserve">Tous les champs en </w:t>
                      </w:r>
                      <w:r>
                        <w:rPr>
                          <w:color w:val="000000"/>
                          <w:sz w:val="22"/>
                          <w:szCs w:val="22"/>
                          <w:highlight w:val="lightGray"/>
                        </w:rPr>
                        <w:t>gris</w:t>
                      </w:r>
                      <w:r>
                        <w:rPr>
                          <w:color w:val="000000"/>
                          <w:sz w:val="22"/>
                          <w:szCs w:val="22"/>
                        </w:rPr>
                        <w:t xml:space="preserve"> doivent être impérativement renseignés ;</w:t>
                      </w:r>
                    </w:p>
                    <w:p>
                      <w:pPr>
                        <w:pStyle w:val="ListParagraph"/>
                        <w:numPr>
                          <w:ilvl w:val="0"/>
                          <w:numId w:val="1"/>
                        </w:numPr>
                        <w:jc w:val="both"/>
                        <w:rPr/>
                      </w:pPr>
                      <w:r>
                        <w:rPr>
                          <w:rFonts w:eastAsia="Calibri" w:cs="" w:cstheme="minorBidi" w:eastAsiaTheme="minorHAnsi"/>
                          <w:color w:val="000000"/>
                          <w:sz w:val="22"/>
                          <w:szCs w:val="22"/>
                          <w:shd w:fill="auto" w:val="clear"/>
                        </w:rPr>
                        <w:t>Les soumissionnaires conserveront le format de réponse attendu pour les pages de réponse - police : Calibri - taille police : 11 – interligne : simple – fichier document word ;</w:t>
                      </w:r>
                    </w:p>
                    <w:p>
                      <w:pPr>
                        <w:pStyle w:val="ListParagraph"/>
                        <w:numPr>
                          <w:ilvl w:val="0"/>
                          <w:numId w:val="1"/>
                        </w:numPr>
                        <w:jc w:val="both"/>
                        <w:rPr/>
                      </w:pPr>
                      <w:r>
                        <w:rPr>
                          <w:rFonts w:eastAsia="Times New Roman" w:cs="Arial"/>
                          <w:color w:val="000000"/>
                          <w:sz w:val="22"/>
                          <w:szCs w:val="22"/>
                          <w:shd w:fill="auto" w:val="clear"/>
                          <w:lang w:eastAsia="fr-FR"/>
                        </w:rPr>
                        <w:t>Le cadre de réponse est limité à 30 pages maximum ;</w:t>
                      </w:r>
                    </w:p>
                    <w:p>
                      <w:pPr>
                        <w:pStyle w:val="ListParagraph"/>
                        <w:numPr>
                          <w:ilvl w:val="0"/>
                          <w:numId w:val="1"/>
                        </w:numPr>
                        <w:jc w:val="both"/>
                        <w:rPr/>
                      </w:pPr>
                      <w:r>
                        <w:rPr>
                          <w:rFonts w:eastAsia="Times New Roman" w:cs="Arial"/>
                          <w:color w:val="000000"/>
                          <w:sz w:val="22"/>
                          <w:szCs w:val="22"/>
                          <w:shd w:fill="auto" w:val="clear"/>
                          <w:lang w:eastAsia="fr-FR"/>
                        </w:rPr>
                        <w:t>Si des annexes sont jointes au présent cadre de réponse, ces dernières sont  limitées à 10 pages maximum ;</w:t>
                      </w:r>
                    </w:p>
                    <w:p>
                      <w:pPr>
                        <w:pStyle w:val="ListParagraph"/>
                        <w:numPr>
                          <w:ilvl w:val="0"/>
                          <w:numId w:val="1"/>
                        </w:numPr>
                        <w:jc w:val="both"/>
                        <w:rPr/>
                      </w:pPr>
                      <w:r>
                        <w:rPr>
                          <w:rFonts w:eastAsia="Times New Roman" w:cs="Arial"/>
                          <w:color w:val="000000"/>
                          <w:sz w:val="22"/>
                          <w:szCs w:val="22"/>
                          <w:shd w:fill="auto" w:val="clear"/>
                          <w:lang w:eastAsia="fr-FR"/>
                        </w:rPr>
                        <w:t>Une annexe ne sera consultée que si le paragraphe qu'elle complète renvoie explicitement à cette annexe identifiée. Autrement dit, le candidat dépose un mémoire technique ou un document distinct du cadre de réponse technique, ce support devra suivre scrupuleusement l'ordre des questions du cadre de réponse technique et reporter le nom du document et la référence de la page sur laquelle la réponse figure dans le cadre de réponse technique.</w:t>
                      </w:r>
                    </w:p>
                    <w:p>
                      <w:pPr>
                        <w:pStyle w:val="Contenudecadre"/>
                        <w:spacing w:before="0" w:after="160"/>
                        <w:jc w:val="center"/>
                        <w:rPr>
                          <w:b/>
                        </w:rPr>
                      </w:pPr>
                      <w:r>
                        <w:rPr>
                          <w:b/>
                          <w:color w:val="000000"/>
                        </w:rPr>
                        <w:t>Le candidat est invité à répondre sur ce cadre de mémoire et le retourner au format word, en respectant le cadre de celui-ci.</w:t>
                      </w:r>
                    </w:p>
                  </w:txbxContent>
                </v:textbox>
                <w10:wrap type="square"/>
              </v:rect>
            </w:pict>
          </mc:Fallback>
        </mc:AlternateConten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rFonts w:ascii="Calibri" w:hAnsi="Calibri" w:cs="Calibri" w:cstheme="minorHAnsi"/>
          <w:b/>
        </w:rPr>
      </w:pPr>
      <w:r>
        <w:rPr>
          <w:rFonts w:cs="Calibri" w:cstheme="minorHAnsi"/>
          <w:b/>
        </w:rPr>
      </w:r>
    </w:p>
    <w:p>
      <w:pPr>
        <w:pStyle w:val="Normal"/>
        <w:spacing w:lineRule="auto" w:line="240"/>
        <w:jc w:val="both"/>
        <w:rPr>
          <w:rFonts w:ascii="Calibri" w:hAnsi="Calibri"/>
        </w:rPr>
      </w:pPr>
      <w:r>
        <w:rPr/>
      </w:r>
    </w:p>
    <w:p>
      <w:pPr>
        <w:pStyle w:val="Normal"/>
        <w:spacing w:lineRule="auto" w:line="240"/>
        <w:jc w:val="both"/>
        <w:rPr>
          <w:rFonts w:ascii="Calibri" w:hAnsi="Calibri"/>
        </w:rPr>
      </w:pPr>
      <w:r>
        <w:rPr/>
      </w:r>
    </w:p>
    <w:p>
      <w:pPr>
        <w:pStyle w:val="Normal"/>
        <w:spacing w:lineRule="auto" w:line="240"/>
        <w:jc w:val="both"/>
        <w:rPr>
          <w:rFonts w:ascii="Calibri" w:hAnsi="Calibri"/>
        </w:rPr>
      </w:pPr>
      <w:r>
        <w:rPr/>
      </w:r>
    </w:p>
    <w:p>
      <w:pPr>
        <w:pStyle w:val="Normal"/>
        <w:spacing w:lineRule="auto" w:line="240"/>
        <w:jc w:val="both"/>
        <w:rPr>
          <w:rFonts w:ascii="Calibri" w:hAnsi="Calibri"/>
        </w:rPr>
      </w:pPr>
      <w:r>
        <w:rPr/>
      </w:r>
    </w:p>
    <w:p>
      <w:pPr>
        <w:pStyle w:val="Normal"/>
        <w:spacing w:lineRule="auto" w:line="240"/>
        <w:jc w:val="both"/>
        <w:rPr>
          <w:rFonts w:ascii="Calibri" w:hAnsi="Calibri"/>
        </w:rPr>
      </w:pPr>
      <w:r>
        <w:rPr/>
      </w:r>
    </w:p>
    <w:p>
      <w:pPr>
        <w:pStyle w:val="Normal"/>
        <w:spacing w:lineRule="auto" w:line="240"/>
        <w:jc w:val="both"/>
        <w:rPr>
          <w:rFonts w:ascii="Calibri" w:hAnsi="Calibri"/>
        </w:rPr>
      </w:pPr>
      <w:r>
        <w:rPr>
          <w:rFonts w:cs="Calibri" w:cstheme="minorHAnsi"/>
          <w:b/>
          <w:sz w:val="24"/>
          <w:szCs w:val="24"/>
        </w:rPr>
        <w:t xml:space="preserve">Nom du candidat : </w:t>
      </w:r>
      <w:r>
        <w:rPr>
          <w:rFonts w:cs="Calibri" w:cstheme="minorHAnsi"/>
          <w:b/>
          <w:sz w:val="24"/>
          <w:szCs w:val="24"/>
          <w:highlight w:val="lightGray"/>
        </w:rPr>
        <w:t>………………………………………………………..</w:t>
      </w:r>
    </w:p>
    <w:p>
      <w:pPr>
        <w:pStyle w:val="Normal"/>
        <w:spacing w:lineRule="auto" w:line="240"/>
        <w:jc w:val="both"/>
        <w:rPr>
          <w:rFonts w:ascii="Calibri" w:hAnsi="Calibri" w:cs="Calibri" w:cstheme="minorHAnsi"/>
          <w:b/>
        </w:rPr>
      </w:pPr>
      <w:r>
        <w:rPr>
          <w:rFonts w:cs="Calibri" w:cstheme="minorHAnsi"/>
          <w:b/>
        </w:rPr>
      </w:r>
    </w:p>
    <w:p>
      <w:pPr>
        <w:pStyle w:val="Normal"/>
        <w:spacing w:lineRule="auto" w:line="240"/>
        <w:jc w:val="both"/>
        <w:rPr>
          <w:rFonts w:ascii="Calibri" w:hAnsi="Calibri"/>
        </w:rPr>
      </w:pPr>
      <w:r>
        <w:rPr>
          <w:rFonts w:cs="Calibri" w:cstheme="minorHAnsi"/>
          <w:b/>
          <w:sz w:val="24"/>
          <w:szCs w:val="24"/>
        </w:rPr>
        <w:t xml:space="preserve">Sélectionnez le lot concerné par le présent cadre de réponse pour lequel vous candidatez : </w:t>
      </w:r>
    </w:p>
    <w:tbl>
      <w:tblPr>
        <w:tblW w:w="5000" w:type="pct"/>
        <w:jc w:val="left"/>
        <w:tblInd w:w="-5" w:type="dxa"/>
        <w:tblLayout w:type="fixed"/>
        <w:tblCellMar>
          <w:top w:w="55" w:type="dxa"/>
          <w:left w:w="55" w:type="dxa"/>
          <w:bottom w:w="55" w:type="dxa"/>
          <w:right w:w="55" w:type="dxa"/>
        </w:tblCellMar>
      </w:tblPr>
      <w:tblGrid>
        <w:gridCol w:w="630"/>
        <w:gridCol w:w="8441"/>
      </w:tblGrid>
      <w:tr>
        <w:trPr/>
        <w:tc>
          <w:tcPr>
            <w:tcW w:w="630" w:type="dxa"/>
            <w:tcBorders>
              <w:top w:val="single" w:sz="4" w:space="0" w:color="000000"/>
              <w:left w:val="single" w:sz="4" w:space="0" w:color="000000"/>
              <w:bottom w:val="single" w:sz="4" w:space="0" w:color="000000"/>
            </w:tcBorders>
            <w:shd w:fill="B2B2B2" w:val="clear"/>
          </w:tcPr>
          <w:p>
            <w:pPr>
              <w:pStyle w:val="Contenudetableau"/>
              <w:widowControl w:val="false"/>
              <w:spacing w:before="0" w:after="160"/>
              <w:jc w:val="center"/>
              <w:rPr>
                <w:rFonts w:ascii="Calibri" w:hAnsi="Calibri" w:cs="Calibri"/>
                <w:b/>
                <w:bCs/>
                <w:sz w:val="24"/>
                <w:szCs w:val="24"/>
              </w:rPr>
            </w:pPr>
            <w:r>
              <w:rPr>
                <w:rFonts w:cs="Calibri"/>
                <w:b/>
                <w:bCs/>
                <w:sz w:val="24"/>
                <w:szCs w:val="24"/>
              </w:rPr>
            </w:r>
          </w:p>
        </w:tc>
        <w:tc>
          <w:tcPr>
            <w:tcW w:w="844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both"/>
              <w:rPr/>
            </w:pPr>
            <w:r>
              <w:rPr>
                <w:rFonts w:cs="Calibri"/>
                <w:b w:val="false"/>
                <w:bCs w:val="false"/>
                <w:sz w:val="24"/>
                <w:szCs w:val="24"/>
                <w:u w:val="none"/>
              </w:rPr>
              <w:t>Lot n°1 : Arrondissement de Lille</w:t>
            </w:r>
          </w:p>
        </w:tc>
      </w:tr>
      <w:tr>
        <w:trPr/>
        <w:tc>
          <w:tcPr>
            <w:tcW w:w="630" w:type="dxa"/>
            <w:tcBorders>
              <w:left w:val="single" w:sz="4" w:space="0" w:color="000000"/>
              <w:bottom w:val="single" w:sz="4" w:space="0" w:color="000000"/>
            </w:tcBorders>
            <w:shd w:fill="B2B2B2" w:val="clear"/>
          </w:tcPr>
          <w:p>
            <w:pPr>
              <w:pStyle w:val="Contenudetableau"/>
              <w:widowControl w:val="false"/>
              <w:spacing w:before="0" w:after="160"/>
              <w:jc w:val="center"/>
              <w:rPr>
                <w:rFonts w:ascii="Calibri" w:hAnsi="Calibri" w:cs="Calibri"/>
                <w:b/>
                <w:bCs/>
                <w:sz w:val="24"/>
                <w:szCs w:val="24"/>
              </w:rPr>
            </w:pPr>
            <w:r>
              <w:rPr>
                <w:rFonts w:cs="Calibri"/>
                <w:b/>
                <w:bCs/>
                <w:sz w:val="24"/>
                <w:szCs w:val="24"/>
              </w:rPr>
            </w:r>
          </w:p>
        </w:tc>
        <w:tc>
          <w:tcPr>
            <w:tcW w:w="8441" w:type="dxa"/>
            <w:tcBorders>
              <w:left w:val="single" w:sz="4" w:space="0" w:color="000000"/>
              <w:bottom w:val="single" w:sz="4" w:space="0" w:color="000000"/>
              <w:right w:val="single" w:sz="4" w:space="0" w:color="000000"/>
            </w:tcBorders>
          </w:tcPr>
          <w:p>
            <w:pPr>
              <w:pStyle w:val="Normal"/>
              <w:widowControl w:val="false"/>
              <w:spacing w:before="0" w:after="160"/>
              <w:jc w:val="both"/>
              <w:rPr/>
            </w:pPr>
            <w:r>
              <w:rPr>
                <w:rFonts w:cs="Calibri"/>
                <w:b w:val="false"/>
                <w:bCs w:val="false"/>
                <w:sz w:val="24"/>
                <w:szCs w:val="24"/>
                <w:u w:val="none"/>
              </w:rPr>
              <w:t>Lot n°2 : Arrondissements de Béthune, Lens, Arras</w:t>
            </w:r>
          </w:p>
        </w:tc>
      </w:tr>
      <w:tr>
        <w:trPr/>
        <w:tc>
          <w:tcPr>
            <w:tcW w:w="630" w:type="dxa"/>
            <w:tcBorders>
              <w:left w:val="single" w:sz="4" w:space="0" w:color="000000"/>
              <w:bottom w:val="single" w:sz="4" w:space="0" w:color="000000"/>
            </w:tcBorders>
            <w:shd w:fill="B2B2B2" w:val="clear"/>
          </w:tcPr>
          <w:p>
            <w:pPr>
              <w:pStyle w:val="Contenudetableau"/>
              <w:widowControl w:val="false"/>
              <w:spacing w:before="0" w:after="160"/>
              <w:jc w:val="center"/>
              <w:rPr>
                <w:rFonts w:ascii="Calibri" w:hAnsi="Calibri" w:cs="Calibri"/>
                <w:b/>
                <w:bCs/>
                <w:sz w:val="24"/>
                <w:szCs w:val="24"/>
              </w:rPr>
            </w:pPr>
            <w:r>
              <w:rPr>
                <w:rFonts w:cs="Calibri"/>
                <w:b/>
                <w:bCs/>
                <w:sz w:val="24"/>
                <w:szCs w:val="24"/>
              </w:rPr>
            </w:r>
          </w:p>
        </w:tc>
        <w:tc>
          <w:tcPr>
            <w:tcW w:w="8441" w:type="dxa"/>
            <w:tcBorders>
              <w:left w:val="single" w:sz="4" w:space="0" w:color="000000"/>
              <w:bottom w:val="single" w:sz="4" w:space="0" w:color="000000"/>
              <w:right w:val="single" w:sz="4" w:space="0" w:color="000000"/>
            </w:tcBorders>
          </w:tcPr>
          <w:p>
            <w:pPr>
              <w:pStyle w:val="Normal"/>
              <w:widowControl w:val="false"/>
              <w:spacing w:before="0" w:after="160"/>
              <w:jc w:val="both"/>
              <w:rPr/>
            </w:pPr>
            <w:r>
              <w:rPr>
                <w:rFonts w:cs="Calibri"/>
                <w:b w:val="false"/>
                <w:bCs w:val="false"/>
                <w:sz w:val="24"/>
                <w:szCs w:val="24"/>
                <w:u w:val="none"/>
              </w:rPr>
              <w:t>Lot n°3 : Arrondissements de Douai, Valenciennes, Cambrai, Avesnes-sur-Helpe</w:t>
            </w:r>
          </w:p>
        </w:tc>
      </w:tr>
      <w:tr>
        <w:trPr/>
        <w:tc>
          <w:tcPr>
            <w:tcW w:w="630" w:type="dxa"/>
            <w:tcBorders>
              <w:left w:val="single" w:sz="4" w:space="0" w:color="000000"/>
              <w:bottom w:val="single" w:sz="4" w:space="0" w:color="000000"/>
            </w:tcBorders>
            <w:shd w:fill="B2B2B2" w:val="clear"/>
          </w:tcPr>
          <w:p>
            <w:pPr>
              <w:pStyle w:val="Contenudetableau"/>
              <w:widowControl w:val="false"/>
              <w:spacing w:before="0" w:after="160"/>
              <w:jc w:val="center"/>
              <w:rPr>
                <w:rFonts w:ascii="Calibri" w:hAnsi="Calibri" w:cs="Calibri"/>
                <w:b/>
                <w:bCs/>
                <w:sz w:val="24"/>
                <w:szCs w:val="24"/>
              </w:rPr>
            </w:pPr>
            <w:r>
              <w:rPr>
                <w:rFonts w:cs="Calibri"/>
                <w:b/>
                <w:bCs/>
                <w:sz w:val="24"/>
                <w:szCs w:val="24"/>
              </w:rPr>
            </w:r>
          </w:p>
        </w:tc>
        <w:tc>
          <w:tcPr>
            <w:tcW w:w="8441" w:type="dxa"/>
            <w:tcBorders>
              <w:left w:val="single" w:sz="4" w:space="0" w:color="000000"/>
              <w:bottom w:val="single" w:sz="4" w:space="0" w:color="000000"/>
              <w:right w:val="single" w:sz="4" w:space="0" w:color="000000"/>
            </w:tcBorders>
          </w:tcPr>
          <w:p>
            <w:pPr>
              <w:pStyle w:val="Normal"/>
              <w:widowControl w:val="false"/>
              <w:spacing w:before="0" w:after="160"/>
              <w:jc w:val="both"/>
              <w:rPr/>
            </w:pPr>
            <w:r>
              <w:rPr>
                <w:rFonts w:cs="Calibri"/>
                <w:b w:val="false"/>
                <w:bCs w:val="false"/>
                <w:sz w:val="24"/>
                <w:szCs w:val="24"/>
                <w:u w:val="none"/>
              </w:rPr>
              <w:t>Lot n°4 : Arrondissements de Dunkerque, Calais</w:t>
            </w:r>
          </w:p>
        </w:tc>
      </w:tr>
      <w:tr>
        <w:trPr/>
        <w:tc>
          <w:tcPr>
            <w:tcW w:w="630" w:type="dxa"/>
            <w:tcBorders>
              <w:left w:val="single" w:sz="4" w:space="0" w:color="000000"/>
              <w:bottom w:val="single" w:sz="4" w:space="0" w:color="000000"/>
            </w:tcBorders>
            <w:shd w:fill="B2B2B2" w:val="clear"/>
          </w:tcPr>
          <w:p>
            <w:pPr>
              <w:pStyle w:val="Contenudetableau"/>
              <w:widowControl w:val="false"/>
              <w:spacing w:before="0" w:after="160"/>
              <w:jc w:val="center"/>
              <w:rPr>
                <w:rFonts w:ascii="Calibri" w:hAnsi="Calibri" w:cs="Calibri"/>
                <w:b/>
                <w:bCs/>
                <w:sz w:val="24"/>
                <w:szCs w:val="24"/>
              </w:rPr>
            </w:pPr>
            <w:r>
              <w:rPr>
                <w:rFonts w:cs="Calibri"/>
                <w:b/>
                <w:bCs/>
                <w:sz w:val="24"/>
                <w:szCs w:val="24"/>
              </w:rPr>
            </w:r>
          </w:p>
        </w:tc>
        <w:tc>
          <w:tcPr>
            <w:tcW w:w="8441" w:type="dxa"/>
            <w:tcBorders>
              <w:left w:val="single" w:sz="4" w:space="0" w:color="000000"/>
              <w:bottom w:val="single" w:sz="4" w:space="0" w:color="000000"/>
              <w:right w:val="single" w:sz="4" w:space="0" w:color="000000"/>
            </w:tcBorders>
          </w:tcPr>
          <w:p>
            <w:pPr>
              <w:pStyle w:val="Normal"/>
              <w:widowControl w:val="false"/>
              <w:spacing w:before="0" w:after="160"/>
              <w:jc w:val="both"/>
              <w:rPr/>
            </w:pPr>
            <w:r>
              <w:rPr>
                <w:rFonts w:cs="Calibri"/>
                <w:b w:val="false"/>
                <w:bCs w:val="false"/>
                <w:sz w:val="24"/>
                <w:szCs w:val="24"/>
                <w:u w:val="none"/>
              </w:rPr>
              <w:t>Lot n°5 : Arrondissements de Saint-Omer, Boulogne-sur-Mer, Montreuil</w:t>
            </w:r>
          </w:p>
        </w:tc>
      </w:tr>
      <w:tr>
        <w:trPr/>
        <w:tc>
          <w:tcPr>
            <w:tcW w:w="630" w:type="dxa"/>
            <w:tcBorders>
              <w:left w:val="single" w:sz="4" w:space="0" w:color="000000"/>
              <w:bottom w:val="single" w:sz="4" w:space="0" w:color="000000"/>
            </w:tcBorders>
            <w:shd w:fill="B2B2B2" w:val="clear"/>
          </w:tcPr>
          <w:p>
            <w:pPr>
              <w:pStyle w:val="Contenudetableau"/>
              <w:widowControl w:val="false"/>
              <w:spacing w:before="0" w:after="160"/>
              <w:jc w:val="center"/>
              <w:rPr>
                <w:rFonts w:ascii="Calibri" w:hAnsi="Calibri" w:cs="Calibri"/>
                <w:b/>
                <w:bCs/>
                <w:sz w:val="24"/>
                <w:szCs w:val="24"/>
              </w:rPr>
            </w:pPr>
            <w:r>
              <w:rPr>
                <w:rFonts w:cs="Calibri"/>
                <w:b/>
                <w:bCs/>
                <w:sz w:val="24"/>
                <w:szCs w:val="24"/>
              </w:rPr>
            </w:r>
          </w:p>
        </w:tc>
        <w:tc>
          <w:tcPr>
            <w:tcW w:w="8441" w:type="dxa"/>
            <w:tcBorders>
              <w:left w:val="single" w:sz="4" w:space="0" w:color="000000"/>
              <w:bottom w:val="single" w:sz="4" w:space="0" w:color="000000"/>
              <w:right w:val="single" w:sz="4" w:space="0" w:color="000000"/>
            </w:tcBorders>
          </w:tcPr>
          <w:p>
            <w:pPr>
              <w:pStyle w:val="Normal"/>
              <w:widowControl w:val="false"/>
              <w:spacing w:before="0" w:after="160"/>
              <w:jc w:val="both"/>
              <w:rPr/>
            </w:pPr>
            <w:r>
              <w:rPr>
                <w:rFonts w:cs="Calibri"/>
                <w:b w:val="false"/>
                <w:bCs w:val="false"/>
                <w:sz w:val="24"/>
                <w:szCs w:val="24"/>
                <w:u w:val="none"/>
              </w:rPr>
              <w:t>Lot n°6 : Arrondissements de Beauvais, Clermont, Compiègne, Senlis</w:t>
            </w:r>
          </w:p>
        </w:tc>
      </w:tr>
      <w:tr>
        <w:trPr/>
        <w:tc>
          <w:tcPr>
            <w:tcW w:w="630" w:type="dxa"/>
            <w:tcBorders>
              <w:left w:val="single" w:sz="4" w:space="0" w:color="000000"/>
              <w:bottom w:val="single" w:sz="4" w:space="0" w:color="000000"/>
            </w:tcBorders>
            <w:shd w:fill="B2B2B2" w:val="clear"/>
          </w:tcPr>
          <w:p>
            <w:pPr>
              <w:pStyle w:val="Contenudetableau"/>
              <w:widowControl w:val="false"/>
              <w:spacing w:before="0" w:after="160"/>
              <w:jc w:val="center"/>
              <w:rPr>
                <w:rFonts w:ascii="Calibri" w:hAnsi="Calibri" w:cs="Calibri"/>
                <w:b/>
                <w:bCs/>
                <w:sz w:val="24"/>
                <w:szCs w:val="24"/>
              </w:rPr>
            </w:pPr>
            <w:r>
              <w:rPr>
                <w:rFonts w:cs="Calibri"/>
                <w:b/>
                <w:bCs/>
                <w:sz w:val="24"/>
                <w:szCs w:val="24"/>
              </w:rPr>
            </w:r>
          </w:p>
        </w:tc>
        <w:tc>
          <w:tcPr>
            <w:tcW w:w="8441" w:type="dxa"/>
            <w:tcBorders>
              <w:left w:val="single" w:sz="4" w:space="0" w:color="000000"/>
              <w:bottom w:val="single" w:sz="4" w:space="0" w:color="000000"/>
              <w:right w:val="single" w:sz="4" w:space="0" w:color="000000"/>
            </w:tcBorders>
          </w:tcPr>
          <w:p>
            <w:pPr>
              <w:pStyle w:val="Normal"/>
              <w:widowControl w:val="false"/>
              <w:spacing w:before="0" w:after="160"/>
              <w:jc w:val="both"/>
              <w:rPr/>
            </w:pPr>
            <w:r>
              <w:rPr>
                <w:rFonts w:cs="Calibri"/>
                <w:b w:val="false"/>
                <w:bCs w:val="false"/>
                <w:sz w:val="24"/>
                <w:szCs w:val="24"/>
                <w:u w:val="none"/>
              </w:rPr>
              <w:t>Lot n°7 : Arrondissements de Château-Thierry, Soissons, Laon, Vervins, Saint-Quentin</w:t>
            </w:r>
          </w:p>
        </w:tc>
      </w:tr>
      <w:tr>
        <w:trPr/>
        <w:tc>
          <w:tcPr>
            <w:tcW w:w="630" w:type="dxa"/>
            <w:tcBorders>
              <w:left w:val="single" w:sz="4" w:space="0" w:color="000000"/>
              <w:bottom w:val="single" w:sz="4" w:space="0" w:color="000000"/>
            </w:tcBorders>
            <w:shd w:fill="B2B2B2" w:val="clear"/>
          </w:tcPr>
          <w:p>
            <w:pPr>
              <w:pStyle w:val="Contenudetableau"/>
              <w:widowControl w:val="false"/>
              <w:spacing w:before="0" w:after="160"/>
              <w:jc w:val="center"/>
              <w:rPr>
                <w:rFonts w:ascii="Calibri" w:hAnsi="Calibri" w:cs="Calibri"/>
                <w:b/>
                <w:bCs/>
                <w:sz w:val="24"/>
                <w:szCs w:val="24"/>
              </w:rPr>
            </w:pPr>
            <w:r>
              <w:rPr>
                <w:rFonts w:cs="Calibri"/>
                <w:b/>
                <w:bCs/>
                <w:sz w:val="24"/>
                <w:szCs w:val="24"/>
              </w:rPr>
            </w:r>
          </w:p>
        </w:tc>
        <w:tc>
          <w:tcPr>
            <w:tcW w:w="8441" w:type="dxa"/>
            <w:tcBorders>
              <w:left w:val="single" w:sz="4" w:space="0" w:color="000000"/>
              <w:bottom w:val="single" w:sz="4" w:space="0" w:color="000000"/>
              <w:right w:val="single" w:sz="4" w:space="0" w:color="000000"/>
            </w:tcBorders>
          </w:tcPr>
          <w:p>
            <w:pPr>
              <w:pStyle w:val="Normal"/>
              <w:widowControl w:val="false"/>
              <w:spacing w:lineRule="auto" w:line="240" w:before="0" w:after="160"/>
              <w:jc w:val="both"/>
              <w:rPr/>
            </w:pPr>
            <w:r>
              <w:rPr>
                <w:rFonts w:cs="Calibri" w:cstheme="minorHAnsi"/>
                <w:b w:val="false"/>
                <w:bCs w:val="false"/>
                <w:sz w:val="24"/>
                <w:szCs w:val="24"/>
                <w:u w:val="none"/>
              </w:rPr>
              <w:t>Lot n°8 : Arrondissements de Abbeville, Amiens, Montdidier, Péronne</w:t>
            </w:r>
          </w:p>
        </w:tc>
      </w:tr>
    </w:tbl>
    <w:p>
      <w:pPr>
        <w:pStyle w:val="Normal"/>
        <w:spacing w:lineRule="auto" w:line="240"/>
        <w:jc w:val="both"/>
        <w:rPr>
          <w:rFonts w:ascii="Calibri" w:hAnsi="Calibri"/>
        </w:rPr>
      </w:pPr>
      <w:r>
        <w:rPr/>
      </w:r>
    </w:p>
    <w:p>
      <w:pPr>
        <w:pStyle w:val="Normal"/>
        <w:spacing w:lineRule="auto" w:line="240"/>
        <w:rPr>
          <w:rFonts w:ascii="Calibri" w:hAnsi="Calibri"/>
        </w:rPr>
      </w:pPr>
      <w:r>
        <w:rPr>
          <w:rFonts w:cs="Calibri" w:cstheme="minorHAnsi"/>
          <w:b/>
        </w:rPr>
        <w:t>CRITÈRE 2 - VALEUR TECHNIQUE : 30 %</w:t>
      </w:r>
    </w:p>
    <w:p>
      <w:pPr>
        <w:pStyle w:val="ListParagraph"/>
        <w:numPr>
          <w:ilvl w:val="0"/>
          <w:numId w:val="2"/>
        </w:numPr>
        <w:spacing w:lineRule="auto" w:line="240" w:before="57" w:after="0"/>
        <w:contextualSpacing/>
        <w:jc w:val="both"/>
        <w:rPr>
          <w:rFonts w:ascii="Calibri" w:hAnsi="Calibri"/>
        </w:rPr>
      </w:pPr>
      <w:r>
        <w:rPr>
          <w:rFonts w:eastAsia="Times New Roman" w:cs="Calibri" w:cstheme="minorHAnsi"/>
          <w:b/>
          <w:bCs/>
          <w:lang w:eastAsia="fr-FR"/>
        </w:rPr>
        <w:t>Sous-critère 2-1 :</w:t>
      </w:r>
      <w:r>
        <w:rPr>
          <w:rFonts w:eastAsia="Times New Roman" w:cs="Calibri" w:cstheme="minorHAnsi"/>
          <w:b w:val="false"/>
          <w:bCs w:val="false"/>
          <w:lang w:eastAsia="fr-FR"/>
        </w:rPr>
        <w:t xml:space="preserve"> Modalités d’organisation pour l’exécution des prestations sur l’ensemble des sites bénéficiaires repris dans la DPGF du lot concerné – </w:t>
      </w:r>
      <w:r>
        <w:rPr>
          <w:rFonts w:eastAsia="Times New Roman" w:cs="Calibri" w:cstheme="minorHAnsi"/>
          <w:b/>
          <w:bCs/>
          <w:lang w:eastAsia="fr-FR"/>
        </w:rPr>
        <w:t>20 points</w:t>
      </w:r>
    </w:p>
    <w:p>
      <w:pPr>
        <w:pStyle w:val="ListParagraph"/>
        <w:numPr>
          <w:ilvl w:val="0"/>
          <w:numId w:val="0"/>
        </w:numPr>
        <w:spacing w:lineRule="auto" w:line="240" w:before="57" w:after="0"/>
        <w:ind w:hanging="0" w:left="720"/>
        <w:contextualSpacing/>
        <w:jc w:val="both"/>
        <w:rPr>
          <w:rFonts w:ascii="Calibri" w:hAnsi="Calibri"/>
        </w:rPr>
      </w:pPr>
      <w:r>
        <w:rPr/>
      </w:r>
    </w:p>
    <w:p>
      <w:pPr>
        <w:pStyle w:val="ListParagraph"/>
        <w:numPr>
          <w:ilvl w:val="0"/>
          <w:numId w:val="0"/>
        </w:numPr>
        <w:spacing w:lineRule="auto" w:line="240" w:before="57" w:after="0"/>
        <w:ind w:hanging="0" w:left="720"/>
        <w:contextualSpacing/>
        <w:jc w:val="both"/>
        <w:rPr>
          <w:rFonts w:cs="Calibri" w:cstheme="minorHAnsi"/>
          <w:highlight w:val="none"/>
          <w:shd w:fill="auto" w:val="clear"/>
        </w:rPr>
      </w:pPr>
      <w:r>
        <w:rPr>
          <w:rFonts w:eastAsia="Times New Roman" w:cs="Calibri" w:cstheme="minorHAnsi"/>
          <w:b w:val="false"/>
          <w:bCs w:val="false"/>
          <w:i/>
          <w:iCs/>
          <w:color w:val="000000"/>
          <w:sz w:val="22"/>
          <w:szCs w:val="22"/>
          <w:shd w:fill="auto" w:val="clear"/>
          <w:lang w:eastAsia="fr-FR"/>
        </w:rPr>
        <w:t xml:space="preserve">Le candidat décrit : </w:t>
      </w:r>
    </w:p>
    <w:p>
      <w:pPr>
        <w:pStyle w:val="ListParagraph"/>
        <w:numPr>
          <w:ilvl w:val="1"/>
          <w:numId w:val="2"/>
        </w:numPr>
        <w:spacing w:lineRule="auto" w:line="240" w:before="57" w:after="0"/>
        <w:contextualSpacing/>
        <w:jc w:val="both"/>
        <w:rPr>
          <w:rFonts w:cs="Calibri" w:cstheme="minorHAnsi"/>
          <w:b w:val="false"/>
          <w:bCs w:val="false"/>
          <w:highlight w:val="none"/>
          <w:shd w:fill="auto" w:val="clear"/>
        </w:rPr>
      </w:pPr>
      <w:r>
        <w:rPr>
          <w:rFonts w:eastAsia="Times New Roman" w:cs="Calibri" w:cstheme="minorHAnsi"/>
          <w:b w:val="false"/>
          <w:bCs w:val="false"/>
          <w:i/>
          <w:iCs/>
          <w:color w:val="000000"/>
          <w:sz w:val="22"/>
          <w:szCs w:val="22"/>
          <w:shd w:fill="auto" w:val="clear"/>
          <w:lang w:eastAsia="fr-FR"/>
        </w:rPr>
        <w:t xml:space="preserve">les moyens organisationnels, humains et techniques mis en place pour exécuter les prestations dans l’ensemble des sites identifiés dans la DPGF pour le lot concerné ; </w:t>
      </w:r>
    </w:p>
    <w:p>
      <w:pPr>
        <w:pStyle w:val="ListParagraph"/>
        <w:numPr>
          <w:ilvl w:val="1"/>
          <w:numId w:val="2"/>
        </w:numPr>
        <w:spacing w:lineRule="auto" w:line="240" w:before="57" w:after="0"/>
        <w:contextualSpacing/>
        <w:jc w:val="both"/>
        <w:rPr>
          <w:rFonts w:cs="Calibri" w:cstheme="minorHAnsi"/>
          <w:b w:val="false"/>
          <w:bCs w:val="false"/>
          <w:highlight w:val="none"/>
          <w:shd w:fill="auto" w:val="clear"/>
        </w:rPr>
      </w:pPr>
      <w:r>
        <w:rPr>
          <w:rFonts w:eastAsia="Times New Roman" w:cs="Calibri" w:cstheme="minorHAnsi"/>
          <w:b w:val="false"/>
          <w:bCs w:val="false"/>
          <w:i/>
          <w:iCs/>
          <w:color w:val="000000"/>
          <w:sz w:val="22"/>
          <w:szCs w:val="22"/>
          <w:shd w:fill="auto" w:val="clear"/>
          <w:lang w:eastAsia="fr-FR"/>
        </w:rPr>
        <w:t xml:space="preserve">les modalités de prise en charge des demandes relatives aux prestations ponctuelles ; </w:t>
      </w:r>
    </w:p>
    <w:p>
      <w:pPr>
        <w:pStyle w:val="ListParagraph"/>
        <w:numPr>
          <w:ilvl w:val="1"/>
          <w:numId w:val="2"/>
        </w:numPr>
        <w:spacing w:lineRule="auto" w:line="240" w:before="57" w:after="0"/>
        <w:contextualSpacing/>
        <w:jc w:val="both"/>
        <w:rPr/>
      </w:pPr>
      <w:r>
        <w:rPr>
          <w:rFonts w:eastAsia="Times New Roman" w:cs="Calibri" w:cstheme="minorHAnsi"/>
          <w:b w:val="false"/>
          <w:bCs w:val="false"/>
          <w:i/>
          <w:iCs/>
          <w:color w:val="000000"/>
          <w:sz w:val="22"/>
          <w:szCs w:val="22"/>
          <w:shd w:fill="auto" w:val="clear"/>
          <w:lang w:eastAsia="fr-FR"/>
        </w:rPr>
        <w:t xml:space="preserve">les modalités de reprogrammation d’une prestation récurrente en cas d’aléas ou d’intempéries rendant l’intervention programmée impossible. </w:t>
      </w:r>
    </w:p>
    <w:p>
      <w:pPr>
        <w:pStyle w:val="ListParagraph"/>
        <w:numPr>
          <w:ilvl w:val="0"/>
          <w:numId w:val="0"/>
        </w:numPr>
        <w:spacing w:lineRule="auto" w:line="240" w:before="57" w:after="0"/>
        <w:ind w:hanging="0" w:left="1440"/>
        <w:contextualSpacing/>
        <w:jc w:val="both"/>
        <w:rPr>
          <w:rFonts w:eastAsia="Times New Roman" w:cs="Calibri" w:cstheme="minorHAnsi"/>
          <w:b w:val="false"/>
          <w:bCs w:val="false"/>
          <w:i/>
          <w:i/>
          <w:iCs/>
          <w:color w:val="000000"/>
          <w:sz w:val="22"/>
          <w:szCs w:val="22"/>
          <w:highlight w:val="none"/>
          <w:shd w:fill="auto" w:val="clear"/>
          <w:lang w:eastAsia="fr-FR"/>
        </w:rPr>
      </w:pPr>
      <w:r>
        <w:rPr>
          <w:rFonts w:eastAsia="Times New Roman" w:cs="Calibri" w:cstheme="minorHAnsi"/>
          <w:b w:val="false"/>
          <w:bCs w:val="false"/>
          <w:i/>
          <w:iCs/>
          <w:color w:val="000000"/>
          <w:sz w:val="22"/>
          <w:szCs w:val="22"/>
          <w:shd w:fill="auto" w:val="clear"/>
          <w:lang w:eastAsia="fr-FR"/>
        </w:rPr>
      </w:r>
    </w:p>
    <w:p>
      <w:pPr>
        <w:pStyle w:val="Normal"/>
        <w:spacing w:lineRule="auto" w:line="240"/>
        <w:rPr>
          <w:rFonts w:ascii="Calibri" w:hAnsi="Calibri"/>
        </w:rPr>
      </w:pPr>
      <w:r>
        <w:rPr>
          <w:rFonts w:cs="Calibri" w:cstheme="minorHAnsi"/>
          <w:highlight w:val="lightGray"/>
        </w:rPr>
        <w:t>………………………………………………………………………………………………………………………………………………………………………………………………………………………………………………………………………………………………………………………………………………………………………………………………………………………………………………………………………………………………………………………………………………………………………………………………………………………………………………………………………………………………………………………………………………………………………………………………………………………………………………………………………………………………………………………………………………………………………………………………………………………………………………………………………………………………………………………………………………………………………………………………………………………………………………………………………………………………………………………………………………………………………………………………………………………………………………………………………………………………………………………………………………………………………………………………………………………………………………………………………………………………………………………………………………………………………………………………………………………………………………………………………………………………………………………………………………………………………………………………………………………………………………………………………………………………………………………………………………………………………………………………………………………………………………………………………………………………………………………………………………………………………………………………………………………………………………………………………………………………………………………………………………………………………………………………………………………………………………………………………………………………………………………………………………………………………………………………………………………………………………………………………………………………………………………………………………………………………………………………………………………………………………………………………………………………………………………………………………………………………………………………………………………………………………………………………………………………………………………………………………………………………………………………………………………………………………………………………………………………………………………………………………………………………………………………………………………………………………………………………………………………………………………………………………………………………………………………………………………………………………………………………………………………………………………………………………………………………………………………………………………………………………………………………………………………………………………………………………………………………………………………………………………………………………………………………………………………………………………………………………………………………………………………………………………………………………………………………………………………………………………………………………………………………………………………………………………………………………………………………………………………………………………………………………………………………………………………………………………………………………………………………………………………………………………………………………………………………………………………………………………………………………………………………………………………………………………………………………………………………………………………………………………………………………………………………………………………………………………………………………………………………………………………………………………………………………………………………………………………………………………………………………………………………………………………………………………………………………………………………………………………………………………………………………………………………………………………………………………………………………………………………………………………………………………………………………………………………………………………………………………………………………………………………………………………………………………………………………………………………………………………………………………………………………………………………………………………………………………………………………………………………………………………………………………………………………………………………………………………………………………………………………………………………………………………………………………………………………………………………………………………………………………………………………………………………………………………………………………………………………………………………………………………………………………………………………………………………………………………………………………………………………………………………………………………………………………………………………………………………………………………………………………………………………………………………………………………………………………………………………………………………</w:t>
      </w:r>
    </w:p>
    <w:p>
      <w:pPr>
        <w:pStyle w:val="ListParagraph"/>
        <w:numPr>
          <w:ilvl w:val="0"/>
          <w:numId w:val="2"/>
        </w:numPr>
        <w:spacing w:lineRule="auto" w:line="240"/>
        <w:jc w:val="both"/>
        <w:rPr>
          <w:rFonts w:ascii="Calibri" w:hAnsi="Calibri"/>
        </w:rPr>
      </w:pPr>
      <w:r>
        <w:rPr>
          <w:rFonts w:cs="Calibri" w:cstheme="minorHAnsi"/>
          <w:b/>
        </w:rPr>
        <w:t xml:space="preserve">Sous-critère 2-2 : </w:t>
      </w:r>
      <w:r>
        <w:rPr>
          <w:rFonts w:cs="Calibri" w:cstheme="minorHAnsi"/>
          <w:b w:val="false"/>
          <w:bCs w:val="false"/>
        </w:rPr>
        <w:t xml:space="preserve">Modalités de traçabilité des prestations </w:t>
      </w:r>
      <w:r>
        <w:rPr>
          <w:rFonts w:cs="Calibri" w:cstheme="minorHAnsi"/>
          <w:b w:val="false"/>
          <w:bCs w:val="false"/>
        </w:rPr>
        <w:t xml:space="preserve">réalisées </w:t>
      </w:r>
      <w:r>
        <w:rPr>
          <w:rFonts w:cs="Calibri" w:cstheme="minorHAnsi"/>
          <w:b w:val="false"/>
          <w:bCs w:val="false"/>
        </w:rPr>
        <w:t>pour les services bénéficiaires</w:t>
      </w:r>
      <w:r>
        <w:rPr>
          <w:rFonts w:cs="Calibri" w:cstheme="minorHAnsi"/>
          <w:b/>
        </w:rPr>
        <w:t xml:space="preserve"> </w:t>
      </w:r>
      <w:r>
        <w:rPr>
          <w:rFonts w:cs="Calibri" w:cstheme="minorHAnsi"/>
          <w:b w:val="false"/>
          <w:bCs w:val="false"/>
        </w:rPr>
        <w:t xml:space="preserve">– </w:t>
      </w:r>
      <w:r>
        <w:rPr>
          <w:rFonts w:cs="Calibri" w:cstheme="minorHAnsi"/>
          <w:b/>
          <w:bCs/>
        </w:rPr>
        <w:t>10 points</w:t>
      </w:r>
    </w:p>
    <w:p>
      <w:pPr>
        <w:pStyle w:val="Normal"/>
        <w:spacing w:lineRule="auto" w:line="240"/>
        <w:ind w:hanging="0" w:left="360"/>
        <w:jc w:val="both"/>
        <w:rPr>
          <w:rFonts w:ascii="Calibri" w:hAnsi="Calibri" w:eastAsia="Calibri" w:cs="" w:asciiTheme="minorHAnsi" w:cstheme="minorBidi" w:eastAsiaTheme="minorHAnsi" w:hAnsiTheme="minorHAnsi"/>
          <w:i/>
          <w:i/>
          <w:iCs/>
          <w:highlight w:val="none"/>
          <w:shd w:fill="auto" w:val="clear"/>
        </w:rPr>
      </w:pPr>
      <w:r>
        <w:rPr>
          <w:rFonts w:cs="Calibri"/>
          <w:i/>
          <w:iCs/>
          <w:shd w:fill="auto" w:val="clear"/>
        </w:rPr>
        <w:tab/>
      </w:r>
      <w:r>
        <w:rPr>
          <w:rFonts w:eastAsia="Times New Roman" w:cs="Calibri"/>
          <w:i/>
          <w:iCs/>
          <w:shd w:fill="auto" w:val="clear"/>
          <w:lang w:eastAsia="fr-FR"/>
        </w:rPr>
        <w:t>L</w:t>
      </w:r>
      <w:r>
        <w:rPr>
          <w:rFonts w:eastAsia="Times New Roman" w:cs="Liberation Sans" w:ascii="Arial" w:hAnsi="Arial"/>
          <w:b w:val="false"/>
          <w:i/>
          <w:iCs/>
          <w:sz w:val="20"/>
          <w:szCs w:val="20"/>
          <w:shd w:fill="auto" w:val="clear"/>
          <w:lang w:eastAsia="fr-FR"/>
        </w:rPr>
        <w:t xml:space="preserve">es prestations effectuées dans le cadre de l’exécution de l’accord-cadre devront pouvoir être </w:t>
        <w:tab/>
        <w:t xml:space="preserve">suivies à tout moment par chaque service bénéficiaire et par le représentant de la PFRA. </w:t>
      </w:r>
    </w:p>
    <w:p>
      <w:pPr>
        <w:pStyle w:val="Normal"/>
        <w:spacing w:lineRule="auto" w:line="240"/>
        <w:ind w:hanging="0" w:left="360"/>
        <w:jc w:val="both"/>
        <w:rPr>
          <w:rFonts w:ascii="Calibri" w:hAnsi="Calibri" w:eastAsia="Calibri" w:cs="" w:asciiTheme="minorHAnsi" w:cstheme="minorBidi" w:eastAsiaTheme="minorHAnsi" w:hAnsiTheme="minorHAnsi"/>
          <w:i/>
          <w:i/>
          <w:iCs/>
          <w:highlight w:val="none"/>
          <w:shd w:fill="auto" w:val="clear"/>
        </w:rPr>
      </w:pPr>
      <w:r>
        <w:rPr>
          <w:rFonts w:eastAsia="Times New Roman" w:cs="Liberation Sans" w:ascii="Arial" w:hAnsi="Arial"/>
          <w:b w:val="false"/>
          <w:i/>
          <w:iCs/>
          <w:sz w:val="20"/>
          <w:szCs w:val="20"/>
          <w:shd w:fill="auto" w:val="clear"/>
          <w:lang w:eastAsia="fr-FR"/>
        </w:rPr>
        <w:tab/>
        <w:t xml:space="preserve">Le candidat précise les modalités de suivi des prestations (quantitatif, qualitatif, financier, </w:t>
        <w:tab/>
        <w:t xml:space="preserve">social, et environnemental) qu’il propose de mettre en place. </w:t>
      </w:r>
    </w:p>
    <w:p>
      <w:pPr>
        <w:pStyle w:val="Normal"/>
        <w:spacing w:lineRule="auto" w:line="240" w:before="57" w:after="0"/>
        <w:jc w:val="both"/>
        <w:rPr>
          <w:rFonts w:ascii="Calibri" w:hAnsi="Calibri"/>
        </w:rPr>
      </w:pPr>
      <w:r>
        <w:rPr/>
      </w:r>
    </w:p>
    <w:p>
      <w:pPr>
        <w:pStyle w:val="Normal"/>
        <w:spacing w:lineRule="auto" w:line="240"/>
        <w:jc w:val="both"/>
        <w:rPr>
          <w:rFonts w:ascii="Calibri" w:hAnsi="Calibri"/>
        </w:rPr>
      </w:pPr>
      <w:r>
        <w:rPr>
          <w:rFonts w:cs="Calibri" w:cstheme="minorHAnsi"/>
          <w:highlight w:val="lightGray"/>
        </w:rPr>
        <w:t>………………………………………………………………………………………………………………………………………………………………………………………………………………………………………………………………………………………………………………………………………………………………………………………………………………………………………………………………………………………………………………………………………………………………………………………………………………………………………………………………………………………………………………………………………………………………………………………………………………………………………………………………………………………………………………………………………………………………………………………………………………………………………………………………………………………………………………………………………………………………………………………………………………………………………………………………………………………………………………………………………………………………………………………………………………………………………………………………………………………………………………………………………………………………………………………………………………………………………………………………………………………………………………………………………………………………………………………………………………………………………………………………………………………………………………………………………………………………………………………………………………………………………………………………………………………………………………………………………………………………………………………………………………………………………………………………………………………………………………………………………………………………………………………………………………………………………………………………………………………………………………………………………………………………………………………………………………………………………………………………………………………………………………………………………………………………………………………………………………………………………………………………………………………………………………………………………………………………………………………………………………………………………………………………………………………………………………………………………………………………………………………………………………………………………………………………………………………………………………………………………………………………………………………………………………………………………………………………………………………………………………………………………………………………………………………………………………………………………………………………………………………………………………………………………………………………………………………………………………………………………………………………………………………………………………………………………………………………………………………………………………………………………………………………………………………………………………………………………………………………………………………………………………………………………………………………………………………………………………………………………………………………………………………………………………………………………………………………………………………………………………………………………………………………………………………………………………………………………………………………………………………………………………………………………………………………………………………………………………………………………………………………………………………………………………………………………………………………………………………………………………………………………………………………………………………………………………………………………………………………………………………………………………………………………………………………………………………………………………………………………………………………………………………………………………………………………………………………………………………………………………………………………………………………………………………………………………………………………………………………………………………………………………………………………………………………………………………………………………………………………………………………………………………………………………………………………………………………………………………………………………………………………………………………………………………………………………………………………………………………………………………………………………………………………………………………………………………………………………………………………………………………………………………</w:t>
      </w:r>
    </w:p>
    <w:p>
      <w:pPr>
        <w:pStyle w:val="Normal"/>
        <w:spacing w:lineRule="auto" w:line="240"/>
        <w:jc w:val="both"/>
        <w:rPr>
          <w:rFonts w:ascii="Calibri" w:hAnsi="Calibri"/>
        </w:rPr>
      </w:pPr>
      <w:r>
        <w:rPr>
          <w:rFonts w:cs="Calibri" w:cstheme="minorHAnsi"/>
          <w:b/>
          <w:shd w:fill="auto" w:val="clear"/>
        </w:rPr>
        <w:t>CRITÈRE 3 : QUALITÉ ENVIRONNEMENTALE : 20 %</w:t>
      </w:r>
    </w:p>
    <w:p>
      <w:pPr>
        <w:pStyle w:val="ListParagraph"/>
        <w:numPr>
          <w:ilvl w:val="0"/>
          <w:numId w:val="2"/>
        </w:numPr>
        <w:spacing w:lineRule="auto" w:line="240" w:before="57" w:after="0"/>
        <w:contextualSpacing/>
        <w:jc w:val="both"/>
        <w:rPr>
          <w:rFonts w:ascii="Calibri" w:hAnsi="Calibri"/>
        </w:rPr>
      </w:pPr>
      <w:r>
        <w:rPr>
          <w:rFonts w:eastAsia="Times New Roman" w:cs="Calibri" w:cstheme="minorHAnsi"/>
          <w:b/>
          <w:bCs/>
          <w:shd w:fill="auto" w:val="clear"/>
          <w:lang w:eastAsia="fr-FR"/>
        </w:rPr>
        <w:t>Sous-critère 3-1 :</w:t>
      </w:r>
      <w:r>
        <w:rPr>
          <w:rFonts w:eastAsia="Times New Roman" w:cs="Calibri" w:cstheme="minorHAnsi"/>
          <w:b w:val="false"/>
          <w:bCs w:val="false"/>
          <w:shd w:fill="auto" w:val="clear"/>
          <w:lang w:eastAsia="fr-FR"/>
        </w:rPr>
        <w:t xml:space="preserve"> Plan de gestion différenciée-type pour des espaces représentatifs des sites de l’accord-cadre – </w:t>
      </w:r>
      <w:r>
        <w:rPr>
          <w:rFonts w:eastAsia="Times New Roman" w:cs="Calibri" w:cstheme="minorHAnsi"/>
          <w:b/>
          <w:bCs/>
          <w:shd w:fill="auto" w:val="clear"/>
          <w:lang w:eastAsia="fr-FR"/>
        </w:rPr>
        <w:t>15 points</w:t>
      </w:r>
    </w:p>
    <w:p>
      <w:pPr>
        <w:pStyle w:val="ListParagraph"/>
        <w:spacing w:lineRule="auto" w:line="240" w:before="57" w:after="0"/>
        <w:contextualSpacing/>
        <w:jc w:val="both"/>
        <w:rPr>
          <w:rFonts w:ascii="Calibri" w:hAnsi="Calibri"/>
        </w:rPr>
      </w:pPr>
      <w:r>
        <w:rPr/>
      </w:r>
    </w:p>
    <w:p>
      <w:pPr>
        <w:pStyle w:val="ListParagraph"/>
        <w:spacing w:lineRule="auto" w:line="240" w:before="57" w:after="0"/>
        <w:contextualSpacing/>
        <w:jc w:val="both"/>
        <w:rPr>
          <w:b w:val="false"/>
          <w:bCs w:val="false"/>
          <w:i/>
          <w:i/>
          <w:iCs/>
        </w:rPr>
      </w:pPr>
      <w:r>
        <w:rPr>
          <w:rFonts w:eastAsia="Times New Roman" w:cs="Calibri" w:cstheme="minorHAnsi"/>
          <w:b w:val="false"/>
          <w:bCs w:val="false"/>
          <w:i/>
          <w:iCs/>
          <w:shd w:fill="auto" w:val="clear"/>
          <w:lang w:eastAsia="fr-FR"/>
        </w:rPr>
        <w:tab/>
        <w:t>Le candidat propose des exemples de plan de gestion différenciée qu’il a pu mettre en place sur des espaces représentatifs des sites du présent accord-cadre d</w:t>
      </w:r>
      <w:r>
        <w:rPr>
          <w:rFonts w:eastAsia="Times New Roman" w:cs="Calibri" w:cstheme="minorHAnsi"/>
          <w:b w:val="false"/>
          <w:bCs w:val="false"/>
          <w:i/>
          <w:iCs/>
          <w:sz w:val="22"/>
          <w:szCs w:val="22"/>
          <w:shd w:fill="auto" w:val="clear"/>
          <w:lang w:eastAsia="fr-FR"/>
        </w:rPr>
        <w:t xml:space="preserve">ans les conditions de l’article 7.2 – Plan de gestion différenciée du CCAP. </w:t>
      </w:r>
    </w:p>
    <w:p>
      <w:pPr>
        <w:pStyle w:val="ListParagraph"/>
        <w:spacing w:lineRule="auto" w:line="240" w:before="57" w:after="0"/>
        <w:contextualSpacing/>
        <w:jc w:val="both"/>
        <w:rPr>
          <w:rFonts w:ascii="Calibri" w:hAnsi="Calibri"/>
        </w:rPr>
      </w:pPr>
      <w:r>
        <w:rPr/>
      </w:r>
    </w:p>
    <w:p>
      <w:pPr>
        <w:pStyle w:val="Normal"/>
        <w:jc w:val="both"/>
        <w:rPr>
          <w:rFonts w:ascii="Calibri" w:hAnsi="Calibri"/>
          <w:sz w:val="22"/>
          <w:szCs w:val="22"/>
        </w:rPr>
      </w:pPr>
      <w:r>
        <w:rPr>
          <w:sz w:val="22"/>
          <w:szCs w:val="22"/>
        </w:rPr>
        <w:tab/>
      </w:r>
      <w:r>
        <w:rPr>
          <w:i/>
          <w:iCs/>
          <w:sz w:val="22"/>
          <w:szCs w:val="22"/>
        </w:rPr>
        <w:t xml:space="preserve">La gestion différenciée est une adaptation de la gestion d’un espace (conception, entretien) </w:t>
        <w:tab/>
        <w:t xml:space="preserve">selon les caractéristiques du site et selon son environnement vers une meilleure approche </w:t>
        <w:tab/>
        <w:t>économique et écologique des espaces.</w:t>
      </w:r>
    </w:p>
    <w:p>
      <w:pPr>
        <w:pStyle w:val="Normal"/>
        <w:jc w:val="both"/>
        <w:rPr>
          <w:rFonts w:ascii="Calibri" w:hAnsi="Calibri"/>
          <w:i/>
          <w:i/>
          <w:iCs/>
          <w:sz w:val="22"/>
          <w:szCs w:val="22"/>
        </w:rPr>
      </w:pPr>
      <w:r>
        <w:rPr>
          <w:i/>
          <w:iCs/>
          <w:sz w:val="22"/>
          <w:szCs w:val="22"/>
        </w:rPr>
        <w:tab/>
        <w:t xml:space="preserve">La gestion différenciée des espaces verts et naturels publics s’inscrit dans les principes du </w:t>
        <w:tab/>
        <w:t>développement durable.</w:t>
      </w:r>
    </w:p>
    <w:p>
      <w:pPr>
        <w:pStyle w:val="Normal"/>
        <w:jc w:val="both"/>
        <w:rPr>
          <w:rFonts w:ascii="Calibri" w:hAnsi="Calibri"/>
          <w:i/>
          <w:i/>
          <w:iCs/>
          <w:sz w:val="22"/>
          <w:szCs w:val="22"/>
        </w:rPr>
      </w:pPr>
      <w:r>
        <w:rPr>
          <w:i/>
          <w:iCs/>
          <w:sz w:val="22"/>
          <w:szCs w:val="22"/>
        </w:rPr>
        <w:tab/>
        <w:t xml:space="preserve">L’objectif, possible par une planification globale d’entretien, est d’affecter du temps et des </w:t>
        <w:tab/>
        <w:t xml:space="preserve">moyens là où cela est indispensable pour maintenir la valeur d’usage, le confort du public, </w:t>
        <w:tab/>
        <w:t xml:space="preserve">l’esthétisme et les fonctionnalités de l’espace vert. </w:t>
      </w:r>
    </w:p>
    <w:p>
      <w:pPr>
        <w:pStyle w:val="Normal"/>
        <w:jc w:val="both"/>
        <w:rPr/>
      </w:pPr>
      <w:r>
        <w:rPr>
          <w:rFonts w:eastAsia="Times New Roman" w:cs="Calibri" w:cstheme="minorHAnsi"/>
          <w:b/>
          <w:bCs/>
          <w:i/>
          <w:iCs/>
          <w:sz w:val="22"/>
          <w:szCs w:val="22"/>
          <w:shd w:fill="auto" w:val="clear"/>
          <w:lang w:eastAsia="fr-FR"/>
        </w:rPr>
        <w:tab/>
      </w:r>
      <w:r>
        <w:rPr>
          <w:rFonts w:eastAsia="Times New Roman" w:cs="Calibri" w:cstheme="minorHAnsi"/>
          <w:b w:val="false"/>
          <w:bCs w:val="false"/>
          <w:i/>
          <w:iCs/>
          <w:sz w:val="22"/>
          <w:szCs w:val="22"/>
          <w:shd w:fill="auto" w:val="clear"/>
          <w:lang w:eastAsia="fr-FR"/>
        </w:rPr>
        <w:t xml:space="preserve">Le principe clé est de rompre avec un entretien « classique » habituel en ciblant les </w:t>
        <w:tab/>
        <w:t xml:space="preserve">interventions. </w:t>
      </w:r>
    </w:p>
    <w:p>
      <w:pPr>
        <w:pStyle w:val="Normal"/>
        <w:tabs>
          <w:tab w:val="clear" w:pos="708"/>
          <w:tab w:val="left" w:pos="1114" w:leader="none"/>
        </w:tabs>
        <w:spacing w:lineRule="exact" w:line="280" w:before="0" w:after="0"/>
        <w:ind w:hanging="680" w:left="-57" w:right="-340"/>
        <w:jc w:val="both"/>
        <w:rPr/>
      </w:pPr>
      <w:r>
        <w:rPr/>
        <w:tab/>
        <w:t xml:space="preserve">A) Le candidat décrit ses préconisations d’amélioration et ce que cela engendre </w:t>
      </w:r>
      <w:bookmarkStart w:id="0" w:name="_GoBack"/>
      <w:bookmarkEnd w:id="0"/>
      <w:r>
        <w:rPr/>
        <w:t xml:space="preserve">sur les prestations ponctuelles. </w:t>
      </w:r>
    </w:p>
    <w:p>
      <w:pPr>
        <w:pStyle w:val="Normal"/>
        <w:tabs>
          <w:tab w:val="clear" w:pos="708"/>
          <w:tab w:val="left" w:pos="1114" w:leader="none"/>
        </w:tabs>
        <w:spacing w:lineRule="exact" w:line="280" w:before="0" w:after="0"/>
        <w:ind w:hanging="680" w:left="-57" w:right="-340"/>
        <w:jc w:val="both"/>
        <w:rPr/>
      </w:pPr>
      <w:r>
        <w:rPr/>
        <w:tab/>
      </w:r>
    </w:p>
    <w:p>
      <w:pPr>
        <w:pStyle w:val="Normal"/>
        <w:tabs>
          <w:tab w:val="clear" w:pos="708"/>
          <w:tab w:val="left" w:pos="1114" w:leader="none"/>
        </w:tabs>
        <w:spacing w:lineRule="exact" w:line="280" w:before="0" w:after="0"/>
        <w:ind w:hanging="680" w:left="-57" w:right="-340"/>
        <w:jc w:val="both"/>
        <w:rPr/>
      </w:pPr>
      <w:r>
        <w:rPr/>
        <w:tab/>
        <w:t>B)  Il décrit l’impact sur les prestations récurrentes à réaliser en termes de performances économiques et environnementales :</w:t>
      </w:r>
    </w:p>
    <w:p>
      <w:pPr>
        <w:pStyle w:val="Normal"/>
        <w:numPr>
          <w:ilvl w:val="1"/>
          <w:numId w:val="3"/>
        </w:numPr>
        <w:tabs>
          <w:tab w:val="clear" w:pos="708"/>
          <w:tab w:val="left" w:pos="1114" w:leader="none"/>
        </w:tabs>
        <w:spacing w:lineRule="exact" w:line="280" w:before="0" w:after="0"/>
        <w:jc w:val="both"/>
        <w:rPr/>
      </w:pPr>
      <w:r>
        <w:rPr/>
        <w:t>entretien des pelouses ;</w:t>
      </w:r>
    </w:p>
    <w:p>
      <w:pPr>
        <w:pStyle w:val="Normal"/>
        <w:numPr>
          <w:ilvl w:val="1"/>
          <w:numId w:val="3"/>
        </w:numPr>
        <w:tabs>
          <w:tab w:val="clear" w:pos="708"/>
          <w:tab w:val="left" w:pos="1114" w:leader="none"/>
        </w:tabs>
        <w:spacing w:lineRule="exact" w:line="280" w:before="0" w:after="0"/>
        <w:jc w:val="both"/>
        <w:rPr/>
      </w:pPr>
      <w:r>
        <w:rPr/>
        <w:t xml:space="preserve">entretien des massifs arbustifs ; </w:t>
      </w:r>
    </w:p>
    <w:p>
      <w:pPr>
        <w:pStyle w:val="Normal"/>
        <w:numPr>
          <w:ilvl w:val="1"/>
          <w:numId w:val="3"/>
        </w:numPr>
        <w:tabs>
          <w:tab w:val="clear" w:pos="708"/>
          <w:tab w:val="left" w:pos="1114" w:leader="none"/>
        </w:tabs>
        <w:spacing w:lineRule="exact" w:line="280" w:before="0" w:after="0"/>
        <w:jc w:val="both"/>
        <w:rPr/>
      </w:pPr>
      <w:r>
        <w:rPr/>
        <w:t>entretien des haies ;</w:t>
      </w:r>
    </w:p>
    <w:p>
      <w:pPr>
        <w:pStyle w:val="Normal"/>
        <w:numPr>
          <w:ilvl w:val="1"/>
          <w:numId w:val="3"/>
        </w:numPr>
        <w:tabs>
          <w:tab w:val="clear" w:pos="708"/>
          <w:tab w:val="left" w:pos="1114" w:leader="none"/>
        </w:tabs>
        <w:spacing w:lineRule="exact" w:line="280" w:before="0" w:after="0"/>
        <w:jc w:val="both"/>
        <w:rPr/>
      </w:pPr>
      <w:r>
        <w:rPr/>
        <w:t>entretien des aires minérales des aires minérales ;</w:t>
      </w:r>
    </w:p>
    <w:p>
      <w:pPr>
        <w:pStyle w:val="Normal"/>
        <w:numPr>
          <w:ilvl w:val="1"/>
          <w:numId w:val="3"/>
        </w:numPr>
        <w:tabs>
          <w:tab w:val="clear" w:pos="708"/>
          <w:tab w:val="left" w:pos="1114" w:leader="none"/>
        </w:tabs>
        <w:spacing w:lineRule="exact" w:line="280" w:before="0" w:after="0"/>
        <w:jc w:val="both"/>
        <w:rPr/>
      </w:pPr>
      <w:r>
        <w:rPr/>
        <w:t>plan de désherbage ;</w:t>
      </w:r>
    </w:p>
    <w:p>
      <w:pPr>
        <w:pStyle w:val="Normal"/>
        <w:numPr>
          <w:ilvl w:val="1"/>
          <w:numId w:val="3"/>
        </w:numPr>
        <w:tabs>
          <w:tab w:val="clear" w:pos="708"/>
          <w:tab w:val="left" w:pos="1114" w:leader="none"/>
        </w:tabs>
        <w:spacing w:lineRule="exact" w:line="280" w:before="0" w:after="0"/>
        <w:jc w:val="both"/>
        <w:rPr/>
      </w:pPr>
      <w:r>
        <w:rPr/>
        <w:t>plantation de végétaux et de thyms rampants ;</w:t>
      </w:r>
    </w:p>
    <w:p>
      <w:pPr>
        <w:pStyle w:val="Normal"/>
        <w:numPr>
          <w:ilvl w:val="1"/>
          <w:numId w:val="3"/>
        </w:numPr>
        <w:tabs>
          <w:tab w:val="clear" w:pos="708"/>
          <w:tab w:val="left" w:pos="1114" w:leader="none"/>
        </w:tabs>
        <w:spacing w:lineRule="exact" w:line="280" w:before="0" w:after="0"/>
        <w:jc w:val="both"/>
        <w:rPr/>
      </w:pPr>
      <w:r>
        <w:rPr/>
        <w:t>mise en place de prairies fleuries ou autres propositions d’aménagement ;</w:t>
      </w:r>
    </w:p>
    <w:p>
      <w:pPr>
        <w:pStyle w:val="Normal"/>
        <w:numPr>
          <w:ilvl w:val="1"/>
          <w:numId w:val="3"/>
        </w:numPr>
        <w:tabs>
          <w:tab w:val="clear" w:pos="708"/>
          <w:tab w:val="left" w:pos="1114" w:leader="none"/>
        </w:tabs>
        <w:spacing w:lineRule="exact" w:line="280" w:before="0" w:after="0"/>
        <w:jc w:val="both"/>
        <w:rPr/>
      </w:pPr>
      <w:r>
        <w:rPr/>
        <w:t>recyclage et valorisation des déchets verts gestion des déchets verts) ;</w:t>
      </w:r>
    </w:p>
    <w:p>
      <w:pPr>
        <w:pStyle w:val="Normal"/>
        <w:numPr>
          <w:ilvl w:val="1"/>
          <w:numId w:val="3"/>
        </w:numPr>
        <w:tabs>
          <w:tab w:val="clear" w:pos="708"/>
          <w:tab w:val="left" w:pos="1114" w:leader="none"/>
        </w:tabs>
        <w:spacing w:lineRule="exact" w:line="280" w:before="0" w:after="0"/>
        <w:jc w:val="both"/>
        <w:rPr/>
      </w:pPr>
      <w:r>
        <w:rPr/>
        <w:t xml:space="preserve">etc. </w:t>
      </w:r>
    </w:p>
    <w:p>
      <w:pPr>
        <w:pStyle w:val="Normal"/>
        <w:tabs>
          <w:tab w:val="clear" w:pos="708"/>
          <w:tab w:val="left" w:pos="1114" w:leader="none"/>
        </w:tabs>
        <w:spacing w:lineRule="exact" w:line="280" w:before="0" w:after="0"/>
        <w:ind w:hanging="680" w:left="-57" w:right="-340"/>
        <w:jc w:val="both"/>
        <w:rPr/>
      </w:pPr>
      <w:r>
        <w:rPr/>
        <w:tab/>
      </w:r>
    </w:p>
    <w:p>
      <w:pPr>
        <w:pStyle w:val="Normal"/>
        <w:tabs>
          <w:tab w:val="clear" w:pos="708"/>
          <w:tab w:val="left" w:pos="1114" w:leader="none"/>
        </w:tabs>
        <w:spacing w:lineRule="exact" w:line="280" w:before="0" w:after="0"/>
        <w:ind w:hanging="680" w:left="-57" w:right="-340"/>
        <w:jc w:val="both"/>
        <w:rPr/>
      </w:pPr>
      <w:r>
        <w:rPr/>
        <w:tab/>
        <w:t>C) Il illustre ses propos par une approche visuelle du rendu de l’exemple-type de gestion différenciée.</w:t>
      </w:r>
    </w:p>
    <w:p>
      <w:pPr>
        <w:pStyle w:val="Normal"/>
        <w:tabs>
          <w:tab w:val="clear" w:pos="708"/>
          <w:tab w:val="left" w:pos="1114" w:leader="none"/>
        </w:tabs>
        <w:spacing w:lineRule="exact" w:line="280" w:before="0" w:after="0"/>
        <w:ind w:hanging="680" w:left="-57" w:right="-340"/>
        <w:jc w:val="both"/>
        <w:rPr/>
      </w:pPr>
      <w:r>
        <w:rPr/>
      </w:r>
    </w:p>
    <w:p>
      <w:pPr>
        <w:pStyle w:val="Normal"/>
        <w:tabs>
          <w:tab w:val="clear" w:pos="708"/>
          <w:tab w:val="left" w:pos="1114" w:leader="none"/>
        </w:tabs>
        <w:spacing w:lineRule="exact" w:line="280" w:before="0" w:after="0"/>
        <w:ind w:hanging="680" w:left="-57" w:right="-340"/>
        <w:jc w:val="both"/>
        <w:rPr/>
      </w:pPr>
      <w:r>
        <w:rPr/>
        <w:tab/>
        <w:t>D) Il décrit le mode opératoire et les techniques utilisées pour atteindre les objectifs :</w:t>
      </w:r>
    </w:p>
    <w:p>
      <w:pPr>
        <w:pStyle w:val="Normal"/>
        <w:numPr>
          <w:ilvl w:val="3"/>
          <w:numId w:val="4"/>
        </w:numPr>
        <w:tabs>
          <w:tab w:val="clear" w:pos="708"/>
          <w:tab w:val="left" w:pos="1114" w:leader="none"/>
        </w:tabs>
        <w:spacing w:lineRule="exact" w:line="280" w:before="0" w:after="0"/>
        <w:jc w:val="both"/>
        <w:rPr/>
      </w:pPr>
      <w:r>
        <w:rPr/>
        <w:t>de réduction du nombre d’interventions ;</w:t>
      </w:r>
    </w:p>
    <w:p>
      <w:pPr>
        <w:pStyle w:val="Normal"/>
        <w:numPr>
          <w:ilvl w:val="3"/>
          <w:numId w:val="4"/>
        </w:numPr>
        <w:tabs>
          <w:tab w:val="clear" w:pos="708"/>
          <w:tab w:val="left" w:pos="1114" w:leader="none"/>
        </w:tabs>
        <w:spacing w:lineRule="exact" w:line="280" w:before="0" w:after="0"/>
        <w:jc w:val="both"/>
        <w:rPr/>
      </w:pPr>
      <w:r>
        <w:rPr/>
        <w:t>de création d’ambiance naturelle et d’un esthétisme adapté à la catégorie ;</w:t>
      </w:r>
    </w:p>
    <w:p>
      <w:pPr>
        <w:pStyle w:val="Normal"/>
        <w:numPr>
          <w:ilvl w:val="3"/>
          <w:numId w:val="4"/>
        </w:numPr>
        <w:tabs>
          <w:tab w:val="clear" w:pos="708"/>
          <w:tab w:val="left" w:pos="1114" w:leader="none"/>
        </w:tabs>
        <w:spacing w:lineRule="exact" w:line="280" w:before="0" w:after="0"/>
        <w:jc w:val="both"/>
        <w:rPr/>
      </w:pPr>
      <w:r>
        <w:rPr/>
        <w:t xml:space="preserve">de diminution de zones de désherbage ; </w:t>
      </w:r>
    </w:p>
    <w:p>
      <w:pPr>
        <w:pStyle w:val="Normal"/>
        <w:numPr>
          <w:ilvl w:val="3"/>
          <w:numId w:val="4"/>
        </w:numPr>
        <w:tabs>
          <w:tab w:val="clear" w:pos="708"/>
          <w:tab w:val="left" w:pos="1114" w:leader="none"/>
        </w:tabs>
        <w:spacing w:lineRule="exact" w:line="280" w:before="0" w:after="0"/>
        <w:jc w:val="both"/>
        <w:rPr/>
      </w:pPr>
      <w:r>
        <w:rPr/>
        <w:t>de recyclage ou la valorisation des déchets verts ;</w:t>
      </w:r>
    </w:p>
    <w:p>
      <w:pPr>
        <w:pStyle w:val="Normal"/>
        <w:numPr>
          <w:ilvl w:val="3"/>
          <w:numId w:val="4"/>
        </w:numPr>
        <w:tabs>
          <w:tab w:val="clear" w:pos="708"/>
          <w:tab w:val="left" w:pos="1114" w:leader="none"/>
        </w:tabs>
        <w:spacing w:lineRule="exact" w:line="280" w:before="0" w:after="0"/>
        <w:jc w:val="both"/>
        <w:rPr/>
      </w:pPr>
      <w:r>
        <w:rPr/>
        <w:t xml:space="preserve">etc. </w:t>
      </w:r>
    </w:p>
    <w:p>
      <w:pPr>
        <w:pStyle w:val="Normal"/>
        <w:tabs>
          <w:tab w:val="clear" w:pos="708"/>
          <w:tab w:val="left" w:pos="1114" w:leader="none"/>
        </w:tabs>
        <w:spacing w:lineRule="exact" w:line="280" w:before="0" w:after="0"/>
        <w:ind w:hanging="680" w:left="-57" w:right="-340"/>
        <w:jc w:val="both"/>
        <w:rPr/>
      </w:pPr>
      <w:r>
        <w:rPr/>
      </w:r>
    </w:p>
    <w:p>
      <w:pPr>
        <w:pStyle w:val="Normal"/>
        <w:spacing w:lineRule="auto" w:line="240"/>
        <w:jc w:val="both"/>
        <w:rPr>
          <w:rFonts w:ascii="Calibri" w:hAnsi="Calibri"/>
        </w:rPr>
      </w:pPr>
      <w:r>
        <w:rPr/>
      </w:r>
    </w:p>
    <w:p>
      <w:pPr>
        <w:pStyle w:val="Normal"/>
        <w:spacing w:lineRule="auto" w:line="240"/>
        <w:rPr>
          <w:rFonts w:ascii="Calibri" w:hAnsi="Calibri"/>
        </w:rPr>
      </w:pPr>
      <w:r>
        <w:rPr>
          <w:rFonts w:cs="Calibri" w:cstheme="minorHAnsi"/>
          <w:highlight w:val="lightGray"/>
        </w:rPr>
        <w:t>……………………………………………………………………………………………………………………………………………………………………………………………………………………………………………………………………………………………………………………………………………………………………………………………………………………………………………………………………………………………………………………………………………………………………………………………………………………………………………………………………………………………………………………………………………………………………………………………………………………………………………………………………………………………………………………………………………………………………………………………………………………………………………………………………………………………………………………………………………………………………………………………………………………………………………………………………………………………………………………………………………………………………………………………………………………………………………………………………………………………………………………………………………………………………………………………………………………………………………………………………………………………………………………………………………………………………………………………………………………………………………………………………………………………………………………………………………………………………………………………………………………………………………………………………………………………………………………………………………………………………………………………………………………………………………………………………………………………………………………………………………………………………………………………………………………………………………………………………………………………………………………………………………………………………………………………………………………………………………………………………………………………………………………………………………………………………………………………………………………………………………………………………………………………………………………………………………………………………………………………………………………………………………………………………………………………………………</w:t>
      </w:r>
    </w:p>
    <w:p>
      <w:pPr>
        <w:pStyle w:val="Normal"/>
        <w:spacing w:lineRule="auto" w:line="240"/>
        <w:jc w:val="both"/>
        <w:rPr>
          <w:rFonts w:ascii="Calibri" w:hAnsi="Calibri"/>
          <w:b/>
          <w:bCs/>
          <w:u w:val="single"/>
        </w:rPr>
      </w:pPr>
      <w:r>
        <w:rPr>
          <w:b/>
          <w:bCs/>
          <w:u w:val="single"/>
        </w:rPr>
      </w:r>
    </w:p>
    <w:p>
      <w:pPr>
        <w:pStyle w:val="Normal"/>
        <w:spacing w:lineRule="auto" w:line="240"/>
        <w:jc w:val="both"/>
        <w:rPr>
          <w:rFonts w:ascii="Calibri" w:hAnsi="Calibri"/>
          <w:b/>
          <w:bCs/>
          <w:u w:val="single"/>
        </w:rPr>
      </w:pPr>
      <w:r>
        <w:rPr>
          <w:b/>
          <w:bCs/>
          <w:u w:val="single"/>
        </w:rPr>
      </w:r>
    </w:p>
    <w:p>
      <w:pPr>
        <w:pStyle w:val="ListParagraph"/>
        <w:numPr>
          <w:ilvl w:val="0"/>
          <w:numId w:val="2"/>
        </w:numPr>
        <w:spacing w:lineRule="auto" w:line="240" w:before="57" w:after="0"/>
        <w:contextualSpacing/>
        <w:jc w:val="both"/>
        <w:rPr>
          <w:rFonts w:ascii="Calibri" w:hAnsi="Calibri"/>
        </w:rPr>
      </w:pPr>
      <w:r>
        <w:rPr>
          <w:rFonts w:eastAsia="Times New Roman" w:cs="Calibri" w:cstheme="minorHAnsi"/>
          <w:b/>
          <w:bCs/>
          <w:shd w:fill="auto" w:val="clear"/>
          <w:lang w:eastAsia="fr-FR"/>
        </w:rPr>
        <w:t>Sous-critère 3-2 :</w:t>
      </w:r>
      <w:r>
        <w:rPr>
          <w:rFonts w:eastAsia="Times New Roman" w:cs="Calibri" w:cstheme="minorHAnsi"/>
          <w:b w:val="false"/>
          <w:bCs w:val="false"/>
          <w:shd w:fill="auto" w:val="clear"/>
          <w:lang w:eastAsia="fr-FR"/>
        </w:rPr>
        <w:t xml:space="preserve"> Plan de communication-type de sensibilisation des agents et des usagers à la gestion environnementale et écologique des espaces verts  – </w:t>
      </w:r>
      <w:r>
        <w:rPr>
          <w:rFonts w:eastAsia="Times New Roman" w:cs="Calibri" w:cstheme="minorHAnsi"/>
          <w:b/>
          <w:bCs/>
          <w:shd w:fill="auto" w:val="clear"/>
          <w:lang w:eastAsia="fr-FR"/>
        </w:rPr>
        <w:t>5 points</w:t>
      </w:r>
    </w:p>
    <w:p>
      <w:pPr>
        <w:pStyle w:val="ListParagraph"/>
        <w:spacing w:lineRule="auto" w:line="240" w:before="57" w:after="0"/>
        <w:contextualSpacing/>
        <w:jc w:val="both"/>
        <w:rPr>
          <w:rFonts w:ascii="Calibri" w:hAnsi="Calibri"/>
        </w:rPr>
      </w:pPr>
      <w:r>
        <w:rPr/>
      </w:r>
    </w:p>
    <w:p>
      <w:pPr>
        <w:pStyle w:val="ListParagraph"/>
        <w:spacing w:lineRule="auto" w:line="240" w:before="57" w:after="0"/>
        <w:contextualSpacing/>
        <w:jc w:val="both"/>
        <w:rPr/>
      </w:pPr>
      <w:r>
        <w:rPr>
          <w:rFonts w:eastAsia="Times New Roman" w:cs="Calibri" w:cstheme="minorHAnsi"/>
          <w:b w:val="false"/>
          <w:bCs w:val="false"/>
          <w:i/>
          <w:iCs/>
          <w:shd w:fill="auto" w:val="clear"/>
          <w:lang w:eastAsia="fr-FR"/>
        </w:rPr>
        <w:tab/>
        <w:t>Le candidat propose un plan de communication qui pourrait être mis en place et partag</w:t>
      </w:r>
      <w:r>
        <w:rPr>
          <w:rFonts w:eastAsia="Times New Roman" w:cs="Calibri" w:cstheme="minorHAnsi"/>
          <w:b w:val="false"/>
          <w:bCs w:val="false"/>
          <w:i/>
          <w:iCs/>
          <w:shd w:fill="auto" w:val="clear"/>
          <w:lang w:eastAsia="fr-FR"/>
        </w:rPr>
        <w:t>é</w:t>
      </w:r>
      <w:r>
        <w:rPr>
          <w:rFonts w:eastAsia="Times New Roman" w:cs="Calibri" w:cstheme="minorHAnsi"/>
          <w:b w:val="false"/>
          <w:bCs w:val="false"/>
          <w:i/>
          <w:iCs/>
          <w:shd w:fill="auto" w:val="clear"/>
          <w:lang w:eastAsia="fr-FR"/>
        </w:rPr>
        <w:t xml:space="preserve"> dans une administration pour sensibiliser les agents et les usagers à la gestion environnementale et écologique des espaces verts du site concerné. </w:t>
      </w:r>
    </w:p>
    <w:p>
      <w:pPr>
        <w:pStyle w:val="ListParagraph"/>
        <w:spacing w:lineRule="auto" w:line="240" w:before="57" w:after="0"/>
        <w:contextualSpacing/>
        <w:jc w:val="both"/>
        <w:rPr>
          <w:rFonts w:ascii="Calibri" w:hAnsi="Calibri" w:eastAsia="Times New Roman" w:cs="Calibri" w:cstheme="minorHAnsi"/>
          <w:b w:val="false"/>
          <w:bCs w:val="false"/>
          <w:i/>
          <w:i/>
          <w:iCs/>
          <w:shd w:fill="auto" w:val="clear"/>
          <w:lang w:eastAsia="fr-FR"/>
        </w:rPr>
      </w:pPr>
      <w:r>
        <w:rPr>
          <w:rFonts w:eastAsia="Times New Roman" w:cs="Calibri" w:cstheme="minorHAnsi"/>
          <w:b w:val="false"/>
          <w:bCs w:val="false"/>
          <w:i/>
          <w:iCs/>
          <w:shd w:fill="auto" w:val="clear"/>
          <w:lang w:eastAsia="fr-FR"/>
        </w:rPr>
      </w:r>
    </w:p>
    <w:p>
      <w:pPr>
        <w:pStyle w:val="Normal"/>
        <w:spacing w:lineRule="auto" w:line="240" w:before="0" w:after="160"/>
        <w:rPr>
          <w:rFonts w:ascii="Calibri" w:hAnsi="Calibri"/>
        </w:rPr>
      </w:pPr>
      <w:r>
        <w:rPr>
          <w:rFonts w:cs="Calibri" w:cstheme="minorHAnsi"/>
          <w:highlight w:val="lightGray"/>
        </w:rPr>
        <w:t>………………………………………………………………………………………………………………………………………………………………………………………………………………………………………………………………………………………………………………………………………………………………………………………………………………………………………………………………………………………………………………………………………………………………………………………………………………………………………………………………………………………………………………………………………………………………………………………………………………………………………………………………………………………………………………………………………………………………………………………………………………………………………………………………………………………………………………………………………………………………………………………………………………………………………………………………………………………………………………………………………………………………………………………………………………………………………………………………………………………………………………………………………………………………………………………………………………………………………………………………………………………………………………………………………………………………………………………………………………………………………………………………………………………………………………………………………………………………………………………………………………………………………………………………………………………………………………………………………………………………………………………………………………………………………………………………………………………………………………………………………………………………………………………………………………………………………………………………………………………………………………………………………………………………………………………………………………………………………………………………………………………………………………………………………………………………………………………………………………………………………………………………………………………………………………………………………………………………………………………………………………………………………………………………………………………………………………………………………………………………………………………………………………………………………………………………………………………………………………………………………………………………………………………………………………………………………………………………………………………………………………………………………………………………………………………………………………………………………………………………………………………………………………………………………………………………………………………………………………………………………………………………………………………………………………………………………………………………………………………………………………………………………………………………………………………………………………………………………………………………………………………………………………………………………………………………………………………………………………………………………………………………………………………………………………………………………………………………………………………………………………………………………………………………………………………………………………………………………………………………………………………………………………………………………………………………………………………………………………………………………………………………………………………………………………………………………………………………………………………………………………………………………………………………………………………………………………………………………………………………………………………………………………………………………………………………………………………………………………………………………………………………………………………………………………………………………………………………………………………………………………………………………………………………………………………………………………………………………………………………………………………………………………………………………………………………………………………………………………………………………………………………………………………………</w:t>
      </w:r>
    </w:p>
    <w:sectPr>
      <w:headerReference w:type="even" r:id="rId4"/>
      <w:headerReference w:type="default" r:id="rId5"/>
      <w:headerReference w:type="first" r:id="rId6"/>
      <w:footerReference w:type="even" r:id="rId7"/>
      <w:footerReference w:type="default" r:id="rId8"/>
      <w:footerReference w:type="first" r:id="rId9"/>
      <w:type w:val="nextPage"/>
      <w:pgSz w:w="11906" w:h="16838"/>
      <w:pgMar w:left="1417" w:right="1417" w:gutter="0" w:header="708" w:top="1417" w:footer="1417" w:bottom="19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Times New Roman">
    <w:charset w:val="01"/>
    <w:family w:val="auto"/>
    <w:pitch w:val="default"/>
  </w:font>
  <w:font w:name="Segoe UI">
    <w:charset w:val="01"/>
    <w:family w:val="auto"/>
    <w:pitch w:val="default"/>
  </w:font>
  <w:font w:name="OpenSymbol">
    <w:altName w:val="Arial Unicode MS"/>
    <w:charset w:val="01"/>
    <w:family w:val="auto"/>
    <w:pitch w:val="default"/>
  </w:font>
  <w:font w:name="Liberation Sans">
    <w:altName w:val="Arial"/>
    <w:charset w:val="01"/>
    <w:family w:val="auto"/>
    <w:pitch w:val="default"/>
  </w:font>
  <w:font w:name="Arial">
    <w:charset w:val="01"/>
    <w:family w:val="auto"/>
    <w:pitch w:val="default"/>
  </w:font>
  <w:font w:name="Mangal">
    <w:charset w:val="01"/>
    <w:family w:val="auto"/>
    <w:pitch w:val="default"/>
  </w:font>
  <w:font w:name="Courier New">
    <w:charset w:val="01"/>
    <w:family w:val="modern"/>
    <w:pitch w:val="fixed"/>
  </w:font>
  <w:font w:name="Wingdings">
    <w:charset w:val="02"/>
    <w:family w:val="auto"/>
    <w:pitch w:val="variable"/>
  </w:font>
  <w:font w:name="Calibri">
    <w:charset w:val="01"/>
    <w:family w:val="swiss"/>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720" w:hanging="360"/>
      </w:pPr>
      <w:rPr>
        <w:rFonts w:ascii="Symbol" w:hAnsi="Symbol" w:cs="Symbol" w:hint="default"/>
        <w:rFonts w:cstheme="minorBidi"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numFmt w:val="bullet"/>
      <w:lvlText w:val="-"/>
      <w:lvlJc w:val="left"/>
      <w:pPr>
        <w:tabs>
          <w:tab w:val="num" w:pos="0"/>
        </w:tabs>
        <w:ind w:left="720" w:hanging="360"/>
      </w:pPr>
      <w:rPr>
        <w:rFonts w:ascii="Calibri" w:hAnsi="Calibri" w:cs="Calibri" w:hint="default"/>
        <w:rFonts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0"/>
        </w:tabs>
        <w:ind w:left="-17" w:hanging="360"/>
      </w:pPr>
      <w:rPr>
        <w:rFonts w:ascii="Symbol" w:hAnsi="Symbol" w:cs="Symbol" w:hint="default"/>
      </w:rPr>
    </w:lvl>
    <w:lvl w:ilvl="1">
      <w:start w:val="1"/>
      <w:numFmt w:val="bullet"/>
      <w:lvlText w:val="◦"/>
      <w:lvlJc w:val="left"/>
      <w:pPr>
        <w:tabs>
          <w:tab w:val="num" w:pos="343"/>
        </w:tabs>
        <w:ind w:left="343" w:hanging="360"/>
      </w:pPr>
      <w:rPr>
        <w:rFonts w:ascii="OpenSymbol" w:hAnsi="OpenSymbol" w:cs="OpenSymbol" w:hint="default"/>
      </w:rPr>
    </w:lvl>
    <w:lvl w:ilvl="2">
      <w:start w:val="1"/>
      <w:numFmt w:val="bullet"/>
      <w:lvlText w:val="▪"/>
      <w:lvlJc w:val="left"/>
      <w:pPr>
        <w:tabs>
          <w:tab w:val="num" w:pos="703"/>
        </w:tabs>
        <w:ind w:left="703" w:hanging="360"/>
      </w:pPr>
      <w:rPr>
        <w:rFonts w:ascii="OpenSymbol" w:hAnsi="OpenSymbol" w:cs="OpenSymbol" w:hint="default"/>
      </w:rPr>
    </w:lvl>
    <w:lvl w:ilvl="3">
      <w:start w:val="1"/>
      <w:numFmt w:val="bullet"/>
      <w:lvlText w:val=""/>
      <w:lvlJc w:val="left"/>
      <w:pPr>
        <w:tabs>
          <w:tab w:val="num" w:pos="1063"/>
        </w:tabs>
        <w:ind w:left="1063" w:hanging="360"/>
      </w:pPr>
      <w:rPr>
        <w:rFonts w:ascii="Symbol" w:hAnsi="Symbol" w:cs="Symbol" w:hint="default"/>
      </w:rPr>
    </w:lvl>
    <w:lvl w:ilvl="4">
      <w:start w:val="1"/>
      <w:numFmt w:val="bullet"/>
      <w:lvlText w:val="◦"/>
      <w:lvlJc w:val="left"/>
      <w:pPr>
        <w:tabs>
          <w:tab w:val="num" w:pos="1423"/>
        </w:tabs>
        <w:ind w:left="1423" w:hanging="360"/>
      </w:pPr>
      <w:rPr>
        <w:rFonts w:ascii="OpenSymbol" w:hAnsi="OpenSymbol" w:cs="OpenSymbol" w:hint="default"/>
      </w:rPr>
    </w:lvl>
    <w:lvl w:ilvl="5">
      <w:start w:val="1"/>
      <w:numFmt w:val="bullet"/>
      <w:lvlText w:val="▪"/>
      <w:lvlJc w:val="left"/>
      <w:pPr>
        <w:tabs>
          <w:tab w:val="num" w:pos="1783"/>
        </w:tabs>
        <w:ind w:left="1783" w:hanging="360"/>
      </w:pPr>
      <w:rPr>
        <w:rFonts w:ascii="OpenSymbol" w:hAnsi="OpenSymbol" w:cs="OpenSymbol" w:hint="default"/>
      </w:rPr>
    </w:lvl>
    <w:lvl w:ilvl="6">
      <w:start w:val="1"/>
      <w:numFmt w:val="bullet"/>
      <w:lvlText w:val=""/>
      <w:lvlJc w:val="left"/>
      <w:pPr>
        <w:tabs>
          <w:tab w:val="num" w:pos="2143"/>
        </w:tabs>
        <w:ind w:left="2143" w:hanging="360"/>
      </w:pPr>
      <w:rPr>
        <w:rFonts w:ascii="Symbol" w:hAnsi="Symbol" w:cs="Symbol" w:hint="default"/>
      </w:rPr>
    </w:lvl>
    <w:lvl w:ilvl="7">
      <w:start w:val="1"/>
      <w:numFmt w:val="bullet"/>
      <w:lvlText w:val="◦"/>
      <w:lvlJc w:val="left"/>
      <w:pPr>
        <w:tabs>
          <w:tab w:val="num" w:pos="2503"/>
        </w:tabs>
        <w:ind w:left="2503" w:hanging="360"/>
      </w:pPr>
      <w:rPr>
        <w:rFonts w:ascii="OpenSymbol" w:hAnsi="OpenSymbol" w:cs="OpenSymbol" w:hint="default"/>
      </w:rPr>
    </w:lvl>
    <w:lvl w:ilvl="8">
      <w:start w:val="1"/>
      <w:numFmt w:val="bullet"/>
      <w:lvlText w:val="▪"/>
      <w:lvlJc w:val="left"/>
      <w:pPr>
        <w:tabs>
          <w:tab w:val="num" w:pos="2863"/>
        </w:tabs>
        <w:ind w:left="2863" w:hanging="360"/>
      </w:pPr>
      <w:rPr>
        <w:rFonts w:ascii="OpenSymbol" w:hAnsi="OpenSymbol" w:cs="OpenSymbol" w:hint="default"/>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revisionView w:insDel="0" w:formatting="0"/>
  <w:defaultTabStop w:val="708"/>
  <w:autoHyphenation w:val="true"/>
  <w:hyphenationZone w:val="425"/>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paragraph" w:styleId="Heading1">
    <w:name w:val="Heading 1"/>
    <w:basedOn w:val="Normal"/>
    <w:link w:val="Titre1Car"/>
    <w:uiPriority w:val="9"/>
    <w:qFormat/>
    <w:pPr>
      <w:keepNext w:val="true"/>
      <w:pBdr>
        <w:top w:val="single" w:sz="8" w:space="1" w:color="CCCCCC"/>
        <w:left w:val="single" w:sz="8" w:space="1" w:color="CCCCCC"/>
        <w:bottom w:val="single" w:sz="8" w:space="1" w:color="CCCCCC"/>
        <w:right w:val="single" w:sz="8" w:space="1" w:color="CCCCCC"/>
      </w:pBdr>
      <w:shd w:val="clear" w:color="auto" w:fill="CCCCCC"/>
      <w:spacing w:lineRule="auto" w:line="240" w:before="113" w:after="0"/>
      <w:outlineLvl w:val="0"/>
    </w:pPr>
    <w:rPr>
      <w:rFonts w:ascii="Times New Roman" w:hAnsi="Times New Roman" w:eastAsia="Times New Roman" w:cs="Times New Roman"/>
      <w:b/>
      <w:bCs/>
      <w:kern w:val="2"/>
      <w:sz w:val="48"/>
      <w:szCs w:val="48"/>
      <w:lang w:eastAsia="fr-FR"/>
    </w:rPr>
  </w:style>
  <w:style w:type="character" w:styleId="DefaultParagraphFont" w:default="1">
    <w:name w:val="Default Paragraph Font"/>
    <w:uiPriority w:val="1"/>
    <w:semiHidden/>
    <w:unhideWhenUsed/>
    <w:qFormat/>
    <w:rPr/>
  </w:style>
  <w:style w:type="character" w:styleId="En-tteCar" w:customStyle="1">
    <w:name w:val="En-tête Car"/>
    <w:basedOn w:val="DefaultParagraphFont"/>
    <w:uiPriority w:val="99"/>
    <w:qFormat/>
    <w:rPr/>
  </w:style>
  <w:style w:type="character" w:styleId="PieddepageCar" w:customStyle="1">
    <w:name w:val="Pied de page Car"/>
    <w:basedOn w:val="DefaultParagraphFont"/>
    <w:uiPriority w:val="99"/>
    <w:qFormat/>
    <w:rPr/>
  </w:style>
  <w:style w:type="character" w:styleId="annotationreference">
    <w:name w:val="annotation reference"/>
    <w:basedOn w:val="DefaultParagraphFont"/>
    <w:uiPriority w:val="99"/>
    <w:semiHidden/>
    <w:unhideWhenUsed/>
    <w:qFormat/>
    <w:rPr>
      <w:sz w:val="16"/>
      <w:szCs w:val="16"/>
    </w:rPr>
  </w:style>
  <w:style w:type="character" w:styleId="CommentaireCar" w:customStyle="1">
    <w:name w:val="Commentaire Car"/>
    <w:basedOn w:val="DefaultParagraphFont"/>
    <w:uiPriority w:val="99"/>
    <w:qFormat/>
    <w:rPr>
      <w:sz w:val="20"/>
      <w:szCs w:val="20"/>
    </w:rPr>
  </w:style>
  <w:style w:type="character" w:styleId="ObjetducommentaireCar" w:customStyle="1">
    <w:name w:val="Objet du commentaire Car"/>
    <w:basedOn w:val="CommentaireCar"/>
    <w:link w:val="annotationsubject"/>
    <w:uiPriority w:val="99"/>
    <w:semiHidden/>
    <w:qFormat/>
    <w:rPr>
      <w:b/>
      <w:bCs/>
      <w:sz w:val="20"/>
      <w:szCs w:val="20"/>
    </w:rPr>
  </w:style>
  <w:style w:type="character" w:styleId="TextedebullesCar" w:customStyle="1">
    <w:name w:val="Texte de bulles Car"/>
    <w:basedOn w:val="DefaultParagraphFont"/>
    <w:link w:val="BalloonText"/>
    <w:uiPriority w:val="99"/>
    <w:semiHidden/>
    <w:qFormat/>
    <w:rPr>
      <w:rFonts w:ascii="Segoe UI" w:hAnsi="Segoe UI" w:cs="Segoe UI"/>
      <w:sz w:val="18"/>
      <w:szCs w:val="18"/>
    </w:rPr>
  </w:style>
  <w:style w:type="character" w:styleId="Titre1Car" w:customStyle="1">
    <w:name w:val="Titre 1 Car"/>
    <w:basedOn w:val="DefaultParagraphFont"/>
    <w:uiPriority w:val="9"/>
    <w:qFormat/>
    <w:rPr>
      <w:rFonts w:ascii="Times New Roman" w:hAnsi="Times New Roman" w:eastAsia="Times New Roman" w:cs="Times New Roman"/>
      <w:b/>
      <w:bCs/>
      <w:kern w:val="2"/>
      <w:sz w:val="48"/>
      <w:szCs w:val="48"/>
      <w:shd w:fill="CCCCCC" w:val="clear"/>
      <w:lang w:eastAsia="fr-FR"/>
    </w:rPr>
  </w:style>
  <w:style w:type="character" w:styleId="Puces">
    <w:name w:val="Puces"/>
    <w:qFormat/>
    <w:rPr>
      <w:rFonts w:ascii="OpenSymbol" w:hAnsi="OpenSymbol" w:eastAsia="OpenSymbol" w:cs="OpenSymbol"/>
    </w:rPr>
  </w:style>
  <w:style w:type="character" w:styleId="Caractresdenumrotation">
    <w:name w:val="Caractères de numérotation"/>
    <w:qFormat/>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34"/>
    <w:qFormat/>
    <w:pPr>
      <w:spacing w:before="0" w:after="160"/>
      <w:ind w:hanging="0" w:left="720"/>
      <w:contextualSpacing/>
    </w:pPr>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Header">
    <w:name w:val="Header"/>
    <w:basedOn w:val="Normal"/>
    <w:link w:val="En-tteCar"/>
    <w:uiPriority w:val="99"/>
    <w:unhideWhenUsed/>
    <w:pPr>
      <w:tabs>
        <w:tab w:val="clear" w:pos="708"/>
        <w:tab w:val="center" w:pos="4536" w:leader="none"/>
        <w:tab w:val="right" w:pos="9072" w:leader="none"/>
      </w:tabs>
      <w:spacing w:lineRule="auto" w:line="240" w:before="0" w:after="0"/>
    </w:pPr>
    <w:rPr/>
  </w:style>
  <w:style w:type="paragraph" w:styleId="Footer">
    <w:name w:val="Footer"/>
    <w:basedOn w:val="Normal"/>
    <w:link w:val="PieddepageCar"/>
    <w:uiPriority w:val="99"/>
    <w:unhideWhenUsed/>
    <w:pPr>
      <w:tabs>
        <w:tab w:val="clear" w:pos="708"/>
        <w:tab w:val="center" w:pos="4536" w:leader="none"/>
        <w:tab w:val="right" w:pos="9072" w:leader="none"/>
      </w:tabs>
      <w:spacing w:lineRule="auto" w:line="240" w:before="0" w:after="0"/>
    </w:pPr>
    <w:rPr/>
  </w:style>
  <w:style w:type="paragraph" w:styleId="AnnotationText">
    <w:name w:val="Annotation Text"/>
    <w:basedOn w:val="Normal"/>
    <w:link w:val="CommentaireCar"/>
    <w:uiPriority w:val="99"/>
    <w:unhideWhenUsed/>
    <w:qFormat/>
    <w:pPr>
      <w:spacing w:lineRule="auto" w:line="240"/>
    </w:pPr>
    <w:rPr>
      <w:sz w:val="20"/>
      <w:szCs w:val="20"/>
    </w:rPr>
  </w:style>
  <w:style w:type="paragraph" w:styleId="annotationsubject">
    <w:name w:val="annotation subject"/>
    <w:basedOn w:val="AnnotationText"/>
    <w:next w:val="AnnotationText"/>
    <w:link w:val="ObjetducommentaireCar"/>
    <w:uiPriority w:val="99"/>
    <w:semiHidden/>
    <w:unhideWhenUsed/>
    <w:qFormat/>
    <w:pPr/>
    <w:rPr>
      <w:b/>
      <w:bCs/>
    </w:rPr>
  </w:style>
  <w:style w:type="paragraph" w:styleId="BalloonText">
    <w:name w:val="Balloon Text"/>
    <w:basedOn w:val="Normal"/>
    <w:link w:val="TextedebullesCar"/>
    <w:uiPriority w:val="99"/>
    <w:semiHidden/>
    <w:unhideWhenUsed/>
    <w:qFormat/>
    <w:pPr>
      <w:spacing w:lineRule="auto" w:line="240" w:before="0" w:after="0"/>
    </w:pPr>
    <w:rPr>
      <w:rFonts w:ascii="Segoe UI" w:hAnsi="Segoe UI" w:cs="Segoe UI"/>
      <w:sz w:val="18"/>
      <w:szCs w:val="18"/>
    </w:rPr>
  </w:style>
  <w:style w:type="paragraph" w:styleId="Contenudecadre">
    <w:name w:val="Contenu de cadre"/>
    <w:basedOn w:val="Normal"/>
    <w:qFormat/>
    <w:pPr/>
    <w:rPr/>
  </w:style>
  <w:style w:type="paragraph" w:styleId="Contenudetableau">
    <w:name w:val="Contenu de tableau"/>
    <w:basedOn w:val="Normal"/>
    <w:qFormat/>
    <w:pPr>
      <w:widowControl w:val="false"/>
      <w:suppressLineNumbers/>
    </w:pPr>
    <w:rPr/>
  </w:style>
  <w:style w:type="paragraph" w:styleId="western">
    <w:name w:val="western"/>
    <w:basedOn w:val="Normal"/>
    <w:qFormat/>
    <w:pPr>
      <w:spacing w:before="62" w:after="0"/>
      <w:jc w:val="both"/>
    </w:pPr>
    <w:rPr>
      <w:rFonts w:ascii="Arial" w:hAnsi="Arial" w:eastAsia="Arial Unicode MS" w:cs="Arial"/>
      <w:b/>
      <w:bCs/>
      <w:color w:val="000000"/>
    </w:rPr>
  </w:style>
  <w:style w:type="paragraph" w:styleId="Titredetableau">
    <w:name w:val="Titre de tableau"/>
    <w:basedOn w:val="Contenudetableau"/>
    <w:qFormat/>
    <w:pPr>
      <w:suppressLineNumbers/>
      <w:jc w:val="center"/>
    </w:pPr>
    <w:rPr>
      <w:b/>
      <w:bCs/>
    </w:rPr>
  </w:style>
  <w:style w:type="paragraph" w:styleId="Table20Contents">
    <w:name w:val="Table_20_Contents"/>
    <w:basedOn w:val="Normal"/>
    <w:qFormat/>
    <w:pPr>
      <w:shd w:val="clear" w:color="auto" w:fill="FFFFFF"/>
      <w:spacing w:before="57" w:after="120"/>
    </w:pPr>
    <w:rPr>
      <w:rFonts w:cs="Arial"/>
      <w:i/>
      <w:color w:val="00000A"/>
      <w:sz w:val="17"/>
    </w:rPr>
  </w:style>
  <w:style w:type="paragraph" w:styleId="default">
    <w:name w:val="default"/>
    <w:qFormat/>
    <w:pPr>
      <w:widowControl/>
      <w:suppressAutoHyphens w:val="true"/>
      <w:bidi w:val="0"/>
      <w:spacing w:lineRule="atLeast" w:line="200" w:before="0" w:after="0"/>
      <w:ind w:hanging="0" w:left="0" w:right="0"/>
      <w:jc w:val="left"/>
    </w:pPr>
    <w:rPr>
      <w:rFonts w:ascii="Mangal" w:hAnsi="Mangal" w:eastAsia="Tahoma" w:cs="Liberation Sans;Arial"/>
      <w:color w:val="000000"/>
      <w:kern w:val="2"/>
      <w:sz w:val="36"/>
      <w:szCs w:val="24"/>
      <w:lang w:val="fr-FR" w:eastAsia="zh-CN" w:bidi="hi-IN"/>
    </w:rPr>
  </w:style>
  <w:style w:type="paragraph" w:styleId="gray2">
    <w:name w:val="gray2"/>
    <w:basedOn w:val="default"/>
    <w:qFormat/>
    <w:pPr>
      <w:spacing w:lineRule="atLeast" w:line="200" w:before="0" w:after="0"/>
      <w:ind w:hanging="0" w:left="0" w:right="0"/>
    </w:pPr>
    <w:rPr>
      <w:rFonts w:ascii="Mangal" w:hAnsi="Mangal" w:cs="Mangal"/>
      <w:color w:val="000000"/>
      <w:kern w:val="2"/>
      <w:sz w:val="36"/>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FC1270-A4E0-493E-B5C9-88B6D3FC0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6</Pages>
  <Words>890</Words>
  <Characters>13036</Characters>
  <CharactersWithSpaces>13886</CharactersWithSpaces>
  <Paragraphs>68</Paragraphs>
  <Company>Secrétariat Général</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2025-08-04T15:25:33Z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file>