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ind w:left="1000" w:right="1000"/>
        <w:rPr>
          <w:sz w:val="2"/>
        </w:rPr>
      </w:pPr>
      <w:r>
        <w:rPr>
          <w:noProof/>
        </w:rPr>
        <w:drawing>
          <wp:inline distT="0" distB="0" distL="0" distR="0">
            <wp:extent cx="4838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>
      <w:pPr>
        <w:spacing w:line="240" w:lineRule="exact"/>
      </w:pPr>
      <w:r>
        <w:t xml:space="preserve"> </w:t>
      </w:r>
    </w:p>
    <w:p>
      <w:pPr>
        <w:spacing w:after="120" w:line="240" w:lineRule="exact"/>
      </w:pPr>
    </w:p>
    <w:p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Maintenance préventive et curative des cuves à azote liquide à remplissage automatique et du système de distribution automatique d’azote liquide pour le CHU de Besançon</w:t>
            </w:r>
          </w:p>
          <w:p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>
      <w:pPr>
        <w:spacing w:line="240" w:lineRule="exact"/>
      </w:pPr>
      <w:r>
        <w:t xml:space="preserve"> </w:t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after="40" w:line="240" w:lineRule="exact"/>
      </w:pPr>
    </w:p>
    <w:p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>
      <w:pPr>
        <w:spacing w:line="240" w:lineRule="exact"/>
      </w:pPr>
      <w:r>
        <w:t xml:space="preserve"> </w:t>
      </w:r>
    </w:p>
    <w:p>
      <w:pPr>
        <w:spacing w:after="100" w:line="240" w:lineRule="exact"/>
      </w:pPr>
    </w:p>
    <w:p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CHU de BESANCON</w:t>
      </w:r>
    </w:p>
    <w:p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Etablissement support du GHT-CFC </w:t>
      </w:r>
    </w:p>
    <w:p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Boulevard Alexandre Fleming</w:t>
      </w:r>
    </w:p>
    <w:p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25030 BESANCON CEDEX</w:t>
      </w:r>
    </w:p>
    <w:p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03 81 21 80 47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2A7CBF" w:fill="2A7C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</w:pPr>
          </w:p>
          <w:p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280" w:after="160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60" w:line="232" w:lineRule="exact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préventive et curative des cuves à azote liquide à remplissage automatique et du système de distribution automatique d’azote liquide pour le CHU de Besançon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80" w:lineRule="exact"/>
              <w:rPr>
                <w:sz w:val="18"/>
              </w:rPr>
            </w:pPr>
          </w:p>
          <w:p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60" w:line="232" w:lineRule="exact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>
      <w:pPr>
        <w:sectPr>
          <w:pgSz w:w="11900" w:h="16840"/>
          <w:pgMar w:top="1080" w:right="1160" w:bottom="1440" w:left="1140" w:header="1080" w:footer="1440" w:gutter="0"/>
          <w:cols w:space="708"/>
        </w:sectPr>
      </w:pPr>
    </w:p>
    <w:p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>
      <w:pPr>
        <w:spacing w:after="80" w:line="240" w:lineRule="exact"/>
      </w:pPr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spacing w:after="100"/>
        <w:jc w:val="both"/>
        <w:rPr>
          <w:rFonts w:ascii="Trebuchet MS" w:eastAsia="Trebuchet MS" w:hAnsi="Trebuchet MS" w:cs="Trebuchet MS"/>
          <w:color w:val="000000"/>
          <w:sz w:val="22"/>
          <w:lang w:val="fr-FR"/>
        </w:rPr>
        <w:sectPr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contrat pour la maintenance préventive et curative des cuves à azote liquide à remplissage automatique du CECOS et de l’UPCO</w:t>
            </w:r>
          </w:p>
        </w:tc>
      </w:tr>
      <w:tr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contrat pour la maintenance préventive et curative de l’automate de système de supervision et de distribution de l’azote Phenix, marque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Sintesy</w:t>
            </w:r>
            <w:proofErr w:type="spellEnd"/>
          </w:p>
        </w:tc>
      </w:tr>
    </w:tbl>
    <w:p>
      <w:pPr>
        <w:sectPr>
          <w:footerReference w:type="default" r:id="rId16"/>
          <w:pgSz w:w="11900" w:h="16840"/>
          <w:pgMar w:top="580" w:right="1140" w:bottom="580" w:left="1140" w:header="580" w:footer="580" w:gutter="0"/>
          <w:cols w:space="708"/>
        </w:sectPr>
      </w:pP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CHU de BESANCON</w:t>
      </w:r>
    </w:p>
    <w:p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 le directeur général Thierry </w:t>
      </w:r>
      <w:proofErr w:type="spellStart"/>
      <w:r>
        <w:rPr>
          <w:color w:val="000000"/>
          <w:lang w:val="fr-FR"/>
        </w:rPr>
        <w:t>Gamond-Rius</w:t>
      </w:r>
      <w:proofErr w:type="spellEnd"/>
      <w:r>
        <w:rPr>
          <w:color w:val="000000"/>
          <w:lang w:val="fr-FR"/>
        </w:rPr>
        <w:t xml:space="preserve"> ou son représentant</w:t>
      </w:r>
    </w:p>
    <w:p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 le directeur général Thierry </w:t>
      </w:r>
      <w:proofErr w:type="spellStart"/>
      <w:r>
        <w:rPr>
          <w:color w:val="000000"/>
          <w:lang w:val="fr-FR"/>
        </w:rPr>
        <w:t>Gamond-Rius</w:t>
      </w:r>
      <w:proofErr w:type="spellEnd"/>
      <w:r>
        <w:rPr>
          <w:color w:val="000000"/>
          <w:lang w:val="fr-FR"/>
        </w:rPr>
        <w:t xml:space="preserve"> ou son représentant</w:t>
      </w:r>
    </w:p>
    <w:p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la trésorière principale</w:t>
      </w: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>
      <w:pPr>
        <w:sectPr>
          <w:footerReference w:type="default" r:id="rId18"/>
          <w:pgSz w:w="11900" w:h="16840"/>
          <w:pgMar w:top="820" w:right="1140" w:bottom="580" w:left="1140" w:header="820" w:footer="58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>
      <w:pPr>
        <w:spacing w:after="20" w:line="240" w:lineRule="exact"/>
      </w:pPr>
      <w:r>
        <w:t xml:space="preserve"> 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>
      <w:pPr>
        <w:spacing w:after="20" w:line="240" w:lineRule="exact"/>
      </w:pPr>
      <w:r>
        <w:t xml:space="preserve"> 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Titre2"/>
        <w:ind w:left="28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Maintenance préventive et curative des cuves à azote liquide à remplissage automatique et du système de distribution automatique d’azote liquide pour le CHU de Besançon</w:t>
      </w:r>
    </w:p>
    <w:p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consultation pour objet la maintenance d'équipements dont dispose le CHU de Besançon, ainsi que la fourniture de pièces détachées nécessaires à la maintenance. Cette consultation se divise en deux lots :</w:t>
      </w:r>
    </w:p>
    <w:p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Lot 1 : contrat pour la maintenance préventive et curative des cuves à azote liquide à remplissage automatique du CECOS et de l’UPCO</w:t>
      </w:r>
    </w:p>
    <w:p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Lot 2 : contrat pour la maintenance préventive et curative de l’automate de système de supervision et de distribution de l’azote Phenix, marque </w:t>
      </w:r>
      <w:proofErr w:type="spellStart"/>
      <w:r>
        <w:rPr>
          <w:color w:val="000000"/>
          <w:lang w:val="fr-FR"/>
        </w:rPr>
        <w:t>Sintesy</w:t>
      </w:r>
      <w:proofErr w:type="spellEnd"/>
    </w:p>
    <w:p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>
      <w:pPr>
        <w:pStyle w:val="ParagrapheIndent2"/>
        <w:jc w:val="both"/>
        <w:rPr>
          <w:color w:val="000000"/>
          <w:lang w:val="fr-FR"/>
        </w:rPr>
        <w:sectPr>
          <w:footerReference w:type="default" r:id="rId19"/>
          <w:pgSz w:w="11900" w:h="16840"/>
          <w:pgMar w:top="580" w:right="1140" w:bottom="580" w:left="1140" w:header="580" w:footer="580" w:gutter="0"/>
          <w:cols w:space="708"/>
        </w:sectPr>
      </w:pPr>
      <w:r>
        <w:rPr>
          <w:color w:val="000000"/>
          <w:lang w:val="fr-FR"/>
        </w:rPr>
        <w:t>Les prestations définies au CCAP sont réparties en 2 lots.</w:t>
      </w:r>
      <w:r>
        <w:rPr>
          <w:color w:val="000000"/>
          <w:lang w:val="fr-FR"/>
        </w:rPr>
        <w:cr/>
      </w:r>
    </w:p>
    <w:p>
      <w:pPr>
        <w:pStyle w:val="Titre2"/>
        <w:ind w:left="28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>
      <w:pPr>
        <w:pStyle w:val="Titre2"/>
        <w:ind w:left="28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à la fois par application de prix forfaitaires et par application aux quantités réellement exécutées des prix unitaires fixés dans le(s) catalogue(s) du fournisseur.</w:t>
      </w:r>
    </w:p>
    <w:p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Les prix forfaitaires et l'évaluation des prestations à exécuter sur la base des prix unitaires sont précisés dans le tableau ci-après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501" w:type="dxa"/>
        <w:tblLayout w:type="fixed"/>
        <w:tblLook w:val="04A0" w:firstRow="1" w:lastRow="0" w:firstColumn="1" w:lastColumn="0" w:noHBand="0" w:noVBand="1"/>
      </w:tblPr>
      <w:tblGrid>
        <w:gridCol w:w="614"/>
        <w:gridCol w:w="4776"/>
        <w:gridCol w:w="4111"/>
      </w:tblGrid>
      <w:tr>
        <w:trPr>
          <w:trHeight w:val="980"/>
        </w:trPr>
        <w:tc>
          <w:tcPr>
            <w:tcW w:w="6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maximum HT</w:t>
            </w:r>
          </w:p>
        </w:tc>
      </w:tr>
      <w:tr>
        <w:trPr>
          <w:trHeight w:val="863"/>
        </w:trPr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contrat pour la maintenance préventive et curative des cuves à azote liquide à remplissage automatique du CECOS et de l’UPCO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140 000 € HT</w:t>
            </w:r>
          </w:p>
        </w:tc>
      </w:tr>
      <w:tr>
        <w:trPr>
          <w:trHeight w:val="863"/>
        </w:trPr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contrat pour la maintenance préventive et curative de l’automate de système de supervision et de distribution de l’azote Phenix, marque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Sintesy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70 000 € HT </w:t>
            </w:r>
          </w:p>
        </w:tc>
      </w:tr>
    </w:tbl>
    <w:p>
      <w:pPr>
        <w:spacing w:line="240" w:lineRule="exact"/>
      </w:pPr>
      <w:r>
        <w:t xml:space="preserve"> </w:t>
      </w:r>
    </w:p>
    <w:p>
      <w:pPr>
        <w:spacing w:after="20" w:line="240" w:lineRule="exact"/>
      </w:pP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7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la période initiale propre à chaque lot est proposé(e) par le candidat comme suit :</w:t>
      </w:r>
    </w:p>
    <w:p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la période initiale débutera à compter de la date fixée dans le CCAP.</w:t>
      </w: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>
      <w:pPr>
        <w:sectPr>
          <w:footerReference w:type="default" r:id="rId20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>
      <w:pPr>
        <w:spacing w:after="20" w:line="240" w:lineRule="exact"/>
      </w:pPr>
      <w:r>
        <w:t xml:space="preserve"> 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50400000-9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réparation et d'entretien de matériel médical et de matériel de précision</w:t>
            </w:r>
          </w:p>
        </w:tc>
      </w:tr>
    </w:tbl>
    <w:p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50421000-2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réparation et d'entretien de matériel médical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50421000-2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réparation et d'entretien de matériel médical</w:t>
            </w:r>
          </w:p>
        </w:tc>
      </w:tr>
    </w:tbl>
    <w:p>
      <w:pPr>
        <w:spacing w:after="20" w:line="240" w:lineRule="exact"/>
      </w:pPr>
      <w:r>
        <w:t xml:space="preserve"> </w:t>
      </w: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>
      <w:pPr>
        <w:pStyle w:val="style1010"/>
        <w:spacing w:after="60" w:line="232" w:lineRule="exact"/>
        <w:ind w:right="20"/>
        <w:jc w:val="center"/>
        <w:rPr>
          <w:color w:val="000000"/>
          <w:lang w:val="fr-FR"/>
        </w:rPr>
        <w:sectPr>
          <w:footerReference w:type="default" r:id="rId21"/>
          <w:pgSz w:w="11900" w:h="16840"/>
          <w:pgMar w:top="580" w:right="1140" w:bottom="580" w:left="1140" w:header="580" w:footer="580" w:gutter="0"/>
          <w:cols w:space="708"/>
        </w:sectPr>
      </w:pPr>
    </w:p>
    <w:p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sz w:val="6"/>
              </w:rPr>
            </w:pPr>
          </w:p>
          <w:p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23825" cy="12382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contrat pour la maintenance préventive et curative des cuves à azote liquide à remplissage automatique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sz w:val="6"/>
              </w:rPr>
            </w:pPr>
          </w:p>
          <w:p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23825" cy="12382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contrat pour la maintenance préventive et curative de l’automate de système de supervision et de distribution de l’azote Phenix, marque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Sintesy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>
      <w:pPr>
        <w:spacing w:after="20" w:line="240" w:lineRule="exact"/>
      </w:pPr>
      <w:r>
        <w:t xml:space="preserve"> 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>
          <w:footerReference w:type="default" r:id="rId22"/>
          <w:pgSz w:w="11900" w:h="16840"/>
          <w:pgMar w:top="820" w:right="1140" w:bottom="580" w:left="1140" w:header="820" w:footer="5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>
      <w:pPr>
        <w:pStyle w:val="Titre1"/>
        <w:shd w:val="clear" w:color="2A7CBF" w:fill="2A7C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/>
    <w:sectPr>
      <w:footerReference w:type="default" r:id="rId23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2025 - 39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2025 - 39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2025 - 39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2025 - 39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2025 - 39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2025 - 39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2025 - 39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BF76A2-ABC8-424B-A7C1-685B958D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TM2">
    <w:name w:val="toc 2"/>
    <w:basedOn w:val="Normal"/>
    <w:next w:val="Normal"/>
    <w:autoRedefine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1909</Words>
  <Characters>9602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SAUQUET</dc:creator>
  <cp:lastModifiedBy>Julie SAUQUET</cp:lastModifiedBy>
  <cp:revision>4</cp:revision>
  <dcterms:created xsi:type="dcterms:W3CDTF">2025-07-08T11:30:00Z</dcterms:created>
  <dcterms:modified xsi:type="dcterms:W3CDTF">2025-07-15T14:41:00Z</dcterms:modified>
</cp:coreProperties>
</file>