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0B0062" w:rsidRDefault="000B0062" w:rsidP="000B0062"/>
                  </w:txbxContent>
                </v:textbox>
              </v:shape>
            </w:pict>
          </mc:Fallback>
        </mc:AlternateContent>
      </w:r>
    </w:p>
    <w:p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:rsidR="000B0062" w:rsidRDefault="000B0062" w:rsidP="000B0062"/>
    <w:p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0B0062" w:rsidRDefault="000B0062" w:rsidP="000B0062"/>
    <w:p w:rsidR="000B0062" w:rsidRDefault="000B0062" w:rsidP="000B0062"/>
    <w:p w:rsidR="000B0062" w:rsidRDefault="000B0062" w:rsidP="000B0062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:rsidR="00CA4372" w:rsidRPr="001E1D4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DC466A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/……… /</w:t>
      </w:r>
      <w:r w:rsidR="00672D3F" w:rsidRPr="00672D3F">
        <w:t xml:space="preserve"> </w:t>
      </w:r>
      <w:r w:rsidR="00DC466A" w:rsidRPr="00DC466A">
        <w:rPr>
          <w:rFonts w:ascii="Times New Roman" w:hAnsi="Times New Roman"/>
          <w:b/>
          <w:sz w:val="36"/>
          <w:szCs w:val="36"/>
        </w:rPr>
        <w:t>Fourniture de pains, viennoiseries et produits de boulangerie au profit des formations militaires stationnées en Ile de France et ses environs</w:t>
      </w:r>
    </w:p>
    <w:p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Default="001E1D43" w:rsidP="0074570B">
      <w:pPr>
        <w:ind w:right="283"/>
        <w:rPr>
          <w:rFonts w:ascii="Times New Roman" w:hAnsi="Times New Roman"/>
          <w:noProof/>
        </w:rPr>
      </w:pPr>
    </w:p>
    <w:p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>Annexe 1 - Prix</w:t>
      </w:r>
    </w:p>
    <w:p w:rsidR="000354AF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>Annexe 2 - Conditions logistiques</w:t>
      </w:r>
    </w:p>
    <w:p w:rsidR="008971E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>Annexe 3 </w:t>
      </w:r>
      <w:r w:rsidR="00DC466A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DC466A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:rsidR="0043658B" w:rsidRPr="001E1D43" w:rsidRDefault="00DC466A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:rsidR="001E1D43" w:rsidRDefault="00DC466A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:rsidR="00DC466A" w:rsidRDefault="00DC466A" w:rsidP="00DC466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:rsidR="00423090" w:rsidRPr="00423090" w:rsidRDefault="00423090" w:rsidP="00423090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423090">
        <w:rPr>
          <w:rFonts w:ascii="Times New Roman" w:hAnsi="Times New Roman"/>
          <w:b/>
          <w:noProof/>
          <w:sz w:val="22"/>
          <w:szCs w:val="22"/>
        </w:rPr>
        <w:t xml:space="preserve">Annexe 7 – </w:t>
      </w:r>
      <w:bookmarkStart w:id="100" w:name="_GoBack"/>
      <w:bookmarkEnd w:id="100"/>
      <w:r w:rsidRPr="00423090">
        <w:rPr>
          <w:rFonts w:ascii="Times New Roman" w:hAnsi="Times New Roman"/>
          <w:b/>
          <w:noProof/>
          <w:sz w:val="22"/>
          <w:szCs w:val="22"/>
        </w:rPr>
        <w:t>Attestation absence conflit intérets</w:t>
      </w:r>
    </w:p>
    <w:p w:rsidR="00423090" w:rsidRPr="00423090" w:rsidRDefault="00423090" w:rsidP="00423090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423090">
        <w:rPr>
          <w:rFonts w:ascii="Times New Roman" w:hAnsi="Times New Roman"/>
          <w:b/>
          <w:noProof/>
          <w:sz w:val="22"/>
          <w:szCs w:val="22"/>
        </w:rPr>
        <w:t>Annexe 8 – Engagement déontologie</w:t>
      </w:r>
    </w:p>
    <w:p w:rsidR="00423090" w:rsidRDefault="00423090" w:rsidP="00DC466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DC466A" w:rsidRDefault="00DC466A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DC466A" w:rsidRDefault="00DC466A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1" w:name="_Toc343487253"/>
      <w:bookmarkStart w:id="102" w:name="_Toc347029667"/>
      <w:bookmarkStart w:id="103" w:name="_Toc347030894"/>
      <w:bookmarkStart w:id="104" w:name="_Toc379786969"/>
      <w:bookmarkStart w:id="105" w:name="_Toc379965650"/>
      <w:r w:rsidRPr="00A56808">
        <w:rPr>
          <w:rFonts w:ascii="Times New Roman" w:hAnsi="Times New Roman" w:cs="Times New Roman"/>
          <w:b/>
          <w:sz w:val="28"/>
        </w:rPr>
        <w:t xml:space="preserve">ARTICLE 1 – </w:t>
      </w:r>
      <w:bookmarkEnd w:id="101"/>
      <w:bookmarkEnd w:id="102"/>
      <w:bookmarkEnd w:id="103"/>
      <w:bookmarkEnd w:id="104"/>
      <w:bookmarkEnd w:id="105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6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6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DC466A">
        <w:rPr>
          <w:rFonts w:ascii="Times New Roman" w:hAnsi="Times New Roman" w:cs="Times New Roman"/>
          <w:sz w:val="22"/>
          <w:szCs w:val="22"/>
        </w:rPr>
        <w:t>f</w:t>
      </w:r>
      <w:r w:rsidR="00DC466A" w:rsidRPr="00DC466A">
        <w:rPr>
          <w:rFonts w:ascii="Times New Roman" w:hAnsi="Times New Roman" w:cs="Times New Roman"/>
          <w:sz w:val="22"/>
          <w:szCs w:val="22"/>
        </w:rPr>
        <w:t>ourniture de pains, viennoiseries et produits de boulangerie au profit des formations militaires stationnées en Ile de France et ses environs</w:t>
      </w:r>
      <w:r w:rsidR="00AC73FA">
        <w:rPr>
          <w:rFonts w:ascii="Times New Roman" w:hAnsi="Times New Roman" w:cs="Times New Roman"/>
          <w:sz w:val="22"/>
          <w:szCs w:val="22"/>
        </w:rPr>
        <w:t xml:space="preserve">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</w:t>
      </w:r>
      <w:r w:rsidR="00627A99">
        <w:rPr>
          <w:rFonts w:ascii="Times New Roman" w:hAnsi="Times New Roman"/>
          <w:b w:val="0"/>
          <w:i w:val="0"/>
          <w:sz w:val="22"/>
          <w:szCs w:val="22"/>
        </w:rPr>
        <w:t xml:space="preserve"> 93507 Pantin cedex, bureau A205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051827" w:rsidRPr="00A56808" w:rsidRDefault="00051827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 concernée.</w:t>
      </w:r>
    </w:p>
    <w:p w:rsidR="00FC7BD3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FC7BD3" w:rsidRPr="00A56808" w:rsidRDefault="00E74B30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1E1D43" w:rsidRPr="00A56808">
        <w:rPr>
          <w:rFonts w:ascii="Times New Roman" w:hAnsi="Times New Roman" w:cs="Times New Roman"/>
          <w:sz w:val="22"/>
          <w:szCs w:val="22"/>
          <w:lang w:val="fr-CA"/>
        </w:rPr>
        <w:t>de la formation</w:t>
      </w:r>
      <w:r w:rsidR="0018471D"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client</w:t>
      </w:r>
      <w:r w:rsidR="005E0770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="001E1D43"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concernée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212783" w:rsidRPr="00A56808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7" w:name="_Toc379965654"/>
      <w:bookmarkStart w:id="108" w:name="_Toc130877240"/>
      <w:bookmarkStart w:id="109" w:name="_Toc131563933"/>
      <w:r w:rsidRPr="00A56808">
        <w:rPr>
          <w:rFonts w:ascii="Times New Roman" w:hAnsi="Times New Roman"/>
        </w:rPr>
        <w:t xml:space="preserve">ARTICLE 2 – </w:t>
      </w:r>
      <w:bookmarkEnd w:id="107"/>
      <w:r w:rsidR="00235705" w:rsidRPr="00A56808">
        <w:rPr>
          <w:rFonts w:ascii="Times New Roman" w:hAnsi="Times New Roman"/>
        </w:rPr>
        <w:t>ENGAGEMENT DU CANDIDAT</w:t>
      </w:r>
    </w:p>
    <w:p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10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0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672D3F" w:rsidRPr="00A56808">
        <w:rPr>
          <w:rFonts w:ascii="Times New Roman" w:hAnsi="Times New Roman" w:cs="Times New Roman"/>
          <w:sz w:val="22"/>
          <w:szCs w:val="22"/>
        </w:rPr>
        <w:t>202</w:t>
      </w:r>
      <w:r w:rsidR="00DC466A">
        <w:rPr>
          <w:rFonts w:ascii="Times New Roman" w:hAnsi="Times New Roman" w:cs="Times New Roman"/>
          <w:sz w:val="22"/>
          <w:szCs w:val="22"/>
        </w:rPr>
        <w:t>5</w:t>
      </w:r>
      <w:r w:rsidR="0027037D" w:rsidRPr="00A56808">
        <w:rPr>
          <w:rFonts w:ascii="Times New Roman" w:hAnsi="Times New Roman" w:cs="Times New Roman"/>
          <w:sz w:val="22"/>
          <w:szCs w:val="22"/>
        </w:rPr>
        <w:t>/</w:t>
      </w:r>
      <w:r w:rsidR="00DC466A">
        <w:rPr>
          <w:rFonts w:ascii="Times New Roman" w:hAnsi="Times New Roman" w:cs="Times New Roman"/>
          <w:sz w:val="22"/>
          <w:szCs w:val="22"/>
        </w:rPr>
        <w:t>0253</w:t>
      </w:r>
      <w:r w:rsidR="00F5078A" w:rsidRPr="00A56808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="00F5078A"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F5078A" w:rsidRPr="00A56808">
        <w:rPr>
          <w:rFonts w:ascii="Times New Roman" w:hAnsi="Times New Roman" w:cs="Times New Roman"/>
          <w:sz w:val="22"/>
          <w:szCs w:val="22"/>
        </w:rPr>
        <w:t>-DA</w:t>
      </w:r>
      <w:r w:rsidR="00466E3A" w:rsidRPr="00A56808">
        <w:rPr>
          <w:rFonts w:ascii="Times New Roman" w:hAnsi="Times New Roman" w:cs="Times New Roman"/>
          <w:sz w:val="22"/>
          <w:szCs w:val="22"/>
        </w:rPr>
        <w:t>/</w:t>
      </w:r>
      <w:r w:rsidR="00DC466A" w:rsidRPr="00DC466A">
        <w:t xml:space="preserve"> </w:t>
      </w:r>
      <w:r w:rsidR="00DC466A" w:rsidRPr="00DC466A">
        <w:rPr>
          <w:rFonts w:ascii="Times New Roman" w:hAnsi="Times New Roman" w:cs="Times New Roman"/>
          <w:sz w:val="22"/>
          <w:szCs w:val="22"/>
        </w:rPr>
        <w:t>Fourniture de pains, viennoiseries et produits de boulangerie au profit des formations militaires stationnées en Ile de France et ses environs</w:t>
      </w:r>
      <w:r w:rsidR="00257A06">
        <w:rPr>
          <w:rFonts w:ascii="Times New Roman" w:hAnsi="Times New Roman" w:cs="Times New Roman"/>
          <w:sz w:val="22"/>
          <w:szCs w:val="22"/>
        </w:rPr>
        <w:t xml:space="preserve"> </w:t>
      </w:r>
      <w:r w:rsidR="00BB3194" w:rsidRPr="00BB3194">
        <w:rPr>
          <w:rFonts w:ascii="Times New Roman" w:hAnsi="Times New Roman" w:cs="Times New Roman"/>
          <w:sz w:val="22"/>
          <w:szCs w:val="22"/>
        </w:rPr>
        <w:t xml:space="preserve">du </w:t>
      </w:r>
      <w:r w:rsidR="00DC466A">
        <w:rPr>
          <w:rFonts w:ascii="Times New Roman" w:hAnsi="Times New Roman" w:cs="Times New Roman"/>
          <w:sz w:val="22"/>
          <w:szCs w:val="22"/>
        </w:rPr>
        <w:t>13/03/2025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3044" w:type="pct"/>
        <w:tblInd w:w="1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27"/>
        <w:gridCol w:w="2835"/>
      </w:tblGrid>
      <w:tr w:rsidR="00DC466A" w:rsidRPr="00DC466A" w:rsidTr="00627A99">
        <w:trPr>
          <w:trHeight w:val="349"/>
        </w:trPr>
        <w:tc>
          <w:tcPr>
            <w:tcW w:w="2772" w:type="pct"/>
            <w:vAlign w:val="center"/>
          </w:tcPr>
          <w:p w:rsidR="00DC466A" w:rsidRPr="00DC466A" w:rsidRDefault="00DC466A" w:rsidP="00DC466A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466A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2228" w:type="pct"/>
            <w:vAlign w:val="center"/>
          </w:tcPr>
          <w:p w:rsidR="00DC466A" w:rsidRPr="00DC466A" w:rsidRDefault="00DC466A" w:rsidP="00DC466A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466A"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DC466A" w:rsidRPr="00DC466A" w:rsidTr="00627A99">
        <w:trPr>
          <w:trHeight w:val="821"/>
        </w:trPr>
        <w:tc>
          <w:tcPr>
            <w:tcW w:w="2772" w:type="pct"/>
            <w:vAlign w:val="center"/>
          </w:tcPr>
          <w:p w:rsidR="00DC466A" w:rsidRPr="00DC466A" w:rsidRDefault="00627A99" w:rsidP="00DC466A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27A99">
              <w:rPr>
                <w:rFonts w:ascii="Times New Roman" w:hAnsi="Times New Roman" w:cs="Times New Roman"/>
                <w:sz w:val="22"/>
                <w:szCs w:val="22"/>
              </w:rPr>
              <w:t>Pains, viennoiseries et autres produits de boulangerie/pâtisserie frais au profit des formations militaires stationnées en IDF et ses environs</w:t>
            </w:r>
          </w:p>
        </w:tc>
        <w:tc>
          <w:tcPr>
            <w:tcW w:w="2228" w:type="pct"/>
            <w:vAlign w:val="center"/>
          </w:tcPr>
          <w:p w:rsidR="00DC466A" w:rsidRPr="00DC466A" w:rsidRDefault="00696D2B" w:rsidP="00DC46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9 825</w:t>
            </w:r>
            <w:r w:rsidR="009F73DE"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  <w:r w:rsidR="00DC466A" w:rsidRPr="00C4014E">
              <w:rPr>
                <w:rFonts w:ascii="Times New Roman" w:hAnsi="Times New Roman" w:cs="Times New Roman"/>
                <w:sz w:val="22"/>
                <w:szCs w:val="22"/>
              </w:rPr>
              <w:t xml:space="preserve"> €</w:t>
            </w:r>
          </w:p>
        </w:tc>
      </w:tr>
    </w:tbl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:rsidR="003F5996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Virement bancaire</w:t>
      </w:r>
      <w:r w:rsidR="00FA7A9F" w:rsidRPr="00A56808">
        <w:rPr>
          <w:rFonts w:ascii="Times New Roman" w:hAnsi="Times New Roman" w:cs="Times New Roman"/>
          <w:sz w:val="22"/>
          <w:szCs w:val="22"/>
        </w:rPr>
        <w:t xml:space="preserve"> (virement administratif</w:t>
      </w:r>
      <w:r w:rsidR="003F5996">
        <w:rPr>
          <w:rFonts w:ascii="Times New Roman" w:hAnsi="Times New Roman" w:cs="Times New Roman"/>
          <w:sz w:val="22"/>
          <w:szCs w:val="22"/>
        </w:rPr>
        <w:t xml:space="preserve">) </w:t>
      </w:r>
    </w:p>
    <w:p w:rsidR="003F5996" w:rsidRDefault="003F5996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Règlement par carte achat 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:rsidR="00354FC6" w:rsidRPr="00A56808" w:rsidRDefault="00354FC6" w:rsidP="00354FC6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:rsidR="00354FC6" w:rsidRPr="00A56808" w:rsidRDefault="00354FC6" w:rsidP="00354FC6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lastRenderedPageBreak/>
        <w:tab/>
      </w:r>
    </w:p>
    <w:p w:rsidR="00D35E7D" w:rsidRDefault="00354FC6" w:rsidP="006F1037">
      <w:pPr>
        <w:spacing w:after="120"/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 xml:space="preserve">Il est tacitement reconductible </w:t>
      </w:r>
      <w:r w:rsidR="00414036" w:rsidRPr="00414036">
        <w:rPr>
          <w:rFonts w:ascii="Times New Roman" w:hAnsi="Times New Roman" w:cs="Times New Roman"/>
          <w:color w:val="000000"/>
          <w:sz w:val="22"/>
          <w:szCs w:val="22"/>
        </w:rPr>
        <w:t xml:space="preserve">deux (2) </w:t>
      </w:r>
      <w:r w:rsidR="005953F0">
        <w:rPr>
          <w:rFonts w:ascii="Times New Roman" w:hAnsi="Times New Roman" w:cs="Times New Roman"/>
          <w:color w:val="000000"/>
          <w:sz w:val="22"/>
          <w:szCs w:val="22"/>
        </w:rPr>
        <w:t xml:space="preserve">fois </w:t>
      </w:r>
      <w:r w:rsidRPr="00A56808">
        <w:rPr>
          <w:rFonts w:ascii="Times New Roman" w:hAnsi="Times New Roman" w:cs="Times New Roman"/>
          <w:color w:val="000000"/>
          <w:sz w:val="22"/>
          <w:szCs w:val="22"/>
        </w:rPr>
        <w:t xml:space="preserve">douze (12) mois à compter de </w:t>
      </w:r>
      <w:r w:rsidR="00C87FA8">
        <w:rPr>
          <w:rFonts w:ascii="Times New Roman" w:hAnsi="Times New Roman" w:cs="Times New Roman"/>
          <w:color w:val="000000"/>
          <w:sz w:val="22"/>
          <w:szCs w:val="22"/>
        </w:rPr>
        <w:t>sa</w:t>
      </w:r>
      <w:r w:rsidRPr="00A56808">
        <w:rPr>
          <w:rFonts w:ascii="Times New Roman" w:hAnsi="Times New Roman" w:cs="Times New Roman"/>
          <w:color w:val="000000"/>
          <w:sz w:val="22"/>
          <w:szCs w:val="22"/>
        </w:rPr>
        <w:t xml:space="preserve"> date anniversaire.</w:t>
      </w:r>
    </w:p>
    <w:p w:rsidR="009F73DE" w:rsidRPr="00A56808" w:rsidRDefault="009F73DE" w:rsidP="006F1037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F73DE">
        <w:rPr>
          <w:rFonts w:ascii="Times New Roman" w:hAnsi="Times New Roman" w:cs="Times New Roman"/>
          <w:sz w:val="22"/>
          <w:szCs w:val="22"/>
        </w:rPr>
        <w:t>Après ces deux reconductions annuelles, l’accord-cadre à bons de commande est reconduit tacitement deux (2) fois pour une durée de six (6) mois.</w:t>
      </w:r>
    </w:p>
    <w:p w:rsidR="004002BD" w:rsidRPr="00A56808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D11EA3">
        <w:rPr>
          <w:rFonts w:ascii="Times New Roman" w:hAnsi="Times New Roman" w:cs="Times New Roman"/>
          <w:sz w:val="22"/>
          <w:szCs w:val="22"/>
        </w:rPr>
        <w:t>4</w:t>
      </w:r>
      <w:r w:rsidR="00177452" w:rsidRPr="00A56808">
        <w:rPr>
          <w:rFonts w:ascii="Times New Roman" w:hAnsi="Times New Roman" w:cs="Times New Roman"/>
          <w:sz w:val="22"/>
          <w:szCs w:val="22"/>
        </w:rPr>
        <w:t xml:space="preserve"> 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8"/>
    <w:bookmarkEnd w:id="109"/>
    <w:p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17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51"/>
                              <w:gridCol w:w="851"/>
                              <w:gridCol w:w="1174"/>
                              <w:gridCol w:w="1488"/>
                              <w:gridCol w:w="1092"/>
                              <w:gridCol w:w="1273"/>
                              <w:gridCol w:w="1349"/>
                              <w:gridCol w:w="1043"/>
                              <w:gridCol w:w="1117"/>
                            </w:tblGrid>
                            <w:tr w:rsidR="00A118AD" w:rsidRPr="000A31C7" w:rsidTr="00A118AD">
                              <w:trPr>
                                <w:trHeight w:val="301"/>
                              </w:trPr>
                              <w:tc>
                                <w:tcPr>
                                  <w:tcW w:w="591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3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 :</w:t>
                                  </w:r>
                                </w:p>
                              </w:tc>
                              <w:tc>
                                <w:tcPr>
                                  <w:tcW w:w="70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516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597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37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3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2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A118AD" w:rsidRPr="000A31C7" w:rsidTr="00A118AD">
                              <w:trPr>
                                <w:trHeight w:val="301"/>
                              </w:trPr>
                              <w:tc>
                                <w:tcPr>
                                  <w:tcW w:w="591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533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6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63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93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118AD" w:rsidRPr="000A31C7" w:rsidTr="00A118AD">
                              <w:trPr>
                                <w:trHeight w:val="311"/>
                              </w:trPr>
                              <w:tc>
                                <w:tcPr>
                                  <w:tcW w:w="591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3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2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6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7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37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3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118AD" w:rsidRPr="000A31C7" w:rsidTr="00A118AD">
                              <w:trPr>
                                <w:trHeight w:val="1360"/>
                              </w:trPr>
                              <w:tc>
                                <w:tcPr>
                                  <w:tcW w:w="591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</w:p>
                              </w:tc>
                              <w:tc>
                                <w:tcPr>
                                  <w:tcW w:w="533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Informations logistiques </w:t>
                                  </w:r>
                                </w:p>
                              </w:tc>
                              <w:tc>
                                <w:tcPr>
                                  <w:tcW w:w="70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627A99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51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A118AD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9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A118AD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</w:tc>
                              <w:tc>
                                <w:tcPr>
                                  <w:tcW w:w="63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Default="00A118AD" w:rsidP="004B5A2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contacts fournisseur</w:t>
                                  </w:r>
                                </w:p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A118AD" w:rsidRPr="000A31C7" w:rsidTr="00A118AD">
                              <w:trPr>
                                <w:trHeight w:val="311"/>
                              </w:trPr>
                              <w:tc>
                                <w:tcPr>
                                  <w:tcW w:w="591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03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3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02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16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9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37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9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2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A181C" w:rsidRPr="000A31C7" w:rsidRDefault="008A181C" w:rsidP="000A31C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  <w:p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17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51"/>
                        <w:gridCol w:w="851"/>
                        <w:gridCol w:w="1174"/>
                        <w:gridCol w:w="1488"/>
                        <w:gridCol w:w="1092"/>
                        <w:gridCol w:w="1273"/>
                        <w:gridCol w:w="1349"/>
                        <w:gridCol w:w="1043"/>
                        <w:gridCol w:w="1117"/>
                      </w:tblGrid>
                      <w:tr w:rsidR="00A118AD" w:rsidRPr="000A31C7" w:rsidTr="00A118AD">
                        <w:trPr>
                          <w:trHeight w:val="301"/>
                        </w:trPr>
                        <w:tc>
                          <w:tcPr>
                            <w:tcW w:w="591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03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3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 :</w:t>
                            </w:r>
                          </w:p>
                        </w:tc>
                        <w:tc>
                          <w:tcPr>
                            <w:tcW w:w="70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516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597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37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3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2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A118AD" w:rsidRPr="000A31C7" w:rsidTr="00A118AD">
                        <w:trPr>
                          <w:trHeight w:val="301"/>
                        </w:trPr>
                        <w:tc>
                          <w:tcPr>
                            <w:tcW w:w="591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533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16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9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63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93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A118AD" w:rsidRPr="000A31C7" w:rsidTr="00A118AD">
                        <w:trPr>
                          <w:trHeight w:val="311"/>
                        </w:trPr>
                        <w:tc>
                          <w:tcPr>
                            <w:tcW w:w="591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3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2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16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97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37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3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A118AD" w:rsidRPr="000A31C7" w:rsidTr="00A118AD">
                        <w:trPr>
                          <w:trHeight w:val="1360"/>
                        </w:trPr>
                        <w:tc>
                          <w:tcPr>
                            <w:tcW w:w="591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0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</w:p>
                        </w:tc>
                        <w:tc>
                          <w:tcPr>
                            <w:tcW w:w="533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Informations logistiques </w:t>
                            </w:r>
                          </w:p>
                        </w:tc>
                        <w:tc>
                          <w:tcPr>
                            <w:tcW w:w="702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627A99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516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A118AD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9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A118AD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</w:tc>
                        <w:tc>
                          <w:tcPr>
                            <w:tcW w:w="63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Default="00A118AD" w:rsidP="004B5A2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contacts fournisseur</w:t>
                            </w:r>
                          </w:p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93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2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A118AD" w:rsidRPr="000A31C7" w:rsidTr="00A118AD">
                        <w:trPr>
                          <w:trHeight w:val="311"/>
                        </w:trPr>
                        <w:tc>
                          <w:tcPr>
                            <w:tcW w:w="591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03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3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02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16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9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37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9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2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8A181C" w:rsidRPr="000A31C7" w:rsidRDefault="008A181C" w:rsidP="000A31C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  <w:p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3A" w:rsidRDefault="00A5383A">
      <w:r>
        <w:separator/>
      </w:r>
    </w:p>
  </w:endnote>
  <w:endnote w:type="continuationSeparator" w:id="0">
    <w:p w:rsidR="00A5383A" w:rsidRDefault="00A5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423090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42309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3A" w:rsidRDefault="00A5383A">
      <w:r>
        <w:separator/>
      </w:r>
    </w:p>
  </w:footnote>
  <w:footnote w:type="continuationSeparator" w:id="0">
    <w:p w:rsidR="00A5383A" w:rsidRDefault="00A53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19251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44B7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732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996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090"/>
    <w:rsid w:val="004238DF"/>
    <w:rsid w:val="00426293"/>
    <w:rsid w:val="00426BBE"/>
    <w:rsid w:val="0042729E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5D67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A99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96D2B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D48BE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364C"/>
    <w:rsid w:val="009F61B1"/>
    <w:rsid w:val="009F73DE"/>
    <w:rsid w:val="009F7B85"/>
    <w:rsid w:val="009F7E5B"/>
    <w:rsid w:val="00A02FCA"/>
    <w:rsid w:val="00A05FA1"/>
    <w:rsid w:val="00A118AD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1D0B"/>
    <w:rsid w:val="00A72879"/>
    <w:rsid w:val="00A72BB7"/>
    <w:rsid w:val="00A73E3D"/>
    <w:rsid w:val="00A74908"/>
    <w:rsid w:val="00A7670C"/>
    <w:rsid w:val="00A83E65"/>
    <w:rsid w:val="00A85725"/>
    <w:rsid w:val="00A86665"/>
    <w:rsid w:val="00A8786B"/>
    <w:rsid w:val="00A90004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3246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014E"/>
    <w:rsid w:val="00C41ACC"/>
    <w:rsid w:val="00C41F22"/>
    <w:rsid w:val="00C42988"/>
    <w:rsid w:val="00C44CE9"/>
    <w:rsid w:val="00C47353"/>
    <w:rsid w:val="00C51224"/>
    <w:rsid w:val="00C56E0D"/>
    <w:rsid w:val="00C6207F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466A"/>
    <w:rsid w:val="00DC5797"/>
    <w:rsid w:val="00DC57FC"/>
    <w:rsid w:val="00DC59FA"/>
    <w:rsid w:val="00DC7D6F"/>
    <w:rsid w:val="00DD000F"/>
    <w:rsid w:val="00DD4B1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 fillcolor="white">
      <v:fill color="white"/>
    </o:shapedefaults>
    <o:shapelayout v:ext="edit">
      <o:idmap v:ext="edit" data="1"/>
    </o:shapelayout>
  </w:shapeDefaults>
  <w:decimalSymbol w:val=","/>
  <w:listSeparator w:val=";"/>
  <w14:docId w14:val="484DD3D1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7E366-20A1-4EDD-AFEC-FE1E0B064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736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3</cp:revision>
  <cp:lastPrinted>2020-09-25T09:11:00Z</cp:lastPrinted>
  <dcterms:created xsi:type="dcterms:W3CDTF">2025-07-21T14:34:00Z</dcterms:created>
  <dcterms:modified xsi:type="dcterms:W3CDTF">2025-07-22T15:16:00Z</dcterms:modified>
</cp:coreProperties>
</file>