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00F6D"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00F6D" w:rsidRDefault="00625902" w:rsidP="009D60D5">
            <w:pPr>
              <w:rPr>
                <w:rFonts w:asciiTheme="minorHAnsi" w:hAnsiTheme="minorHAnsi"/>
                <w:b/>
                <w:sz w:val="28"/>
              </w:rPr>
            </w:pPr>
            <w:bookmarkStart w:id="0" w:name="_Toc392669625"/>
            <w:r w:rsidRPr="00100F6D">
              <w:rPr>
                <w:rFonts w:asciiTheme="minorHAnsi" w:hAnsiTheme="minorHAnsi"/>
                <w:b/>
                <w:sz w:val="36"/>
              </w:rPr>
              <w:t>CONTRAT D</w:t>
            </w:r>
            <w:r w:rsidR="009D60D5" w:rsidRPr="00100F6D">
              <w:rPr>
                <w:rFonts w:asciiTheme="minorHAnsi" w:hAnsiTheme="minorHAnsi"/>
                <w:b/>
                <w:sz w:val="36"/>
              </w:rPr>
              <w:t>’ACHAT</w:t>
            </w:r>
            <w:bookmarkEnd w:id="0"/>
          </w:p>
        </w:tc>
      </w:tr>
      <w:tr w:rsidR="009D60D5" w:rsidRPr="00100F6D" w14:paraId="737CBD15" w14:textId="77777777" w:rsidTr="009D60D5">
        <w:tc>
          <w:tcPr>
            <w:tcW w:w="1384" w:type="dxa"/>
            <w:tcBorders>
              <w:top w:val="nil"/>
              <w:left w:val="nil"/>
              <w:bottom w:val="nil"/>
            </w:tcBorders>
          </w:tcPr>
          <w:p w14:paraId="45B3B34A" w14:textId="77777777" w:rsidR="009D60D5" w:rsidRPr="00100F6D"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348B1E4" w:rsidR="009D60D5" w:rsidRPr="00100F6D" w:rsidRDefault="005A750A"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60895" w:rsidRPr="00100F6D">
                  <w:rPr>
                    <w:rFonts w:ascii="MS Gothic" w:eastAsia="MS Gothic" w:hAnsi="MS Gothic" w:hint="eastAsia"/>
                    <w:b/>
                    <w:smallCaps/>
                    <w:sz w:val="24"/>
                  </w:rPr>
                  <w:t>☒</w:t>
                </w:r>
              </w:sdtContent>
            </w:sdt>
            <w:r w:rsidR="009D60D5" w:rsidRPr="00100F6D">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00F6D">
                  <w:rPr>
                    <w:rFonts w:ascii="Segoe UI Symbol" w:eastAsia="MS Gothic" w:hAnsi="Segoe UI Symbol" w:cs="Segoe UI Symbol"/>
                    <w:b/>
                    <w:smallCaps/>
                    <w:sz w:val="24"/>
                  </w:rPr>
                  <w:t>☐</w:t>
                </w:r>
              </w:sdtContent>
            </w:sdt>
            <w:r w:rsidR="009D60D5" w:rsidRPr="00100F6D">
              <w:rPr>
                <w:rFonts w:asciiTheme="minorHAnsi" w:hAnsiTheme="minorHAnsi"/>
                <w:b/>
                <w:smallCaps/>
                <w:sz w:val="24"/>
              </w:rPr>
              <w:t>Fournitures</w:t>
            </w:r>
          </w:p>
        </w:tc>
      </w:tr>
      <w:tr w:rsidR="00C2145A" w:rsidRPr="00100F6D" w14:paraId="17E710B3" w14:textId="77777777" w:rsidTr="00357B46">
        <w:tc>
          <w:tcPr>
            <w:tcW w:w="1384" w:type="dxa"/>
            <w:tcBorders>
              <w:top w:val="nil"/>
              <w:left w:val="nil"/>
              <w:bottom w:val="nil"/>
            </w:tcBorders>
          </w:tcPr>
          <w:p w14:paraId="136EC2B2" w14:textId="77777777" w:rsidR="00C2145A" w:rsidRPr="00100F6D"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2CC5F6F" w:rsidR="00C2145A" w:rsidRPr="00100F6D" w:rsidRDefault="00C2145A" w:rsidP="006C601D">
            <w:pPr>
              <w:rPr>
                <w:rFonts w:asciiTheme="minorHAnsi" w:hAnsiTheme="minorHAnsi"/>
                <w:b/>
                <w:sz w:val="24"/>
              </w:rPr>
            </w:pPr>
            <w:r w:rsidRPr="00100F6D">
              <w:rPr>
                <w:rFonts w:asciiTheme="minorHAnsi" w:hAnsiTheme="minorHAnsi"/>
                <w:b/>
                <w:smallCaps/>
                <w:sz w:val="24"/>
              </w:rPr>
              <w:t>Numéro</w:t>
            </w:r>
            <w:r w:rsidR="009433E7" w:rsidRPr="00100F6D">
              <w:rPr>
                <w:rFonts w:asciiTheme="minorHAnsi" w:hAnsiTheme="minorHAnsi"/>
                <w:b/>
                <w:smallCaps/>
                <w:sz w:val="24"/>
              </w:rPr>
              <w:t xml:space="preserve"> </w:t>
            </w:r>
            <w:r w:rsidRPr="00100F6D">
              <w:rPr>
                <w:rFonts w:asciiTheme="minorHAnsi" w:hAnsiTheme="minorHAnsi"/>
                <w:b/>
                <w:smallCaps/>
                <w:sz w:val="24"/>
              </w:rPr>
              <w:t xml:space="preserve">: </w:t>
            </w:r>
          </w:p>
        </w:tc>
      </w:tr>
      <w:tr w:rsidR="008714BB" w:rsidRPr="00100F6D" w14:paraId="21A6E405" w14:textId="77777777" w:rsidTr="002F072C">
        <w:tc>
          <w:tcPr>
            <w:tcW w:w="9608" w:type="dxa"/>
            <w:gridSpan w:val="2"/>
            <w:tcBorders>
              <w:top w:val="nil"/>
              <w:left w:val="nil"/>
              <w:bottom w:val="nil"/>
              <w:right w:val="nil"/>
            </w:tcBorders>
          </w:tcPr>
          <w:p w14:paraId="167856CE" w14:textId="77777777" w:rsidR="00741D2D" w:rsidRPr="00100F6D" w:rsidRDefault="00741D2D" w:rsidP="00540DA7">
            <w:pPr>
              <w:rPr>
                <w:rFonts w:asciiTheme="minorHAnsi" w:hAnsiTheme="minorHAnsi" w:cs="Arial"/>
                <w:b/>
                <w:sz w:val="24"/>
              </w:rPr>
            </w:pPr>
          </w:p>
        </w:tc>
      </w:tr>
      <w:tr w:rsidR="008714BB" w:rsidRPr="00100F6D" w14:paraId="3891D20F" w14:textId="77777777" w:rsidTr="002F072C">
        <w:tc>
          <w:tcPr>
            <w:tcW w:w="1384" w:type="dxa"/>
            <w:tcBorders>
              <w:top w:val="nil"/>
              <w:left w:val="nil"/>
              <w:bottom w:val="nil"/>
              <w:right w:val="single" w:sz="4" w:space="0" w:color="auto"/>
            </w:tcBorders>
          </w:tcPr>
          <w:p w14:paraId="1A865CB9" w14:textId="77777777" w:rsidR="00741D2D" w:rsidRPr="00100F6D"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684327E" w14:textId="24552A61" w:rsidR="00741D2D" w:rsidRPr="006C601D" w:rsidRDefault="009D60D5" w:rsidP="006C601D">
            <w:pPr>
              <w:rPr>
                <w:rFonts w:asciiTheme="minorHAnsi" w:hAnsiTheme="minorHAnsi"/>
                <w:b/>
                <w:caps/>
                <w:smallCaps/>
                <w:sz w:val="24"/>
              </w:rPr>
            </w:pPr>
            <w:bookmarkStart w:id="1" w:name="_Toc392669627"/>
            <w:r w:rsidRPr="00100F6D">
              <w:rPr>
                <w:rFonts w:asciiTheme="minorHAnsi" w:hAnsiTheme="minorHAnsi"/>
                <w:b/>
                <w:caps/>
                <w:sz w:val="24"/>
              </w:rPr>
              <w:t>OBJET du contrat</w:t>
            </w:r>
            <w:r w:rsidR="00996FEA" w:rsidRPr="00100F6D">
              <w:rPr>
                <w:rFonts w:asciiTheme="minorHAnsi" w:hAnsiTheme="minorHAnsi"/>
                <w:b/>
                <w:smallCaps/>
                <w:sz w:val="24"/>
              </w:rPr>
              <w:t> </w:t>
            </w:r>
            <w:r w:rsidR="00540DA7" w:rsidRPr="00100F6D">
              <w:rPr>
                <w:rFonts w:asciiTheme="minorHAnsi" w:hAnsiTheme="minorHAnsi"/>
                <w:b/>
                <w:smallCaps/>
                <w:sz w:val="24"/>
              </w:rPr>
              <w:t>:</w:t>
            </w:r>
            <w:bookmarkEnd w:id="1"/>
            <w:r w:rsidR="006C601D">
              <w:t xml:space="preserve"> </w:t>
            </w:r>
            <w:r w:rsidR="006C601D" w:rsidRPr="006C601D">
              <w:rPr>
                <w:rFonts w:asciiTheme="minorHAnsi" w:hAnsiTheme="minorHAnsi"/>
                <w:b/>
                <w:smallCaps/>
                <w:sz w:val="24"/>
              </w:rPr>
              <w:t>Appui technique pour la mise en place et l’opérationnalisation de systèmes de gestion des risques environnementaux et sociaux (SGES) dans plusieurs institutions financières tunisiennes</w:t>
            </w:r>
          </w:p>
        </w:tc>
      </w:tr>
      <w:tr w:rsidR="008714BB" w:rsidRPr="00100F6D"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00F6D" w:rsidRDefault="00741D2D" w:rsidP="00540DA7">
            <w:pPr>
              <w:rPr>
                <w:rFonts w:asciiTheme="minorHAnsi" w:hAnsiTheme="minorHAnsi" w:cs="Arial"/>
                <w:b/>
                <w:sz w:val="24"/>
              </w:rPr>
            </w:pPr>
          </w:p>
        </w:tc>
      </w:tr>
      <w:tr w:rsidR="008714BB" w:rsidRPr="00100F6D" w14:paraId="270B1C57" w14:textId="77777777" w:rsidTr="002F072C">
        <w:tc>
          <w:tcPr>
            <w:tcW w:w="1384" w:type="dxa"/>
            <w:tcBorders>
              <w:top w:val="nil"/>
              <w:left w:val="nil"/>
              <w:bottom w:val="nil"/>
              <w:right w:val="single" w:sz="4" w:space="0" w:color="auto"/>
            </w:tcBorders>
          </w:tcPr>
          <w:p w14:paraId="2C029ABF" w14:textId="77777777" w:rsidR="00741D2D" w:rsidRPr="00100F6D"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00F6D" w:rsidRDefault="00540DA7" w:rsidP="00540DA7">
            <w:pPr>
              <w:rPr>
                <w:rFonts w:asciiTheme="minorHAnsi" w:hAnsiTheme="minorHAnsi"/>
                <w:b/>
                <w:caps/>
                <w:smallCaps/>
                <w:sz w:val="24"/>
              </w:rPr>
            </w:pPr>
            <w:bookmarkStart w:id="2" w:name="_Toc392669628"/>
            <w:r w:rsidRPr="00100F6D">
              <w:rPr>
                <w:rFonts w:asciiTheme="minorHAnsi" w:hAnsiTheme="minorHAnsi"/>
                <w:b/>
                <w:smallCaps/>
                <w:sz w:val="24"/>
              </w:rPr>
              <w:t>MONTANT MAXIMAL DU CONTRAT :</w:t>
            </w:r>
            <w:bookmarkEnd w:id="2"/>
          </w:p>
          <w:p w14:paraId="7E809CC5" w14:textId="2BC72BFA" w:rsidR="00741D2D" w:rsidRPr="00100F6D" w:rsidRDefault="00540DA7" w:rsidP="0094204C">
            <w:pPr>
              <w:rPr>
                <w:rFonts w:asciiTheme="minorHAnsi" w:hAnsiTheme="minorHAnsi" w:cs="Arial"/>
                <w:sz w:val="24"/>
              </w:rPr>
            </w:pPr>
            <w:r w:rsidRPr="00100F6D">
              <w:rPr>
                <w:rFonts w:asciiTheme="minorHAnsi" w:hAnsiTheme="minorHAnsi" w:cs="Arial"/>
                <w:i/>
                <w:sz w:val="24"/>
              </w:rPr>
              <w:t>indiquer ici le montant maximal de l’ensemble des prestations</w:t>
            </w:r>
            <w:r w:rsidR="00E953FE" w:rsidRPr="00100F6D">
              <w:rPr>
                <w:rFonts w:asciiTheme="minorHAnsi" w:hAnsiTheme="minorHAnsi" w:cs="Arial"/>
                <w:i/>
                <w:sz w:val="24"/>
              </w:rPr>
              <w:t>/fournitures</w:t>
            </w:r>
            <w:r w:rsidRPr="00100F6D">
              <w:rPr>
                <w:rFonts w:asciiTheme="minorHAnsi" w:hAnsiTheme="minorHAnsi" w:cs="Arial"/>
                <w:i/>
                <w:sz w:val="24"/>
              </w:rPr>
              <w:t xml:space="preserve"> qui pourront être réalisées</w:t>
            </w:r>
            <w:r w:rsidR="00E953FE" w:rsidRPr="00100F6D">
              <w:rPr>
                <w:rFonts w:asciiTheme="minorHAnsi" w:hAnsiTheme="minorHAnsi" w:cs="Arial"/>
                <w:i/>
                <w:sz w:val="24"/>
              </w:rPr>
              <w:t xml:space="preserve">/fournies </w:t>
            </w:r>
            <w:r w:rsidRPr="00100F6D">
              <w:rPr>
                <w:rFonts w:asciiTheme="minorHAnsi" w:hAnsiTheme="minorHAnsi" w:cs="Arial"/>
                <w:i/>
                <w:sz w:val="24"/>
              </w:rPr>
              <w:t xml:space="preserve">au titre du contrat </w:t>
            </w:r>
          </w:p>
        </w:tc>
      </w:tr>
      <w:tr w:rsidR="008714BB" w:rsidRPr="00100F6D"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100F6D" w:rsidRDefault="00580C7F" w:rsidP="002F072C">
            <w:pPr>
              <w:rPr>
                <w:rFonts w:asciiTheme="minorHAnsi" w:hAnsiTheme="minorHAnsi" w:cs="Arial"/>
                <w:sz w:val="22"/>
                <w:szCs w:val="22"/>
              </w:rPr>
            </w:pPr>
          </w:p>
          <w:p w14:paraId="09B0A4B2" w14:textId="77777777" w:rsidR="001B5605" w:rsidRPr="00100F6D" w:rsidRDefault="001B5605" w:rsidP="002F072C">
            <w:pPr>
              <w:rPr>
                <w:rFonts w:asciiTheme="minorHAnsi" w:hAnsiTheme="minorHAnsi" w:cs="Arial"/>
                <w:sz w:val="22"/>
                <w:szCs w:val="22"/>
              </w:rPr>
            </w:pPr>
          </w:p>
          <w:p w14:paraId="58AAEC59" w14:textId="77777777" w:rsidR="0084564E" w:rsidRPr="00100F6D" w:rsidRDefault="0084564E" w:rsidP="002F072C">
            <w:pPr>
              <w:rPr>
                <w:rFonts w:asciiTheme="minorHAnsi" w:hAnsiTheme="minorHAnsi" w:cs="Arial"/>
                <w:sz w:val="22"/>
                <w:szCs w:val="22"/>
              </w:rPr>
            </w:pPr>
          </w:p>
          <w:p w14:paraId="3039E833" w14:textId="77777777" w:rsidR="001B5605" w:rsidRPr="00100F6D"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100F6D"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100F6D" w:rsidRDefault="002129B8" w:rsidP="002129B8">
                  <w:pPr>
                    <w:spacing w:before="120" w:after="120"/>
                    <w:rPr>
                      <w:rFonts w:asciiTheme="minorHAnsi" w:hAnsiTheme="minorHAnsi"/>
                      <w:b/>
                      <w:smallCaps/>
                      <w:sz w:val="22"/>
                      <w:szCs w:val="22"/>
                    </w:rPr>
                  </w:pPr>
                  <w:r w:rsidRPr="00100F6D">
                    <w:rPr>
                      <w:rFonts w:asciiTheme="minorHAnsi" w:hAnsiTheme="minorHAnsi"/>
                      <w:b/>
                      <w:smallCaps/>
                      <w:sz w:val="22"/>
                      <w:szCs w:val="22"/>
                    </w:rPr>
                    <w:t>Date de notification:</w:t>
                  </w:r>
                  <w:r w:rsidRPr="00100F6D">
                    <w:rPr>
                      <w:rFonts w:asciiTheme="minorHAnsi" w:hAnsiTheme="minorHAnsi"/>
                      <w:b/>
                      <w:smallCaps/>
                      <w:sz w:val="22"/>
                      <w:szCs w:val="22"/>
                    </w:rPr>
                    <w:tab/>
                  </w:r>
                  <w:r w:rsidRPr="00100F6D">
                    <w:rPr>
                      <w:rFonts w:asciiTheme="minorHAnsi" w:hAnsiTheme="minorHAnsi"/>
                      <w:b/>
                      <w:smallCaps/>
                      <w:sz w:val="22"/>
                      <w:szCs w:val="22"/>
                    </w:rPr>
                    <w:tab/>
                  </w:r>
                </w:p>
              </w:tc>
            </w:tr>
          </w:tbl>
          <w:p w14:paraId="11489DB7" w14:textId="77777777" w:rsidR="00580C7F" w:rsidRPr="00100F6D" w:rsidRDefault="00580C7F" w:rsidP="00580C7F">
            <w:pPr>
              <w:rPr>
                <w:rFonts w:asciiTheme="minorHAnsi" w:hAnsiTheme="minorHAnsi" w:cs="Arial"/>
                <w:sz w:val="22"/>
                <w:szCs w:val="22"/>
              </w:rPr>
            </w:pPr>
          </w:p>
          <w:p w14:paraId="29D73C11" w14:textId="77777777" w:rsidR="0084564E" w:rsidRPr="00100F6D" w:rsidRDefault="0084564E" w:rsidP="00580C7F">
            <w:pPr>
              <w:rPr>
                <w:rFonts w:asciiTheme="minorHAnsi" w:hAnsiTheme="minorHAnsi" w:cs="Arial"/>
                <w:sz w:val="22"/>
                <w:szCs w:val="22"/>
              </w:rPr>
            </w:pPr>
          </w:p>
          <w:p w14:paraId="41280FB3" w14:textId="77777777" w:rsidR="0084564E" w:rsidRPr="00100F6D" w:rsidRDefault="0084564E" w:rsidP="00580C7F">
            <w:pPr>
              <w:rPr>
                <w:rFonts w:asciiTheme="minorHAnsi" w:hAnsiTheme="minorHAnsi" w:cs="Arial"/>
                <w:sz w:val="22"/>
                <w:szCs w:val="22"/>
              </w:rPr>
            </w:pPr>
          </w:p>
          <w:p w14:paraId="38EF105B" w14:textId="77777777" w:rsidR="0084564E" w:rsidRPr="00100F6D" w:rsidRDefault="005C7534" w:rsidP="005C7534">
            <w:pPr>
              <w:tabs>
                <w:tab w:val="left" w:pos="6255"/>
              </w:tabs>
              <w:rPr>
                <w:rFonts w:asciiTheme="minorHAnsi" w:hAnsiTheme="minorHAnsi" w:cs="Arial"/>
                <w:sz w:val="22"/>
                <w:szCs w:val="22"/>
              </w:rPr>
            </w:pPr>
            <w:r w:rsidRPr="00100F6D">
              <w:rPr>
                <w:rFonts w:asciiTheme="minorHAnsi" w:hAnsiTheme="minorHAnsi" w:cs="Arial"/>
                <w:sz w:val="22"/>
                <w:szCs w:val="22"/>
              </w:rPr>
              <w:tab/>
            </w:r>
          </w:p>
          <w:p w14:paraId="46535417" w14:textId="77777777" w:rsidR="0084564E" w:rsidRPr="00100F6D"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100F6D" w:rsidRDefault="00554974" w:rsidP="00A86E43">
            <w:pPr>
              <w:pBdr>
                <w:top w:val="single" w:sz="4" w:space="1" w:color="auto"/>
              </w:pBdr>
              <w:tabs>
                <w:tab w:val="right" w:pos="9356"/>
              </w:tabs>
              <w:rPr>
                <w:rFonts w:asciiTheme="minorHAnsi" w:hAnsiTheme="minorHAnsi" w:cstheme="minorHAnsi"/>
                <w:sz w:val="22"/>
                <w:szCs w:val="22"/>
              </w:rPr>
            </w:pPr>
            <w:r w:rsidRPr="00100F6D">
              <w:rPr>
                <w:rFonts w:asciiTheme="minorHAnsi" w:hAnsiTheme="minorHAnsi" w:cstheme="minorHAnsi"/>
                <w:sz w:val="22"/>
                <w:szCs w:val="22"/>
              </w:rPr>
              <w:t xml:space="preserve">Le présent contrat est soumis au Code de la commande publique </w:t>
            </w:r>
            <w:r w:rsidR="00F4232F" w:rsidRPr="00100F6D">
              <w:rPr>
                <w:rFonts w:asciiTheme="minorHAnsi" w:hAnsiTheme="minorHAnsi" w:cstheme="minorHAnsi"/>
                <w:sz w:val="22"/>
                <w:szCs w:val="22"/>
              </w:rPr>
              <w:t xml:space="preserve">français </w:t>
            </w:r>
            <w:r w:rsidRPr="00100F6D">
              <w:rPr>
                <w:rFonts w:asciiTheme="minorHAnsi" w:hAnsiTheme="minorHAnsi" w:cstheme="minorHAnsi"/>
                <w:sz w:val="22"/>
                <w:szCs w:val="22"/>
              </w:rPr>
              <w:t>(CCP)</w:t>
            </w:r>
            <w:r w:rsidR="00161128" w:rsidRPr="00100F6D">
              <w:rPr>
                <w:rFonts w:asciiTheme="minorHAnsi" w:hAnsiTheme="minorHAnsi" w:cstheme="minorHAnsi"/>
                <w:sz w:val="22"/>
                <w:szCs w:val="22"/>
              </w:rPr>
              <w:t xml:space="preserve"> dans sa version en vigueur issu</w:t>
            </w:r>
            <w:r w:rsidR="00F7095D" w:rsidRPr="00100F6D">
              <w:rPr>
                <w:rFonts w:asciiTheme="minorHAnsi" w:hAnsiTheme="minorHAnsi" w:cstheme="minorHAnsi"/>
                <w:sz w:val="22"/>
                <w:szCs w:val="22"/>
              </w:rPr>
              <w:t>e</w:t>
            </w:r>
            <w:r w:rsidR="00161128" w:rsidRPr="00100F6D">
              <w:rPr>
                <w:rFonts w:asciiTheme="minorHAnsi" w:hAnsiTheme="minorHAnsi" w:cstheme="minorHAnsi"/>
                <w:sz w:val="22"/>
                <w:szCs w:val="22"/>
              </w:rPr>
              <w:t xml:space="preserve"> de l'</w:t>
            </w:r>
            <w:hyperlink r:id="rId8" w:history="1">
              <w:r w:rsidR="00161128" w:rsidRPr="00100F6D">
                <w:rPr>
                  <w:rStyle w:val="Lienhypertexte"/>
                  <w:rFonts w:asciiTheme="minorHAnsi" w:hAnsiTheme="minorHAnsi" w:cstheme="minorHAnsi"/>
                  <w:sz w:val="22"/>
                  <w:szCs w:val="22"/>
                </w:rPr>
                <w:t>ordonnance n° 2018-1074 du 26 novembre 2018</w:t>
              </w:r>
            </w:hyperlink>
            <w:r w:rsidR="00161128" w:rsidRPr="00100F6D">
              <w:rPr>
                <w:rFonts w:asciiTheme="minorHAnsi" w:hAnsiTheme="minorHAnsi" w:cstheme="minorHAnsi"/>
                <w:sz w:val="22"/>
                <w:szCs w:val="22"/>
              </w:rPr>
              <w:t xml:space="preserve"> portant partie législative et du </w:t>
            </w:r>
            <w:hyperlink r:id="rId9" w:history="1">
              <w:r w:rsidR="00161128" w:rsidRPr="00100F6D">
                <w:rPr>
                  <w:rStyle w:val="Lienhypertexte"/>
                  <w:rFonts w:asciiTheme="minorHAnsi" w:hAnsiTheme="minorHAnsi" w:cstheme="minorHAnsi"/>
                  <w:sz w:val="22"/>
                  <w:szCs w:val="22"/>
                </w:rPr>
                <w:t>décret n° 2018-1075 du 3 décembre 2018</w:t>
              </w:r>
            </w:hyperlink>
            <w:r w:rsidR="00161128" w:rsidRPr="00100F6D">
              <w:rPr>
                <w:rFonts w:asciiTheme="minorHAnsi" w:hAnsiTheme="minorHAnsi" w:cstheme="minorHAnsi"/>
                <w:sz w:val="22"/>
                <w:szCs w:val="22"/>
              </w:rPr>
              <w:t xml:space="preserve"> portant part</w:t>
            </w:r>
            <w:r w:rsidR="00192EDE" w:rsidRPr="00100F6D">
              <w:rPr>
                <w:rFonts w:asciiTheme="minorHAnsi" w:hAnsiTheme="minorHAnsi" w:cstheme="minorHAnsi"/>
                <w:sz w:val="22"/>
                <w:szCs w:val="22"/>
              </w:rPr>
              <w:t>ie réglementaire du C</w:t>
            </w:r>
            <w:r w:rsidR="00E36430" w:rsidRPr="00100F6D">
              <w:rPr>
                <w:rFonts w:asciiTheme="minorHAnsi" w:hAnsiTheme="minorHAnsi" w:cstheme="minorHAnsi"/>
                <w:sz w:val="22"/>
                <w:szCs w:val="22"/>
              </w:rPr>
              <w:t>ode de la commande publique.</w:t>
            </w:r>
          </w:p>
          <w:p w14:paraId="42614EF7" w14:textId="35291322" w:rsidR="00707B69" w:rsidRPr="00100F6D" w:rsidRDefault="00801ECC" w:rsidP="0094204C">
            <w:pPr>
              <w:tabs>
                <w:tab w:val="left" w:pos="510"/>
                <w:tab w:val="left" w:pos="10977"/>
              </w:tabs>
              <w:spacing w:before="120"/>
              <w:ind w:right="83"/>
              <w:jc w:val="both"/>
              <w:rPr>
                <w:rFonts w:asciiTheme="minorHAnsi" w:hAnsiTheme="minorHAnsi" w:cs="Arial"/>
                <w:sz w:val="22"/>
                <w:szCs w:val="22"/>
              </w:rPr>
            </w:pPr>
            <w:r w:rsidRPr="00100F6D">
              <w:rPr>
                <w:rFonts w:asciiTheme="minorHAnsi" w:hAnsiTheme="minorHAnsi" w:cstheme="minorHAnsi"/>
                <w:sz w:val="22"/>
                <w:szCs w:val="22"/>
              </w:rPr>
              <w:t xml:space="preserve">Il est passé par procédure adaptée en application </w:t>
            </w:r>
            <w:r w:rsidR="00554974" w:rsidRPr="00100F6D">
              <w:rPr>
                <w:rFonts w:asciiTheme="minorHAnsi" w:hAnsiTheme="minorHAnsi" w:cstheme="minorHAnsi"/>
                <w:sz w:val="22"/>
                <w:szCs w:val="22"/>
              </w:rPr>
              <w:t>des articles L. 2123-1 et R. 2123-1 au R. 2123-7 du CCP</w:t>
            </w:r>
            <w:r w:rsidR="0094204C" w:rsidRPr="00100F6D">
              <w:rPr>
                <w:rFonts w:asciiTheme="minorHAnsi" w:hAnsiTheme="minorHAnsi" w:cstheme="minorHAnsi"/>
                <w:sz w:val="22"/>
                <w:szCs w:val="22"/>
              </w:rPr>
              <w:t>.</w:t>
            </w:r>
          </w:p>
        </w:tc>
      </w:tr>
    </w:tbl>
    <w:p w14:paraId="0B888884" w14:textId="77777777" w:rsidR="00524053" w:rsidRPr="00100F6D" w:rsidRDefault="00524053">
      <w:pPr>
        <w:rPr>
          <w:rFonts w:asciiTheme="minorHAnsi" w:hAnsiTheme="minorHAnsi" w:cs="Arial"/>
          <w:sz w:val="18"/>
        </w:rPr>
      </w:pPr>
    </w:p>
    <w:p w14:paraId="0FE9D7F8" w14:textId="77777777" w:rsidR="00524053" w:rsidRPr="00100F6D" w:rsidRDefault="00524053" w:rsidP="00524053">
      <w:pPr>
        <w:rPr>
          <w:rFonts w:asciiTheme="minorHAnsi" w:hAnsiTheme="minorHAnsi" w:cs="Arial"/>
          <w:sz w:val="18"/>
        </w:rPr>
      </w:pPr>
    </w:p>
    <w:p w14:paraId="190EF86C" w14:textId="77777777" w:rsidR="00524053" w:rsidRPr="00100F6D"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00F6D" w:rsidRDefault="007E2198" w:rsidP="002C46DE">
          <w:pPr>
            <w:pStyle w:val="En-ttedetabledesmatires"/>
            <w:rPr>
              <w:rFonts w:asciiTheme="minorHAnsi" w:hAnsiTheme="minorHAnsi"/>
              <w:color w:val="auto"/>
              <w:sz w:val="32"/>
            </w:rPr>
          </w:pPr>
          <w:r w:rsidRPr="00100F6D">
            <w:rPr>
              <w:rFonts w:asciiTheme="minorHAnsi" w:hAnsiTheme="minorHAnsi"/>
              <w:color w:val="auto"/>
              <w:sz w:val="32"/>
              <w:u w:val="single"/>
            </w:rPr>
            <w:t>TABLE DES MATIERES</w:t>
          </w:r>
        </w:p>
        <w:p w14:paraId="027AADBB" w14:textId="77777777" w:rsidR="000D1A0F" w:rsidRPr="00100F6D" w:rsidRDefault="000D1A0F" w:rsidP="000D1A0F">
          <w:pPr>
            <w:rPr>
              <w:rFonts w:asciiTheme="minorHAnsi" w:hAnsiTheme="minorHAnsi"/>
            </w:rPr>
          </w:pPr>
        </w:p>
        <w:p w14:paraId="4480A5FD" w14:textId="77777777" w:rsidR="000A764F" w:rsidRPr="00100F6D" w:rsidRDefault="002C46DE">
          <w:pPr>
            <w:pStyle w:val="TM1"/>
            <w:tabs>
              <w:tab w:val="right" w:leader="dot" w:pos="9736"/>
            </w:tabs>
            <w:rPr>
              <w:rFonts w:asciiTheme="minorHAnsi" w:eastAsiaTheme="minorEastAsia" w:hAnsiTheme="minorHAnsi" w:cstheme="minorBidi"/>
              <w:noProof/>
              <w:sz w:val="22"/>
              <w:szCs w:val="22"/>
            </w:rPr>
          </w:pPr>
          <w:r w:rsidRPr="00100F6D">
            <w:rPr>
              <w:rFonts w:asciiTheme="minorHAnsi" w:hAnsiTheme="minorHAnsi"/>
            </w:rPr>
            <w:fldChar w:fldCharType="begin"/>
          </w:r>
          <w:r w:rsidRPr="00100F6D">
            <w:rPr>
              <w:rFonts w:asciiTheme="minorHAnsi" w:hAnsiTheme="minorHAnsi"/>
            </w:rPr>
            <w:instrText xml:space="preserve"> TOC \o "1-3" \h \z \u </w:instrText>
          </w:r>
          <w:r w:rsidRPr="00100F6D">
            <w:rPr>
              <w:rFonts w:asciiTheme="minorHAnsi" w:hAnsiTheme="minorHAnsi"/>
            </w:rPr>
            <w:fldChar w:fldCharType="separate"/>
          </w:r>
          <w:hyperlink w:anchor="_Toc126921968" w:history="1">
            <w:r w:rsidR="000A764F" w:rsidRPr="00100F6D">
              <w:rPr>
                <w:rStyle w:val="Lienhypertexte"/>
                <w:b/>
                <w:caps/>
                <w:noProof/>
              </w:rPr>
              <w:t>conditions PARTICULIERES – acte d’engagement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_Toc126921968 \h </w:instrText>
            </w:r>
            <w:r w:rsidR="000A764F" w:rsidRPr="00100F6D">
              <w:rPr>
                <w:noProof/>
                <w:webHidden/>
              </w:rPr>
            </w:r>
            <w:r w:rsidR="000A764F" w:rsidRPr="00100F6D">
              <w:rPr>
                <w:noProof/>
                <w:webHidden/>
              </w:rPr>
              <w:fldChar w:fldCharType="separate"/>
            </w:r>
            <w:r w:rsidR="000A764F" w:rsidRPr="00100F6D">
              <w:rPr>
                <w:noProof/>
                <w:webHidden/>
              </w:rPr>
              <w:t>4</w:t>
            </w:r>
            <w:r w:rsidR="000A764F" w:rsidRPr="00100F6D">
              <w:rPr>
                <w:noProof/>
                <w:webHidden/>
              </w:rPr>
              <w:fldChar w:fldCharType="end"/>
            </w:r>
          </w:hyperlink>
        </w:p>
        <w:p w14:paraId="166CC157"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100F6D">
              <w:rPr>
                <w:rStyle w:val="Lienhypertexte"/>
                <w:b/>
                <w:caps/>
                <w:noProof/>
              </w:rPr>
              <w:t>ARTICLE 1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Objet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_Toc126921969 \h </w:instrText>
            </w:r>
            <w:r w:rsidR="000A764F" w:rsidRPr="00100F6D">
              <w:rPr>
                <w:noProof/>
                <w:webHidden/>
              </w:rPr>
            </w:r>
            <w:r w:rsidR="000A764F" w:rsidRPr="00100F6D">
              <w:rPr>
                <w:noProof/>
                <w:webHidden/>
              </w:rPr>
              <w:fldChar w:fldCharType="separate"/>
            </w:r>
            <w:r w:rsidR="000A764F" w:rsidRPr="00100F6D">
              <w:rPr>
                <w:noProof/>
                <w:webHidden/>
              </w:rPr>
              <w:t>5</w:t>
            </w:r>
            <w:r w:rsidR="000A764F" w:rsidRPr="00100F6D">
              <w:rPr>
                <w:noProof/>
                <w:webHidden/>
              </w:rPr>
              <w:fldChar w:fldCharType="end"/>
            </w:r>
          </w:hyperlink>
        </w:p>
        <w:p w14:paraId="6541E5B1"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100F6D">
              <w:rPr>
                <w:rStyle w:val="Lienhypertexte"/>
                <w:b/>
                <w:caps/>
                <w:noProof/>
              </w:rPr>
              <w:t>ARTICLE 2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Documents contractuels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_Toc126921970 \h </w:instrText>
            </w:r>
            <w:r w:rsidR="000A764F" w:rsidRPr="00100F6D">
              <w:rPr>
                <w:noProof/>
                <w:webHidden/>
              </w:rPr>
            </w:r>
            <w:r w:rsidR="000A764F" w:rsidRPr="00100F6D">
              <w:rPr>
                <w:noProof/>
                <w:webHidden/>
              </w:rPr>
              <w:fldChar w:fldCharType="separate"/>
            </w:r>
            <w:r w:rsidR="000A764F" w:rsidRPr="00100F6D">
              <w:rPr>
                <w:noProof/>
                <w:webHidden/>
              </w:rPr>
              <w:t>5</w:t>
            </w:r>
            <w:r w:rsidR="000A764F" w:rsidRPr="00100F6D">
              <w:rPr>
                <w:noProof/>
                <w:webHidden/>
              </w:rPr>
              <w:fldChar w:fldCharType="end"/>
            </w:r>
          </w:hyperlink>
        </w:p>
        <w:p w14:paraId="2C15B542"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100F6D">
              <w:rPr>
                <w:rStyle w:val="Lienhypertexte"/>
                <w:b/>
                <w:caps/>
                <w:noProof/>
              </w:rPr>
              <w:t>ARTICLE 3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CaractÉristiques gÉnÉrales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_Toc126921971 \h </w:instrText>
            </w:r>
            <w:r w:rsidR="000A764F" w:rsidRPr="00100F6D">
              <w:rPr>
                <w:noProof/>
                <w:webHidden/>
              </w:rPr>
            </w:r>
            <w:r w:rsidR="000A764F" w:rsidRPr="00100F6D">
              <w:rPr>
                <w:noProof/>
                <w:webHidden/>
              </w:rPr>
              <w:fldChar w:fldCharType="separate"/>
            </w:r>
            <w:r w:rsidR="000A764F" w:rsidRPr="00100F6D">
              <w:rPr>
                <w:noProof/>
                <w:webHidden/>
              </w:rPr>
              <w:t>6</w:t>
            </w:r>
            <w:r w:rsidR="000A764F" w:rsidRPr="00100F6D">
              <w:rPr>
                <w:noProof/>
                <w:webHidden/>
              </w:rPr>
              <w:fldChar w:fldCharType="end"/>
            </w:r>
          </w:hyperlink>
        </w:p>
        <w:p w14:paraId="57D7656A" w14:textId="77777777" w:rsidR="000A764F" w:rsidRPr="00100F6D" w:rsidRDefault="005A750A">
          <w:pPr>
            <w:pStyle w:val="TM2"/>
            <w:rPr>
              <w:noProof/>
            </w:rPr>
          </w:pPr>
          <w:hyperlink w:anchor="_Toc126921972" w:history="1">
            <w:r w:rsidR="000A764F" w:rsidRPr="00100F6D">
              <w:rPr>
                <w:rStyle w:val="Lienhypertexte"/>
                <w:noProof/>
              </w:rPr>
              <w:t>Forme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_Toc126921972 \h </w:instrText>
            </w:r>
            <w:r w:rsidR="000A764F" w:rsidRPr="00100F6D">
              <w:rPr>
                <w:noProof/>
                <w:webHidden/>
              </w:rPr>
            </w:r>
            <w:r w:rsidR="000A764F" w:rsidRPr="00100F6D">
              <w:rPr>
                <w:noProof/>
                <w:webHidden/>
              </w:rPr>
              <w:fldChar w:fldCharType="separate"/>
            </w:r>
            <w:r w:rsidR="000A764F" w:rsidRPr="00100F6D">
              <w:rPr>
                <w:noProof/>
                <w:webHidden/>
              </w:rPr>
              <w:t>6</w:t>
            </w:r>
            <w:r w:rsidR="000A764F" w:rsidRPr="00100F6D">
              <w:rPr>
                <w:noProof/>
                <w:webHidden/>
              </w:rPr>
              <w:fldChar w:fldCharType="end"/>
            </w:r>
          </w:hyperlink>
        </w:p>
        <w:p w14:paraId="7D5A7570" w14:textId="77777777" w:rsidR="000A764F" w:rsidRPr="00100F6D" w:rsidRDefault="005A750A">
          <w:pPr>
            <w:pStyle w:val="TM2"/>
            <w:rPr>
              <w:noProof/>
            </w:rPr>
          </w:pPr>
          <w:hyperlink w:anchor="_Toc126921973" w:history="1">
            <w:r w:rsidR="000A764F" w:rsidRPr="00100F6D">
              <w:rPr>
                <w:rStyle w:val="Lienhypertexte"/>
                <w:noProof/>
              </w:rPr>
              <w:t>Durée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_Toc126921973 \h </w:instrText>
            </w:r>
            <w:r w:rsidR="000A764F" w:rsidRPr="00100F6D">
              <w:rPr>
                <w:noProof/>
                <w:webHidden/>
              </w:rPr>
            </w:r>
            <w:r w:rsidR="000A764F" w:rsidRPr="00100F6D">
              <w:rPr>
                <w:noProof/>
                <w:webHidden/>
              </w:rPr>
              <w:fldChar w:fldCharType="separate"/>
            </w:r>
            <w:r w:rsidR="000A764F" w:rsidRPr="00100F6D">
              <w:rPr>
                <w:noProof/>
                <w:webHidden/>
              </w:rPr>
              <w:t>7</w:t>
            </w:r>
            <w:r w:rsidR="000A764F" w:rsidRPr="00100F6D">
              <w:rPr>
                <w:noProof/>
                <w:webHidden/>
              </w:rPr>
              <w:fldChar w:fldCharType="end"/>
            </w:r>
          </w:hyperlink>
        </w:p>
        <w:p w14:paraId="1258330A" w14:textId="77777777" w:rsidR="000A764F" w:rsidRPr="00100F6D" w:rsidRDefault="005A750A">
          <w:pPr>
            <w:pStyle w:val="TM2"/>
            <w:rPr>
              <w:noProof/>
            </w:rPr>
          </w:pPr>
          <w:hyperlink w:anchor="_Toc126921974" w:history="1">
            <w:r w:rsidR="000A764F" w:rsidRPr="00100F6D">
              <w:rPr>
                <w:rStyle w:val="Lienhypertexte"/>
                <w:noProof/>
              </w:rPr>
              <w:t>Déclenchement et délai [d’exécution des prestations][de livraison des fournitures]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_Toc126921974 \h </w:instrText>
            </w:r>
            <w:r w:rsidR="000A764F" w:rsidRPr="00100F6D">
              <w:rPr>
                <w:noProof/>
                <w:webHidden/>
              </w:rPr>
            </w:r>
            <w:r w:rsidR="000A764F" w:rsidRPr="00100F6D">
              <w:rPr>
                <w:noProof/>
                <w:webHidden/>
              </w:rPr>
              <w:fldChar w:fldCharType="separate"/>
            </w:r>
            <w:r w:rsidR="000A764F" w:rsidRPr="00100F6D">
              <w:rPr>
                <w:noProof/>
                <w:webHidden/>
              </w:rPr>
              <w:t>7</w:t>
            </w:r>
            <w:r w:rsidR="000A764F" w:rsidRPr="00100F6D">
              <w:rPr>
                <w:noProof/>
                <w:webHidden/>
              </w:rPr>
              <w:fldChar w:fldCharType="end"/>
            </w:r>
          </w:hyperlink>
        </w:p>
        <w:p w14:paraId="5CAAC918" w14:textId="77777777" w:rsidR="000A764F" w:rsidRPr="00100F6D" w:rsidRDefault="005A750A">
          <w:pPr>
            <w:pStyle w:val="TM2"/>
            <w:rPr>
              <w:noProof/>
            </w:rPr>
          </w:pPr>
          <w:hyperlink w:anchor="_Toc126921975" w:history="1">
            <w:r w:rsidR="000A764F" w:rsidRPr="00100F6D">
              <w:rPr>
                <w:rStyle w:val="Lienhypertexte"/>
                <w:noProof/>
              </w:rPr>
              <w:t>Modalités de passation des bons de commande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_Toc126921975 \h </w:instrText>
            </w:r>
            <w:r w:rsidR="000A764F" w:rsidRPr="00100F6D">
              <w:rPr>
                <w:noProof/>
                <w:webHidden/>
              </w:rPr>
            </w:r>
            <w:r w:rsidR="000A764F" w:rsidRPr="00100F6D">
              <w:rPr>
                <w:noProof/>
                <w:webHidden/>
              </w:rPr>
              <w:fldChar w:fldCharType="separate"/>
            </w:r>
            <w:r w:rsidR="000A764F" w:rsidRPr="00100F6D">
              <w:rPr>
                <w:noProof/>
                <w:webHidden/>
              </w:rPr>
              <w:t>7</w:t>
            </w:r>
            <w:r w:rsidR="000A764F" w:rsidRPr="00100F6D">
              <w:rPr>
                <w:noProof/>
                <w:webHidden/>
              </w:rPr>
              <w:fldChar w:fldCharType="end"/>
            </w:r>
          </w:hyperlink>
        </w:p>
        <w:p w14:paraId="1EF17BFB" w14:textId="77777777" w:rsidR="000A764F" w:rsidRPr="00100F6D" w:rsidRDefault="005A750A">
          <w:pPr>
            <w:pStyle w:val="TM2"/>
            <w:rPr>
              <w:noProof/>
            </w:rPr>
          </w:pPr>
          <w:hyperlink w:anchor="_Toc126921976" w:history="1">
            <w:r w:rsidR="000A764F" w:rsidRPr="00100F6D">
              <w:rPr>
                <w:rStyle w:val="Lienhypertexte"/>
                <w:noProof/>
              </w:rPr>
              <w:t>Modalités d’affermissement des tranches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_Toc126921976 \h </w:instrText>
            </w:r>
            <w:r w:rsidR="000A764F" w:rsidRPr="00100F6D">
              <w:rPr>
                <w:noProof/>
                <w:webHidden/>
              </w:rPr>
            </w:r>
            <w:r w:rsidR="000A764F" w:rsidRPr="00100F6D">
              <w:rPr>
                <w:noProof/>
                <w:webHidden/>
              </w:rPr>
              <w:fldChar w:fldCharType="separate"/>
            </w:r>
            <w:r w:rsidR="000A764F" w:rsidRPr="00100F6D">
              <w:rPr>
                <w:noProof/>
                <w:webHidden/>
              </w:rPr>
              <w:t>8</w:t>
            </w:r>
            <w:r w:rsidR="000A764F" w:rsidRPr="00100F6D">
              <w:rPr>
                <w:noProof/>
                <w:webHidden/>
              </w:rPr>
              <w:fldChar w:fldCharType="end"/>
            </w:r>
          </w:hyperlink>
        </w:p>
        <w:p w14:paraId="312E12FE"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100F6D">
              <w:rPr>
                <w:rStyle w:val="Lienhypertexte"/>
                <w:b/>
                <w:caps/>
                <w:noProof/>
              </w:rPr>
              <w:t>ARTICLE 4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Dispositions financiÈres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_Toc126921977 \h </w:instrText>
            </w:r>
            <w:r w:rsidR="000A764F" w:rsidRPr="00100F6D">
              <w:rPr>
                <w:noProof/>
                <w:webHidden/>
              </w:rPr>
            </w:r>
            <w:r w:rsidR="000A764F" w:rsidRPr="00100F6D">
              <w:rPr>
                <w:noProof/>
                <w:webHidden/>
              </w:rPr>
              <w:fldChar w:fldCharType="separate"/>
            </w:r>
            <w:r w:rsidR="000A764F" w:rsidRPr="00100F6D">
              <w:rPr>
                <w:noProof/>
                <w:webHidden/>
              </w:rPr>
              <w:t>8</w:t>
            </w:r>
            <w:r w:rsidR="000A764F" w:rsidRPr="00100F6D">
              <w:rPr>
                <w:noProof/>
                <w:webHidden/>
              </w:rPr>
              <w:fldChar w:fldCharType="end"/>
            </w:r>
          </w:hyperlink>
        </w:p>
        <w:p w14:paraId="4F9B66B3" w14:textId="77777777" w:rsidR="000A764F" w:rsidRPr="00100F6D" w:rsidRDefault="005A750A">
          <w:pPr>
            <w:pStyle w:val="TM2"/>
            <w:rPr>
              <w:noProof/>
            </w:rPr>
          </w:pPr>
          <w:hyperlink w:anchor="_Toc126921978" w:history="1">
            <w:r w:rsidR="000A764F" w:rsidRPr="00100F6D">
              <w:rPr>
                <w:rStyle w:val="Lienhypertexte"/>
                <w:noProof/>
              </w:rPr>
              <w:t>Montant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_Toc126921978 \h </w:instrText>
            </w:r>
            <w:r w:rsidR="000A764F" w:rsidRPr="00100F6D">
              <w:rPr>
                <w:noProof/>
                <w:webHidden/>
              </w:rPr>
            </w:r>
            <w:r w:rsidR="000A764F" w:rsidRPr="00100F6D">
              <w:rPr>
                <w:noProof/>
                <w:webHidden/>
              </w:rPr>
              <w:fldChar w:fldCharType="separate"/>
            </w:r>
            <w:r w:rsidR="000A764F" w:rsidRPr="00100F6D">
              <w:rPr>
                <w:noProof/>
                <w:webHidden/>
              </w:rPr>
              <w:t>8</w:t>
            </w:r>
            <w:r w:rsidR="000A764F" w:rsidRPr="00100F6D">
              <w:rPr>
                <w:noProof/>
                <w:webHidden/>
              </w:rPr>
              <w:fldChar w:fldCharType="end"/>
            </w:r>
          </w:hyperlink>
        </w:p>
        <w:p w14:paraId="17BFC55C" w14:textId="77777777" w:rsidR="000A764F" w:rsidRPr="00100F6D" w:rsidRDefault="005A750A">
          <w:pPr>
            <w:pStyle w:val="TM2"/>
            <w:rPr>
              <w:noProof/>
            </w:rPr>
          </w:pPr>
          <w:hyperlink w:anchor="_Toc126921979" w:history="1">
            <w:r w:rsidR="000A764F" w:rsidRPr="00100F6D">
              <w:rPr>
                <w:rStyle w:val="Lienhypertexte"/>
                <w:noProof/>
              </w:rPr>
              <w:t>Forme des prix</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_Toc126921979 \h </w:instrText>
            </w:r>
            <w:r w:rsidR="000A764F" w:rsidRPr="00100F6D">
              <w:rPr>
                <w:noProof/>
                <w:webHidden/>
              </w:rPr>
            </w:r>
            <w:r w:rsidR="000A764F" w:rsidRPr="00100F6D">
              <w:rPr>
                <w:noProof/>
                <w:webHidden/>
              </w:rPr>
              <w:fldChar w:fldCharType="separate"/>
            </w:r>
            <w:r w:rsidR="000A764F" w:rsidRPr="00100F6D">
              <w:rPr>
                <w:noProof/>
                <w:webHidden/>
              </w:rPr>
              <w:t>11</w:t>
            </w:r>
            <w:r w:rsidR="000A764F" w:rsidRPr="00100F6D">
              <w:rPr>
                <w:noProof/>
                <w:webHidden/>
              </w:rPr>
              <w:fldChar w:fldCharType="end"/>
            </w:r>
          </w:hyperlink>
        </w:p>
        <w:p w14:paraId="33031637" w14:textId="77777777" w:rsidR="000A764F" w:rsidRPr="00100F6D" w:rsidRDefault="005A750A">
          <w:pPr>
            <w:pStyle w:val="TM2"/>
            <w:rPr>
              <w:noProof/>
            </w:rPr>
          </w:pPr>
          <w:hyperlink w:anchor="_Toc126921980" w:history="1">
            <w:r w:rsidR="000A764F" w:rsidRPr="00100F6D">
              <w:rPr>
                <w:rStyle w:val="Lienhypertexte"/>
                <w:noProof/>
              </w:rPr>
              <w:t>Avance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_Toc126921980 \h </w:instrText>
            </w:r>
            <w:r w:rsidR="000A764F" w:rsidRPr="00100F6D">
              <w:rPr>
                <w:noProof/>
                <w:webHidden/>
              </w:rPr>
            </w:r>
            <w:r w:rsidR="000A764F" w:rsidRPr="00100F6D">
              <w:rPr>
                <w:noProof/>
                <w:webHidden/>
              </w:rPr>
              <w:fldChar w:fldCharType="separate"/>
            </w:r>
            <w:r w:rsidR="000A764F" w:rsidRPr="00100F6D">
              <w:rPr>
                <w:noProof/>
                <w:webHidden/>
              </w:rPr>
              <w:t>11</w:t>
            </w:r>
            <w:r w:rsidR="000A764F" w:rsidRPr="00100F6D">
              <w:rPr>
                <w:noProof/>
                <w:webHidden/>
              </w:rPr>
              <w:fldChar w:fldCharType="end"/>
            </w:r>
          </w:hyperlink>
        </w:p>
        <w:p w14:paraId="187813E0" w14:textId="77777777" w:rsidR="000A764F" w:rsidRPr="00100F6D" w:rsidRDefault="005A750A">
          <w:pPr>
            <w:pStyle w:val="TM2"/>
            <w:rPr>
              <w:noProof/>
            </w:rPr>
          </w:pPr>
          <w:hyperlink w:anchor="_Toc126921981" w:history="1">
            <w:r w:rsidR="000A764F" w:rsidRPr="00100F6D">
              <w:rPr>
                <w:rStyle w:val="Lienhypertexte"/>
                <w:noProof/>
              </w:rPr>
              <w:t>Modalités de paiement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_Toc126921981 \h </w:instrText>
            </w:r>
            <w:r w:rsidR="000A764F" w:rsidRPr="00100F6D">
              <w:rPr>
                <w:noProof/>
                <w:webHidden/>
              </w:rPr>
            </w:r>
            <w:r w:rsidR="000A764F" w:rsidRPr="00100F6D">
              <w:rPr>
                <w:noProof/>
                <w:webHidden/>
              </w:rPr>
              <w:fldChar w:fldCharType="separate"/>
            </w:r>
            <w:r w:rsidR="000A764F" w:rsidRPr="00100F6D">
              <w:rPr>
                <w:noProof/>
                <w:webHidden/>
              </w:rPr>
              <w:t>11</w:t>
            </w:r>
            <w:r w:rsidR="000A764F" w:rsidRPr="00100F6D">
              <w:rPr>
                <w:noProof/>
                <w:webHidden/>
              </w:rPr>
              <w:fldChar w:fldCharType="end"/>
            </w:r>
          </w:hyperlink>
        </w:p>
        <w:p w14:paraId="519F2E53" w14:textId="77777777" w:rsidR="000A764F" w:rsidRPr="00100F6D" w:rsidRDefault="005A750A">
          <w:pPr>
            <w:pStyle w:val="TM2"/>
            <w:rPr>
              <w:noProof/>
            </w:rPr>
          </w:pPr>
          <w:hyperlink w:anchor="_Toc126921982" w:history="1">
            <w:r w:rsidR="000A764F" w:rsidRPr="00100F6D">
              <w:rPr>
                <w:rStyle w:val="Lienhypertexte"/>
                <w:noProof/>
              </w:rPr>
              <w:t>Délais de paiement et intérêts moratoires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_Toc126921982 \h </w:instrText>
            </w:r>
            <w:r w:rsidR="000A764F" w:rsidRPr="00100F6D">
              <w:rPr>
                <w:noProof/>
                <w:webHidden/>
              </w:rPr>
            </w:r>
            <w:r w:rsidR="000A764F" w:rsidRPr="00100F6D">
              <w:rPr>
                <w:noProof/>
                <w:webHidden/>
              </w:rPr>
              <w:fldChar w:fldCharType="separate"/>
            </w:r>
            <w:r w:rsidR="000A764F" w:rsidRPr="00100F6D">
              <w:rPr>
                <w:noProof/>
                <w:webHidden/>
              </w:rPr>
              <w:t>12</w:t>
            </w:r>
            <w:r w:rsidR="000A764F" w:rsidRPr="00100F6D">
              <w:rPr>
                <w:noProof/>
                <w:webHidden/>
              </w:rPr>
              <w:fldChar w:fldCharType="end"/>
            </w:r>
          </w:hyperlink>
        </w:p>
        <w:p w14:paraId="62C0F799" w14:textId="77777777" w:rsidR="000A764F" w:rsidRPr="00100F6D" w:rsidRDefault="005A750A">
          <w:pPr>
            <w:pStyle w:val="TM2"/>
            <w:rPr>
              <w:noProof/>
            </w:rPr>
          </w:pPr>
          <w:hyperlink w:anchor="_Toc126921983" w:history="1">
            <w:r w:rsidR="000A764F" w:rsidRPr="00100F6D">
              <w:rPr>
                <w:rStyle w:val="Lienhypertexte"/>
                <w:noProof/>
              </w:rPr>
              <w:t>Présentation des demandes de paiement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_Toc126921983 \h </w:instrText>
            </w:r>
            <w:r w:rsidR="000A764F" w:rsidRPr="00100F6D">
              <w:rPr>
                <w:noProof/>
                <w:webHidden/>
              </w:rPr>
            </w:r>
            <w:r w:rsidR="000A764F" w:rsidRPr="00100F6D">
              <w:rPr>
                <w:noProof/>
                <w:webHidden/>
              </w:rPr>
              <w:fldChar w:fldCharType="separate"/>
            </w:r>
            <w:r w:rsidR="000A764F" w:rsidRPr="00100F6D">
              <w:rPr>
                <w:noProof/>
                <w:webHidden/>
              </w:rPr>
              <w:t>12</w:t>
            </w:r>
            <w:r w:rsidR="000A764F" w:rsidRPr="00100F6D">
              <w:rPr>
                <w:noProof/>
                <w:webHidden/>
              </w:rPr>
              <w:fldChar w:fldCharType="end"/>
            </w:r>
          </w:hyperlink>
        </w:p>
        <w:p w14:paraId="1FE7936F" w14:textId="77777777" w:rsidR="000A764F" w:rsidRPr="00100F6D" w:rsidRDefault="005A750A">
          <w:pPr>
            <w:pStyle w:val="TM2"/>
            <w:rPr>
              <w:noProof/>
            </w:rPr>
          </w:pPr>
          <w:hyperlink w:anchor="_Toc126921984" w:history="1">
            <w:r w:rsidR="000A764F" w:rsidRPr="00100F6D">
              <w:rPr>
                <w:rStyle w:val="Lienhypertexte"/>
                <w:noProof/>
              </w:rPr>
              <w:t>Virement bancaire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_Toc126921984 \h </w:instrText>
            </w:r>
            <w:r w:rsidR="000A764F" w:rsidRPr="00100F6D">
              <w:rPr>
                <w:noProof/>
                <w:webHidden/>
              </w:rPr>
            </w:r>
            <w:r w:rsidR="000A764F" w:rsidRPr="00100F6D">
              <w:rPr>
                <w:noProof/>
                <w:webHidden/>
              </w:rPr>
              <w:fldChar w:fldCharType="separate"/>
            </w:r>
            <w:r w:rsidR="000A764F" w:rsidRPr="00100F6D">
              <w:rPr>
                <w:noProof/>
                <w:webHidden/>
              </w:rPr>
              <w:t>13</w:t>
            </w:r>
            <w:r w:rsidR="000A764F" w:rsidRPr="00100F6D">
              <w:rPr>
                <w:noProof/>
                <w:webHidden/>
              </w:rPr>
              <w:fldChar w:fldCharType="end"/>
            </w:r>
          </w:hyperlink>
        </w:p>
        <w:p w14:paraId="120FBD8D" w14:textId="77777777" w:rsidR="000A764F" w:rsidRPr="00100F6D" w:rsidRDefault="005A750A">
          <w:pPr>
            <w:pStyle w:val="TM2"/>
            <w:rPr>
              <w:noProof/>
            </w:rPr>
          </w:pPr>
          <w:hyperlink w:anchor="_Toc126921985" w:history="1">
            <w:r w:rsidR="000A764F" w:rsidRPr="00100F6D">
              <w:rPr>
                <w:rStyle w:val="Lienhypertexte"/>
                <w:noProof/>
              </w:rPr>
              <w:t>Taxe sur la valeur ajoutée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_Toc126921985 \h </w:instrText>
            </w:r>
            <w:r w:rsidR="000A764F" w:rsidRPr="00100F6D">
              <w:rPr>
                <w:noProof/>
                <w:webHidden/>
              </w:rPr>
            </w:r>
            <w:r w:rsidR="000A764F" w:rsidRPr="00100F6D">
              <w:rPr>
                <w:noProof/>
                <w:webHidden/>
              </w:rPr>
              <w:fldChar w:fldCharType="separate"/>
            </w:r>
            <w:r w:rsidR="000A764F" w:rsidRPr="00100F6D">
              <w:rPr>
                <w:noProof/>
                <w:webHidden/>
              </w:rPr>
              <w:t>13</w:t>
            </w:r>
            <w:r w:rsidR="000A764F" w:rsidRPr="00100F6D">
              <w:rPr>
                <w:noProof/>
                <w:webHidden/>
              </w:rPr>
              <w:fldChar w:fldCharType="end"/>
            </w:r>
          </w:hyperlink>
        </w:p>
        <w:p w14:paraId="00E794DB" w14:textId="77777777" w:rsidR="000A764F" w:rsidRPr="00100F6D" w:rsidRDefault="005A750A">
          <w:pPr>
            <w:pStyle w:val="TM2"/>
            <w:rPr>
              <w:noProof/>
            </w:rPr>
          </w:pPr>
          <w:hyperlink w:anchor="_Toc126921986" w:history="1">
            <w:r w:rsidR="000A764F" w:rsidRPr="00100F6D">
              <w:rPr>
                <w:rStyle w:val="Lienhypertexte"/>
                <w:noProof/>
              </w:rPr>
              <w:t>Impôts et taxes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_Toc126921986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4F4645BD"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100F6D">
              <w:rPr>
                <w:rStyle w:val="Lienhypertexte"/>
                <w:b/>
                <w:caps/>
                <w:noProof/>
              </w:rPr>
              <w:t>ARTICLE 5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opÉrations de vÉrification et d’admission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_Toc126921987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55EE35A2" w14:textId="77777777" w:rsidR="000A764F" w:rsidRPr="00100F6D" w:rsidRDefault="005A750A">
          <w:pPr>
            <w:pStyle w:val="TM2"/>
            <w:rPr>
              <w:noProof/>
            </w:rPr>
          </w:pPr>
          <w:hyperlink w:anchor="_Toc126921988" w:history="1">
            <w:r w:rsidR="000A764F" w:rsidRPr="00100F6D">
              <w:rPr>
                <w:rStyle w:val="Lienhypertexte"/>
                <w:rFonts w:cstheme="minorHAnsi"/>
                <w:noProof/>
              </w:rPr>
              <w:t>Opérations de vérification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_Toc126921988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2E8C6237" w14:textId="77777777" w:rsidR="000A764F" w:rsidRPr="00100F6D" w:rsidRDefault="005A750A">
          <w:pPr>
            <w:pStyle w:val="TM2"/>
            <w:rPr>
              <w:noProof/>
            </w:rPr>
          </w:pPr>
          <w:hyperlink w:anchor="_Toc126921989" w:history="1">
            <w:r w:rsidR="000A764F" w:rsidRPr="00100F6D">
              <w:rPr>
                <w:rStyle w:val="Lienhypertexte"/>
                <w:rFonts w:cstheme="minorHAnsi"/>
                <w:noProof/>
              </w:rPr>
              <w:t>Admission des prestations et des fournitures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_Toc126921989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5AA0B411"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100F6D">
              <w:rPr>
                <w:rStyle w:val="Lienhypertexte"/>
                <w:b/>
                <w:caps/>
                <w:noProof/>
              </w:rPr>
              <w:t>ARTICLE 6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ModalitÉs spÉcifiques d’exécution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_Toc126921990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6228D314" w14:textId="77777777" w:rsidR="000A764F" w:rsidRPr="00100F6D" w:rsidRDefault="005A750A">
          <w:pPr>
            <w:pStyle w:val="TM2"/>
            <w:rPr>
              <w:noProof/>
            </w:rPr>
          </w:pPr>
          <w:hyperlink w:anchor="_Toc126921991" w:history="1">
            <w:r w:rsidR="000A764F" w:rsidRPr="00100F6D">
              <w:rPr>
                <w:rStyle w:val="Lienhypertexte"/>
                <w:rFonts w:cstheme="minorHAnsi"/>
                <w:noProof/>
              </w:rPr>
              <w:t>Tableau des livrables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_Toc126921991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53369D7A" w14:textId="77777777" w:rsidR="000A764F" w:rsidRPr="00100F6D" w:rsidRDefault="005A750A">
          <w:pPr>
            <w:pStyle w:val="TM2"/>
            <w:rPr>
              <w:noProof/>
            </w:rPr>
          </w:pPr>
          <w:hyperlink w:anchor="_Toc126921992" w:history="1">
            <w:r w:rsidR="000A764F" w:rsidRPr="00100F6D">
              <w:rPr>
                <w:rStyle w:val="Lienhypertexte"/>
                <w:rFonts w:cstheme="minorHAnsi"/>
                <w:noProof/>
              </w:rPr>
              <w:t>Expert en charge de l’exécution de la mission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_Toc126921992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71442AC8" w14:textId="77777777" w:rsidR="000A764F" w:rsidRPr="00100F6D" w:rsidRDefault="005A750A">
          <w:pPr>
            <w:pStyle w:val="TM2"/>
            <w:rPr>
              <w:noProof/>
            </w:rPr>
          </w:pPr>
          <w:hyperlink w:anchor="_Toc126921993" w:history="1">
            <w:r w:rsidR="000A764F" w:rsidRPr="00100F6D">
              <w:rPr>
                <w:rStyle w:val="Lienhypertexte"/>
                <w:rFonts w:cstheme="minorHAnsi"/>
                <w:noProof/>
              </w:rPr>
              <w:t>Lieu d’exécution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_Toc126921993 \h </w:instrText>
            </w:r>
            <w:r w:rsidR="000A764F" w:rsidRPr="00100F6D">
              <w:rPr>
                <w:noProof/>
                <w:webHidden/>
              </w:rPr>
            </w:r>
            <w:r w:rsidR="000A764F" w:rsidRPr="00100F6D">
              <w:rPr>
                <w:noProof/>
                <w:webHidden/>
              </w:rPr>
              <w:fldChar w:fldCharType="separate"/>
            </w:r>
            <w:r w:rsidR="000A764F" w:rsidRPr="00100F6D">
              <w:rPr>
                <w:noProof/>
                <w:webHidden/>
              </w:rPr>
              <w:t>15</w:t>
            </w:r>
            <w:r w:rsidR="000A764F" w:rsidRPr="00100F6D">
              <w:rPr>
                <w:noProof/>
                <w:webHidden/>
              </w:rPr>
              <w:fldChar w:fldCharType="end"/>
            </w:r>
          </w:hyperlink>
        </w:p>
        <w:p w14:paraId="5F2A3636" w14:textId="77777777" w:rsidR="000A764F" w:rsidRPr="00100F6D" w:rsidRDefault="005A750A">
          <w:pPr>
            <w:pStyle w:val="TM2"/>
            <w:rPr>
              <w:noProof/>
            </w:rPr>
          </w:pPr>
          <w:hyperlink w:anchor="_Toc126921994" w:history="1">
            <w:r w:rsidR="000A764F" w:rsidRPr="00100F6D">
              <w:rPr>
                <w:rStyle w:val="Lienhypertexte"/>
                <w:rFonts w:cstheme="minorHAnsi"/>
                <w:noProof/>
              </w:rPr>
              <w:t>Livraison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_Toc126921994 \h </w:instrText>
            </w:r>
            <w:r w:rsidR="000A764F" w:rsidRPr="00100F6D">
              <w:rPr>
                <w:noProof/>
                <w:webHidden/>
              </w:rPr>
            </w:r>
            <w:r w:rsidR="000A764F" w:rsidRPr="00100F6D">
              <w:rPr>
                <w:noProof/>
                <w:webHidden/>
              </w:rPr>
              <w:fldChar w:fldCharType="separate"/>
            </w:r>
            <w:r w:rsidR="000A764F" w:rsidRPr="00100F6D">
              <w:rPr>
                <w:noProof/>
                <w:webHidden/>
              </w:rPr>
              <w:t>15</w:t>
            </w:r>
            <w:r w:rsidR="000A764F" w:rsidRPr="00100F6D">
              <w:rPr>
                <w:noProof/>
                <w:webHidden/>
              </w:rPr>
              <w:fldChar w:fldCharType="end"/>
            </w:r>
          </w:hyperlink>
        </w:p>
        <w:p w14:paraId="716EA3AF" w14:textId="77777777" w:rsidR="000A764F" w:rsidRPr="00100F6D" w:rsidRDefault="005A750A">
          <w:pPr>
            <w:pStyle w:val="TM2"/>
            <w:rPr>
              <w:noProof/>
            </w:rPr>
          </w:pPr>
          <w:hyperlink w:anchor="_Toc126921995" w:history="1">
            <w:r w:rsidR="000A764F" w:rsidRPr="00100F6D">
              <w:rPr>
                <w:rStyle w:val="Lienhypertexte"/>
                <w:rFonts w:cstheme="minorHAnsi"/>
                <w:noProof/>
              </w:rPr>
              <w:t>Contrôle des exports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_Toc126921995 \h </w:instrText>
            </w:r>
            <w:r w:rsidR="000A764F" w:rsidRPr="00100F6D">
              <w:rPr>
                <w:noProof/>
                <w:webHidden/>
              </w:rPr>
            </w:r>
            <w:r w:rsidR="000A764F" w:rsidRPr="00100F6D">
              <w:rPr>
                <w:noProof/>
                <w:webHidden/>
              </w:rPr>
              <w:fldChar w:fldCharType="separate"/>
            </w:r>
            <w:r w:rsidR="000A764F" w:rsidRPr="00100F6D">
              <w:rPr>
                <w:noProof/>
                <w:webHidden/>
              </w:rPr>
              <w:t>16</w:t>
            </w:r>
            <w:r w:rsidR="000A764F" w:rsidRPr="00100F6D">
              <w:rPr>
                <w:noProof/>
                <w:webHidden/>
              </w:rPr>
              <w:fldChar w:fldCharType="end"/>
            </w:r>
          </w:hyperlink>
        </w:p>
        <w:p w14:paraId="3C8A6A42" w14:textId="77777777" w:rsidR="000A764F" w:rsidRPr="00100F6D" w:rsidRDefault="005A750A">
          <w:pPr>
            <w:pStyle w:val="TM2"/>
            <w:rPr>
              <w:noProof/>
            </w:rPr>
          </w:pPr>
          <w:hyperlink w:anchor="_Toc126921996" w:history="1">
            <w:r w:rsidR="000A764F" w:rsidRPr="00100F6D">
              <w:rPr>
                <w:rStyle w:val="Lienhypertexte"/>
                <w:rFonts w:cstheme="minorHAnsi"/>
                <w:noProof/>
              </w:rPr>
              <w:t>Langue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_Toc126921996 \h </w:instrText>
            </w:r>
            <w:r w:rsidR="000A764F" w:rsidRPr="00100F6D">
              <w:rPr>
                <w:noProof/>
                <w:webHidden/>
              </w:rPr>
            </w:r>
            <w:r w:rsidR="000A764F" w:rsidRPr="00100F6D">
              <w:rPr>
                <w:noProof/>
                <w:webHidden/>
              </w:rPr>
              <w:fldChar w:fldCharType="separate"/>
            </w:r>
            <w:r w:rsidR="000A764F" w:rsidRPr="00100F6D">
              <w:rPr>
                <w:noProof/>
                <w:webHidden/>
              </w:rPr>
              <w:t>16</w:t>
            </w:r>
            <w:r w:rsidR="000A764F" w:rsidRPr="00100F6D">
              <w:rPr>
                <w:noProof/>
                <w:webHidden/>
              </w:rPr>
              <w:fldChar w:fldCharType="end"/>
            </w:r>
          </w:hyperlink>
        </w:p>
        <w:p w14:paraId="251B3F38" w14:textId="77777777" w:rsidR="000A764F" w:rsidRPr="00100F6D" w:rsidRDefault="005A750A">
          <w:pPr>
            <w:pStyle w:val="TM2"/>
            <w:rPr>
              <w:noProof/>
            </w:rPr>
          </w:pPr>
          <w:hyperlink w:anchor="_Toc126921997" w:history="1">
            <w:r w:rsidR="000A764F" w:rsidRPr="00100F6D">
              <w:rPr>
                <w:rStyle w:val="Lienhypertexte"/>
                <w:rFonts w:cstheme="minorHAnsi"/>
                <w:noProof/>
              </w:rPr>
              <w:t xml:space="preserve">Engagement du </w:t>
            </w:r>
            <w:r w:rsidR="000A764F" w:rsidRPr="00100F6D">
              <w:rPr>
                <w:rStyle w:val="Lienhypertexte"/>
                <w:rFonts w:cstheme="minorHAnsi"/>
                <w:smallCaps/>
                <w:noProof/>
              </w:rPr>
              <w:t>Contractant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_Toc126921997 \h </w:instrText>
            </w:r>
            <w:r w:rsidR="000A764F" w:rsidRPr="00100F6D">
              <w:rPr>
                <w:noProof/>
                <w:webHidden/>
              </w:rPr>
            </w:r>
            <w:r w:rsidR="000A764F" w:rsidRPr="00100F6D">
              <w:rPr>
                <w:noProof/>
                <w:webHidden/>
              </w:rPr>
              <w:fldChar w:fldCharType="separate"/>
            </w:r>
            <w:r w:rsidR="000A764F" w:rsidRPr="00100F6D">
              <w:rPr>
                <w:noProof/>
                <w:webHidden/>
              </w:rPr>
              <w:t>16</w:t>
            </w:r>
            <w:r w:rsidR="000A764F" w:rsidRPr="00100F6D">
              <w:rPr>
                <w:noProof/>
                <w:webHidden/>
              </w:rPr>
              <w:fldChar w:fldCharType="end"/>
            </w:r>
          </w:hyperlink>
        </w:p>
        <w:p w14:paraId="215507A2" w14:textId="77777777" w:rsidR="000A764F" w:rsidRPr="00100F6D" w:rsidRDefault="005A750A">
          <w:pPr>
            <w:pStyle w:val="TM2"/>
            <w:rPr>
              <w:noProof/>
            </w:rPr>
          </w:pPr>
          <w:hyperlink w:anchor="_Toc126921998" w:history="1">
            <w:r w:rsidR="000A764F" w:rsidRPr="00100F6D">
              <w:rPr>
                <w:rStyle w:val="Lienhypertexte"/>
                <w:rFonts w:cstheme="minorHAnsi"/>
                <w:noProof/>
              </w:rPr>
              <w:t>Confidentialité</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_Toc126921998 \h </w:instrText>
            </w:r>
            <w:r w:rsidR="000A764F" w:rsidRPr="00100F6D">
              <w:rPr>
                <w:noProof/>
                <w:webHidden/>
              </w:rPr>
            </w:r>
            <w:r w:rsidR="000A764F" w:rsidRPr="00100F6D">
              <w:rPr>
                <w:noProof/>
                <w:webHidden/>
              </w:rPr>
              <w:fldChar w:fldCharType="separate"/>
            </w:r>
            <w:r w:rsidR="000A764F" w:rsidRPr="00100F6D">
              <w:rPr>
                <w:noProof/>
                <w:webHidden/>
              </w:rPr>
              <w:t>17</w:t>
            </w:r>
            <w:r w:rsidR="000A764F" w:rsidRPr="00100F6D">
              <w:rPr>
                <w:noProof/>
                <w:webHidden/>
              </w:rPr>
              <w:fldChar w:fldCharType="end"/>
            </w:r>
          </w:hyperlink>
        </w:p>
        <w:p w14:paraId="5612A5D8" w14:textId="77777777" w:rsidR="000A764F" w:rsidRPr="00100F6D" w:rsidRDefault="005A750A">
          <w:pPr>
            <w:pStyle w:val="TM2"/>
            <w:rPr>
              <w:noProof/>
            </w:rPr>
          </w:pPr>
          <w:hyperlink w:anchor="_Toc126921999" w:history="1">
            <w:r w:rsidR="000A764F" w:rsidRPr="00100F6D">
              <w:rPr>
                <w:rStyle w:val="Lienhypertexte"/>
                <w:rFonts w:cstheme="minorHAnsi"/>
                <w:noProof/>
              </w:rPr>
              <w:t>Fournitures documents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_Toc126921999 \h </w:instrText>
            </w:r>
            <w:r w:rsidR="000A764F" w:rsidRPr="00100F6D">
              <w:rPr>
                <w:noProof/>
                <w:webHidden/>
              </w:rPr>
            </w:r>
            <w:r w:rsidR="000A764F" w:rsidRPr="00100F6D">
              <w:rPr>
                <w:noProof/>
                <w:webHidden/>
              </w:rPr>
              <w:fldChar w:fldCharType="separate"/>
            </w:r>
            <w:r w:rsidR="000A764F" w:rsidRPr="00100F6D">
              <w:rPr>
                <w:noProof/>
                <w:webHidden/>
              </w:rPr>
              <w:t>17</w:t>
            </w:r>
            <w:r w:rsidR="000A764F" w:rsidRPr="00100F6D">
              <w:rPr>
                <w:noProof/>
                <w:webHidden/>
              </w:rPr>
              <w:fldChar w:fldCharType="end"/>
            </w:r>
          </w:hyperlink>
        </w:p>
        <w:p w14:paraId="24714110" w14:textId="77777777" w:rsidR="000A764F" w:rsidRPr="00100F6D" w:rsidRDefault="005A750A">
          <w:pPr>
            <w:pStyle w:val="TM2"/>
            <w:rPr>
              <w:noProof/>
            </w:rPr>
          </w:pPr>
          <w:hyperlink w:anchor="_Toc126922000" w:history="1">
            <w:r w:rsidR="000A764F" w:rsidRPr="00100F6D">
              <w:rPr>
                <w:rStyle w:val="Lienhypertexte"/>
                <w:rFonts w:cstheme="minorHAnsi"/>
                <w:noProof/>
              </w:rPr>
              <w:t>Assurance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_Toc126922000 \h </w:instrText>
            </w:r>
            <w:r w:rsidR="000A764F" w:rsidRPr="00100F6D">
              <w:rPr>
                <w:noProof/>
                <w:webHidden/>
              </w:rPr>
            </w:r>
            <w:r w:rsidR="000A764F" w:rsidRPr="00100F6D">
              <w:rPr>
                <w:noProof/>
                <w:webHidden/>
              </w:rPr>
              <w:fldChar w:fldCharType="separate"/>
            </w:r>
            <w:r w:rsidR="000A764F" w:rsidRPr="00100F6D">
              <w:rPr>
                <w:noProof/>
                <w:webHidden/>
              </w:rPr>
              <w:t>17</w:t>
            </w:r>
            <w:r w:rsidR="000A764F" w:rsidRPr="00100F6D">
              <w:rPr>
                <w:noProof/>
                <w:webHidden/>
              </w:rPr>
              <w:fldChar w:fldCharType="end"/>
            </w:r>
          </w:hyperlink>
        </w:p>
        <w:p w14:paraId="27D9C460" w14:textId="77777777" w:rsidR="000A764F" w:rsidRPr="00100F6D" w:rsidRDefault="005A750A">
          <w:pPr>
            <w:pStyle w:val="TM2"/>
            <w:rPr>
              <w:noProof/>
            </w:rPr>
          </w:pPr>
          <w:hyperlink w:anchor="_Toc126922001" w:history="1">
            <w:r w:rsidR="000A764F" w:rsidRPr="00100F6D">
              <w:rPr>
                <w:rStyle w:val="Lienhypertexte"/>
                <w:rFonts w:cstheme="minorHAnsi"/>
                <w:noProof/>
              </w:rPr>
              <w:t>Point de contact et communication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_Toc126922001 \h </w:instrText>
            </w:r>
            <w:r w:rsidR="000A764F" w:rsidRPr="00100F6D">
              <w:rPr>
                <w:noProof/>
                <w:webHidden/>
              </w:rPr>
            </w:r>
            <w:r w:rsidR="000A764F" w:rsidRPr="00100F6D">
              <w:rPr>
                <w:noProof/>
                <w:webHidden/>
              </w:rPr>
              <w:fldChar w:fldCharType="separate"/>
            </w:r>
            <w:r w:rsidR="000A764F" w:rsidRPr="00100F6D">
              <w:rPr>
                <w:noProof/>
                <w:webHidden/>
              </w:rPr>
              <w:t>18</w:t>
            </w:r>
            <w:r w:rsidR="000A764F" w:rsidRPr="00100F6D">
              <w:rPr>
                <w:noProof/>
                <w:webHidden/>
              </w:rPr>
              <w:fldChar w:fldCharType="end"/>
            </w:r>
          </w:hyperlink>
        </w:p>
        <w:p w14:paraId="684F6E3D" w14:textId="77777777" w:rsidR="000A764F" w:rsidRPr="00100F6D" w:rsidRDefault="005A750A">
          <w:pPr>
            <w:pStyle w:val="TM2"/>
            <w:rPr>
              <w:noProof/>
            </w:rPr>
          </w:pPr>
          <w:hyperlink w:anchor="_Toc126922002" w:history="1">
            <w:r w:rsidR="000A764F" w:rsidRPr="00100F6D">
              <w:rPr>
                <w:rStyle w:val="Lienhypertexte"/>
                <w:rFonts w:cstheme="minorHAnsi"/>
                <w:noProof/>
              </w:rPr>
              <w:t>Engagement contre la déforestation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_Toc126922002 \h </w:instrText>
            </w:r>
            <w:r w:rsidR="000A764F" w:rsidRPr="00100F6D">
              <w:rPr>
                <w:noProof/>
                <w:webHidden/>
              </w:rPr>
            </w:r>
            <w:r w:rsidR="000A764F" w:rsidRPr="00100F6D">
              <w:rPr>
                <w:noProof/>
                <w:webHidden/>
              </w:rPr>
              <w:fldChar w:fldCharType="separate"/>
            </w:r>
            <w:r w:rsidR="000A764F" w:rsidRPr="00100F6D">
              <w:rPr>
                <w:noProof/>
                <w:webHidden/>
              </w:rPr>
              <w:t>18</w:t>
            </w:r>
            <w:r w:rsidR="000A764F" w:rsidRPr="00100F6D">
              <w:rPr>
                <w:noProof/>
                <w:webHidden/>
              </w:rPr>
              <w:fldChar w:fldCharType="end"/>
            </w:r>
          </w:hyperlink>
        </w:p>
        <w:p w14:paraId="4A45126B"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100F6D">
              <w:rPr>
                <w:rStyle w:val="Lienhypertexte"/>
                <w:b/>
                <w:caps/>
                <w:noProof/>
              </w:rPr>
              <w:t>ARTICLE 7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Clause de réexamen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_Toc126922003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56E0812A"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100F6D">
              <w:rPr>
                <w:rStyle w:val="Lienhypertexte"/>
                <w:b/>
                <w:caps/>
                <w:noProof/>
              </w:rPr>
              <w:t>ARTICLE 8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RÉalisation de prestations similaires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_Toc126922004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7DC8107B"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100F6D">
              <w:rPr>
                <w:rStyle w:val="Lienhypertexte"/>
                <w:b/>
                <w:caps/>
                <w:noProof/>
              </w:rPr>
              <w:t>ARTICLE 9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pÉnalitÉs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_Toc126922005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7F2D31EB" w14:textId="77777777" w:rsidR="000A764F" w:rsidRPr="00100F6D" w:rsidRDefault="005A750A">
          <w:pPr>
            <w:pStyle w:val="TM2"/>
            <w:rPr>
              <w:noProof/>
            </w:rPr>
          </w:pPr>
          <w:hyperlink w:anchor="_Toc126922006" w:history="1">
            <w:r w:rsidR="000A764F" w:rsidRPr="00100F6D">
              <w:rPr>
                <w:rStyle w:val="Lienhypertexte"/>
                <w:noProof/>
              </w:rPr>
              <w:t>Pénalités sur livrables documentaires périodiques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_Toc126922006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03E112AA" w14:textId="77777777" w:rsidR="000A764F" w:rsidRPr="00100F6D" w:rsidRDefault="005A750A">
          <w:pPr>
            <w:pStyle w:val="TM2"/>
            <w:rPr>
              <w:noProof/>
            </w:rPr>
          </w:pPr>
          <w:hyperlink w:anchor="_Toc126922007" w:history="1">
            <w:r w:rsidR="000A764F" w:rsidRPr="00100F6D">
              <w:rPr>
                <w:rStyle w:val="Lienhypertexte"/>
                <w:noProof/>
              </w:rPr>
              <w:t>Pénalités sur remise d’un livrable final</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_Toc126922007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6C95B4D5"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100F6D">
              <w:rPr>
                <w:rStyle w:val="Lienhypertexte"/>
                <w:b/>
                <w:caps/>
                <w:noProof/>
              </w:rPr>
              <w:t>ARTICLE 10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propriÉtÉ intellectuelle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_Toc126922008 \h </w:instrText>
            </w:r>
            <w:r w:rsidR="000A764F" w:rsidRPr="00100F6D">
              <w:rPr>
                <w:noProof/>
                <w:webHidden/>
              </w:rPr>
            </w:r>
            <w:r w:rsidR="000A764F" w:rsidRPr="00100F6D">
              <w:rPr>
                <w:noProof/>
                <w:webHidden/>
              </w:rPr>
              <w:fldChar w:fldCharType="separate"/>
            </w:r>
            <w:r w:rsidR="000A764F" w:rsidRPr="00100F6D">
              <w:rPr>
                <w:noProof/>
                <w:webHidden/>
              </w:rPr>
              <w:t>20</w:t>
            </w:r>
            <w:r w:rsidR="000A764F" w:rsidRPr="00100F6D">
              <w:rPr>
                <w:noProof/>
                <w:webHidden/>
              </w:rPr>
              <w:fldChar w:fldCharType="end"/>
            </w:r>
          </w:hyperlink>
        </w:p>
        <w:p w14:paraId="46474E9B" w14:textId="77777777" w:rsidR="000A764F" w:rsidRPr="00100F6D" w:rsidRDefault="005A750A">
          <w:pPr>
            <w:pStyle w:val="TM2"/>
            <w:rPr>
              <w:noProof/>
            </w:rPr>
          </w:pPr>
          <w:hyperlink w:anchor="_Toc126922009" w:history="1">
            <w:r w:rsidR="000A764F" w:rsidRPr="00100F6D">
              <w:rPr>
                <w:rStyle w:val="Lienhypertexte"/>
                <w:noProof/>
              </w:rPr>
              <w:t>Définitions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_Toc126922009 \h </w:instrText>
            </w:r>
            <w:r w:rsidR="000A764F" w:rsidRPr="00100F6D">
              <w:rPr>
                <w:noProof/>
                <w:webHidden/>
              </w:rPr>
            </w:r>
            <w:r w:rsidR="000A764F" w:rsidRPr="00100F6D">
              <w:rPr>
                <w:noProof/>
                <w:webHidden/>
              </w:rPr>
              <w:fldChar w:fldCharType="separate"/>
            </w:r>
            <w:r w:rsidR="000A764F" w:rsidRPr="00100F6D">
              <w:rPr>
                <w:noProof/>
                <w:webHidden/>
              </w:rPr>
              <w:t>20</w:t>
            </w:r>
            <w:r w:rsidR="000A764F" w:rsidRPr="00100F6D">
              <w:rPr>
                <w:noProof/>
                <w:webHidden/>
              </w:rPr>
              <w:fldChar w:fldCharType="end"/>
            </w:r>
          </w:hyperlink>
        </w:p>
        <w:p w14:paraId="389F7AA2" w14:textId="77777777" w:rsidR="000A764F" w:rsidRPr="00100F6D" w:rsidRDefault="005A750A">
          <w:pPr>
            <w:pStyle w:val="TM2"/>
            <w:rPr>
              <w:noProof/>
            </w:rPr>
          </w:pPr>
          <w:hyperlink w:anchor="_Toc126922010" w:history="1">
            <w:r w:rsidR="000A764F" w:rsidRPr="00100F6D">
              <w:rPr>
                <w:rStyle w:val="Lienhypertexte"/>
                <w:noProof/>
              </w:rPr>
              <w:t>Propriété des résultats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_Toc126922010 \h </w:instrText>
            </w:r>
            <w:r w:rsidR="000A764F" w:rsidRPr="00100F6D">
              <w:rPr>
                <w:noProof/>
                <w:webHidden/>
              </w:rPr>
            </w:r>
            <w:r w:rsidR="000A764F" w:rsidRPr="00100F6D">
              <w:rPr>
                <w:noProof/>
                <w:webHidden/>
              </w:rPr>
              <w:fldChar w:fldCharType="separate"/>
            </w:r>
            <w:r w:rsidR="000A764F" w:rsidRPr="00100F6D">
              <w:rPr>
                <w:noProof/>
                <w:webHidden/>
              </w:rPr>
              <w:t>20</w:t>
            </w:r>
            <w:r w:rsidR="000A764F" w:rsidRPr="00100F6D">
              <w:rPr>
                <w:noProof/>
                <w:webHidden/>
              </w:rPr>
              <w:fldChar w:fldCharType="end"/>
            </w:r>
          </w:hyperlink>
        </w:p>
        <w:p w14:paraId="59306906" w14:textId="77777777" w:rsidR="000A764F" w:rsidRPr="00100F6D" w:rsidRDefault="005A750A">
          <w:pPr>
            <w:pStyle w:val="TM2"/>
            <w:rPr>
              <w:noProof/>
            </w:rPr>
          </w:pPr>
          <w:hyperlink w:anchor="_Toc126922011" w:history="1">
            <w:r w:rsidR="000A764F" w:rsidRPr="00100F6D">
              <w:rPr>
                <w:rStyle w:val="Lienhypertexte"/>
                <w:noProof/>
              </w:rPr>
              <w:t>Exploitation des résultats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_Toc126922011 \h </w:instrText>
            </w:r>
            <w:r w:rsidR="000A764F" w:rsidRPr="00100F6D">
              <w:rPr>
                <w:noProof/>
                <w:webHidden/>
              </w:rPr>
            </w:r>
            <w:r w:rsidR="000A764F" w:rsidRPr="00100F6D">
              <w:rPr>
                <w:noProof/>
                <w:webHidden/>
              </w:rPr>
              <w:fldChar w:fldCharType="separate"/>
            </w:r>
            <w:r w:rsidR="000A764F" w:rsidRPr="00100F6D">
              <w:rPr>
                <w:noProof/>
                <w:webHidden/>
              </w:rPr>
              <w:t>20</w:t>
            </w:r>
            <w:r w:rsidR="000A764F" w:rsidRPr="00100F6D">
              <w:rPr>
                <w:noProof/>
                <w:webHidden/>
              </w:rPr>
              <w:fldChar w:fldCharType="end"/>
            </w:r>
          </w:hyperlink>
        </w:p>
        <w:p w14:paraId="3139F2A8" w14:textId="77777777" w:rsidR="000A764F" w:rsidRPr="00100F6D" w:rsidRDefault="005A750A">
          <w:pPr>
            <w:pStyle w:val="TM2"/>
            <w:rPr>
              <w:noProof/>
            </w:rPr>
          </w:pPr>
          <w:hyperlink w:anchor="_Toc126922012" w:history="1">
            <w:r w:rsidR="000A764F" w:rsidRPr="00100F6D">
              <w:rPr>
                <w:rStyle w:val="Lienhypertexte"/>
                <w:noProof/>
              </w:rPr>
              <w:t>Licence sur les Droits Préexistants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_Toc126922012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171EEAF4" w14:textId="77777777" w:rsidR="000A764F" w:rsidRPr="00100F6D" w:rsidRDefault="005A750A">
          <w:pPr>
            <w:pStyle w:val="TM2"/>
            <w:rPr>
              <w:noProof/>
            </w:rPr>
          </w:pPr>
          <w:hyperlink w:anchor="_Toc126922013" w:history="1">
            <w:r w:rsidR="000A764F" w:rsidRPr="00100F6D">
              <w:rPr>
                <w:rStyle w:val="Lienhypertexte"/>
                <w:noProof/>
              </w:rPr>
              <w:t>Garanties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_Toc126922013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182856E7" w14:textId="77777777" w:rsidR="000A764F" w:rsidRPr="00100F6D" w:rsidRDefault="005A750A">
          <w:pPr>
            <w:pStyle w:val="TM2"/>
            <w:rPr>
              <w:noProof/>
            </w:rPr>
          </w:pPr>
          <w:hyperlink w:anchor="_Toc126922014" w:history="1">
            <w:r w:rsidR="000A764F" w:rsidRPr="00100F6D">
              <w:rPr>
                <w:rStyle w:val="Lienhypertexte"/>
                <w:noProof/>
              </w:rPr>
              <w:t>Droits à l’image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_Toc126922014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5E9AA19A"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100F6D">
              <w:rPr>
                <w:rStyle w:val="Lienhypertexte"/>
                <w:b/>
                <w:caps/>
                <w:noProof/>
              </w:rPr>
              <w:t>ARTICLE 11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RÉsiliation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_Toc126922015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6D3667EF" w14:textId="77777777" w:rsidR="000A764F" w:rsidRPr="00100F6D" w:rsidRDefault="005A750A">
          <w:pPr>
            <w:pStyle w:val="TM2"/>
            <w:rPr>
              <w:noProof/>
            </w:rPr>
          </w:pPr>
          <w:hyperlink w:anchor="_Toc126922016" w:history="1">
            <w:r w:rsidR="000A764F" w:rsidRPr="00100F6D">
              <w:rPr>
                <w:rStyle w:val="Lienhypertexte"/>
                <w:rFonts w:cstheme="minorHAnsi"/>
                <w:noProof/>
              </w:rPr>
              <w:t>Modalités générales de résiliation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_Toc126922016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5B3E379B" w14:textId="77777777" w:rsidR="000A764F" w:rsidRPr="00100F6D" w:rsidRDefault="005A750A">
          <w:pPr>
            <w:pStyle w:val="TM2"/>
            <w:rPr>
              <w:noProof/>
            </w:rPr>
          </w:pPr>
          <w:hyperlink w:anchor="_Toc126922017" w:history="1">
            <w:r w:rsidR="000A764F" w:rsidRPr="00100F6D">
              <w:rPr>
                <w:rStyle w:val="Lienhypertexte"/>
                <w:rFonts w:cstheme="minorHAnsi"/>
                <w:noProof/>
              </w:rPr>
              <w:t>Résiliation du contrat en cas d’indisponibilité de l’expert désigné</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_Toc126922017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7CE811D7" w14:textId="77777777" w:rsidR="000A764F" w:rsidRPr="00100F6D" w:rsidRDefault="005A750A">
          <w:pPr>
            <w:pStyle w:val="TM2"/>
            <w:rPr>
              <w:noProof/>
            </w:rPr>
          </w:pPr>
          <w:hyperlink w:anchor="_Toc126922018" w:history="1">
            <w:r w:rsidR="000A764F" w:rsidRPr="00100F6D">
              <w:rPr>
                <w:rStyle w:val="Lienhypertexte"/>
                <w:rFonts w:cstheme="minorHAnsi"/>
                <w:noProof/>
              </w:rPr>
              <w:t>Procédure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_Toc126922018 \h </w:instrText>
            </w:r>
            <w:r w:rsidR="000A764F" w:rsidRPr="00100F6D">
              <w:rPr>
                <w:noProof/>
                <w:webHidden/>
              </w:rPr>
            </w:r>
            <w:r w:rsidR="000A764F" w:rsidRPr="00100F6D">
              <w:rPr>
                <w:noProof/>
                <w:webHidden/>
              </w:rPr>
              <w:fldChar w:fldCharType="separate"/>
            </w:r>
            <w:r w:rsidR="000A764F" w:rsidRPr="00100F6D">
              <w:rPr>
                <w:noProof/>
                <w:webHidden/>
              </w:rPr>
              <w:t>22</w:t>
            </w:r>
            <w:r w:rsidR="000A764F" w:rsidRPr="00100F6D">
              <w:rPr>
                <w:noProof/>
                <w:webHidden/>
              </w:rPr>
              <w:fldChar w:fldCharType="end"/>
            </w:r>
          </w:hyperlink>
        </w:p>
        <w:p w14:paraId="6E0171D1"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100F6D">
              <w:rPr>
                <w:rStyle w:val="Lienhypertexte"/>
                <w:b/>
                <w:caps/>
                <w:noProof/>
              </w:rPr>
              <w:t>ARTICLE 12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Mesures et responsabilités en matière de sûreté et de sécurité</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_Toc126922019 \h </w:instrText>
            </w:r>
            <w:r w:rsidR="000A764F" w:rsidRPr="00100F6D">
              <w:rPr>
                <w:noProof/>
                <w:webHidden/>
              </w:rPr>
            </w:r>
            <w:r w:rsidR="000A764F" w:rsidRPr="00100F6D">
              <w:rPr>
                <w:noProof/>
                <w:webHidden/>
              </w:rPr>
              <w:fldChar w:fldCharType="separate"/>
            </w:r>
            <w:r w:rsidR="000A764F" w:rsidRPr="00100F6D">
              <w:rPr>
                <w:noProof/>
                <w:webHidden/>
              </w:rPr>
              <w:t>22</w:t>
            </w:r>
            <w:r w:rsidR="000A764F" w:rsidRPr="00100F6D">
              <w:rPr>
                <w:noProof/>
                <w:webHidden/>
              </w:rPr>
              <w:fldChar w:fldCharType="end"/>
            </w:r>
          </w:hyperlink>
        </w:p>
        <w:p w14:paraId="487863EC"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100F6D">
              <w:rPr>
                <w:rStyle w:val="Lienhypertexte"/>
                <w:b/>
                <w:caps/>
                <w:noProof/>
              </w:rPr>
              <w:t>ARTICLE 13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Éthique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_Toc126922020 \h </w:instrText>
            </w:r>
            <w:r w:rsidR="000A764F" w:rsidRPr="00100F6D">
              <w:rPr>
                <w:noProof/>
                <w:webHidden/>
              </w:rPr>
            </w:r>
            <w:r w:rsidR="000A764F" w:rsidRPr="00100F6D">
              <w:rPr>
                <w:noProof/>
                <w:webHidden/>
              </w:rPr>
              <w:fldChar w:fldCharType="separate"/>
            </w:r>
            <w:r w:rsidR="000A764F" w:rsidRPr="00100F6D">
              <w:rPr>
                <w:noProof/>
                <w:webHidden/>
              </w:rPr>
              <w:t>22</w:t>
            </w:r>
            <w:r w:rsidR="000A764F" w:rsidRPr="00100F6D">
              <w:rPr>
                <w:noProof/>
                <w:webHidden/>
              </w:rPr>
              <w:fldChar w:fldCharType="end"/>
            </w:r>
          </w:hyperlink>
        </w:p>
        <w:p w14:paraId="4D9E3E75"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100F6D">
              <w:rPr>
                <w:rStyle w:val="Lienhypertexte"/>
                <w:b/>
                <w:caps/>
                <w:noProof/>
              </w:rPr>
              <w:t>ARTICLE 14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Gestion des dONNÉES À cARACTÈRE PERSONNEL</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_Toc126922021 \h </w:instrText>
            </w:r>
            <w:r w:rsidR="000A764F" w:rsidRPr="00100F6D">
              <w:rPr>
                <w:noProof/>
                <w:webHidden/>
              </w:rPr>
            </w:r>
            <w:r w:rsidR="000A764F" w:rsidRPr="00100F6D">
              <w:rPr>
                <w:noProof/>
                <w:webHidden/>
              </w:rPr>
              <w:fldChar w:fldCharType="separate"/>
            </w:r>
            <w:r w:rsidR="000A764F" w:rsidRPr="00100F6D">
              <w:rPr>
                <w:noProof/>
                <w:webHidden/>
              </w:rPr>
              <w:t>22</w:t>
            </w:r>
            <w:r w:rsidR="000A764F" w:rsidRPr="00100F6D">
              <w:rPr>
                <w:noProof/>
                <w:webHidden/>
              </w:rPr>
              <w:fldChar w:fldCharType="end"/>
            </w:r>
          </w:hyperlink>
        </w:p>
        <w:p w14:paraId="4ACEF3A8"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100F6D">
              <w:rPr>
                <w:rStyle w:val="Lienhypertexte"/>
                <w:b/>
                <w:caps/>
                <w:noProof/>
              </w:rPr>
              <w:t>ARTICLE 15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RÈglement des litiges - DROIT Français APPLICABLE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_Toc126922022 \h </w:instrText>
            </w:r>
            <w:r w:rsidR="000A764F" w:rsidRPr="00100F6D">
              <w:rPr>
                <w:noProof/>
                <w:webHidden/>
              </w:rPr>
            </w:r>
            <w:r w:rsidR="000A764F" w:rsidRPr="00100F6D">
              <w:rPr>
                <w:noProof/>
                <w:webHidden/>
              </w:rPr>
              <w:fldChar w:fldCharType="separate"/>
            </w:r>
            <w:r w:rsidR="000A764F" w:rsidRPr="00100F6D">
              <w:rPr>
                <w:noProof/>
                <w:webHidden/>
              </w:rPr>
              <w:t>24</w:t>
            </w:r>
            <w:r w:rsidR="000A764F" w:rsidRPr="00100F6D">
              <w:rPr>
                <w:noProof/>
                <w:webHidden/>
              </w:rPr>
              <w:fldChar w:fldCharType="end"/>
            </w:r>
          </w:hyperlink>
        </w:p>
        <w:p w14:paraId="0066561E"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100F6D">
              <w:rPr>
                <w:rStyle w:val="Lienhypertexte"/>
                <w:b/>
                <w:caps/>
                <w:noProof/>
              </w:rPr>
              <w:t>ARTICLE 16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DÉrogationS au CCAG</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_Toc126922023 \h </w:instrText>
            </w:r>
            <w:r w:rsidR="000A764F" w:rsidRPr="00100F6D">
              <w:rPr>
                <w:noProof/>
                <w:webHidden/>
              </w:rPr>
            </w:r>
            <w:r w:rsidR="000A764F" w:rsidRPr="00100F6D">
              <w:rPr>
                <w:noProof/>
                <w:webHidden/>
              </w:rPr>
              <w:fldChar w:fldCharType="separate"/>
            </w:r>
            <w:r w:rsidR="000A764F" w:rsidRPr="00100F6D">
              <w:rPr>
                <w:noProof/>
                <w:webHidden/>
              </w:rPr>
              <w:t>24</w:t>
            </w:r>
            <w:r w:rsidR="000A764F" w:rsidRPr="00100F6D">
              <w:rPr>
                <w:noProof/>
                <w:webHidden/>
              </w:rPr>
              <w:fldChar w:fldCharType="end"/>
            </w:r>
          </w:hyperlink>
        </w:p>
        <w:p w14:paraId="71026774" w14:textId="77777777" w:rsidR="000A764F" w:rsidRPr="00100F6D" w:rsidRDefault="005A750A">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100F6D">
              <w:rPr>
                <w:rStyle w:val="Lienhypertexte"/>
                <w:b/>
                <w:caps/>
                <w:noProof/>
              </w:rPr>
              <w:t>ARTICLE 17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Dispositions finales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_Toc126922024 \h </w:instrText>
            </w:r>
            <w:r w:rsidR="000A764F" w:rsidRPr="00100F6D">
              <w:rPr>
                <w:noProof/>
                <w:webHidden/>
              </w:rPr>
            </w:r>
            <w:r w:rsidR="000A764F" w:rsidRPr="00100F6D">
              <w:rPr>
                <w:noProof/>
                <w:webHidden/>
              </w:rPr>
              <w:fldChar w:fldCharType="separate"/>
            </w:r>
            <w:r w:rsidR="000A764F" w:rsidRPr="00100F6D">
              <w:rPr>
                <w:noProof/>
                <w:webHidden/>
              </w:rPr>
              <w:t>24</w:t>
            </w:r>
            <w:r w:rsidR="000A764F" w:rsidRPr="00100F6D">
              <w:rPr>
                <w:noProof/>
                <w:webHidden/>
              </w:rPr>
              <w:fldChar w:fldCharType="end"/>
            </w:r>
          </w:hyperlink>
        </w:p>
        <w:p w14:paraId="0447D3F1" w14:textId="77777777" w:rsidR="000A764F" w:rsidRPr="00100F6D" w:rsidRDefault="005A750A">
          <w:pPr>
            <w:pStyle w:val="TM2"/>
            <w:rPr>
              <w:noProof/>
            </w:rPr>
          </w:pPr>
          <w:hyperlink w:anchor="_Toc126922025" w:history="1">
            <w:r w:rsidR="000A764F" w:rsidRPr="00100F6D">
              <w:rPr>
                <w:rStyle w:val="Lienhypertexte"/>
                <w:noProof/>
              </w:rPr>
              <w:t>Déclaration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_Toc126922025 \h </w:instrText>
            </w:r>
            <w:r w:rsidR="000A764F" w:rsidRPr="00100F6D">
              <w:rPr>
                <w:noProof/>
                <w:webHidden/>
              </w:rPr>
            </w:r>
            <w:r w:rsidR="000A764F" w:rsidRPr="00100F6D">
              <w:rPr>
                <w:noProof/>
                <w:webHidden/>
              </w:rPr>
              <w:fldChar w:fldCharType="separate"/>
            </w:r>
            <w:r w:rsidR="000A764F" w:rsidRPr="00100F6D">
              <w:rPr>
                <w:noProof/>
                <w:webHidden/>
              </w:rPr>
              <w:t>24</w:t>
            </w:r>
            <w:r w:rsidR="000A764F" w:rsidRPr="00100F6D">
              <w:rPr>
                <w:noProof/>
                <w:webHidden/>
              </w:rPr>
              <w:fldChar w:fldCharType="end"/>
            </w:r>
          </w:hyperlink>
        </w:p>
        <w:p w14:paraId="529A7DB8" w14:textId="77777777" w:rsidR="000A764F" w:rsidRPr="00100F6D" w:rsidRDefault="005A750A">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100F6D">
              <w:rPr>
                <w:rStyle w:val="Lienhypertexte"/>
                <w:b/>
                <w:caps/>
                <w:noProof/>
              </w:rPr>
              <w:t>Annexe 1 : Cahier des charges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_Toc126922026 \h </w:instrText>
            </w:r>
            <w:r w:rsidR="000A764F" w:rsidRPr="00100F6D">
              <w:rPr>
                <w:noProof/>
                <w:webHidden/>
              </w:rPr>
            </w:r>
            <w:r w:rsidR="000A764F" w:rsidRPr="00100F6D">
              <w:rPr>
                <w:noProof/>
                <w:webHidden/>
              </w:rPr>
              <w:fldChar w:fldCharType="separate"/>
            </w:r>
            <w:r w:rsidR="000A764F" w:rsidRPr="00100F6D">
              <w:rPr>
                <w:noProof/>
                <w:webHidden/>
              </w:rPr>
              <w:t>28</w:t>
            </w:r>
            <w:r w:rsidR="000A764F" w:rsidRPr="00100F6D">
              <w:rPr>
                <w:noProof/>
                <w:webHidden/>
              </w:rPr>
              <w:fldChar w:fldCharType="end"/>
            </w:r>
          </w:hyperlink>
        </w:p>
        <w:p w14:paraId="4F3A5836" w14:textId="77777777" w:rsidR="000A6E96" w:rsidRPr="00100F6D" w:rsidRDefault="002C46DE" w:rsidP="00436E95">
          <w:pPr>
            <w:rPr>
              <w:rFonts w:asciiTheme="minorHAnsi" w:hAnsiTheme="minorHAnsi"/>
            </w:rPr>
          </w:pPr>
          <w:r w:rsidRPr="00100F6D">
            <w:rPr>
              <w:rFonts w:asciiTheme="minorHAnsi" w:hAnsiTheme="minorHAnsi"/>
            </w:rPr>
            <w:fldChar w:fldCharType="end"/>
          </w:r>
        </w:p>
      </w:sdtContent>
    </w:sdt>
    <w:p w14:paraId="0C56E9C2" w14:textId="77777777" w:rsidR="000A6E96" w:rsidRPr="00100F6D" w:rsidRDefault="000A6E96" w:rsidP="00D569AF">
      <w:pPr>
        <w:widowControl w:val="0"/>
        <w:jc w:val="right"/>
        <w:rPr>
          <w:rFonts w:asciiTheme="minorHAnsi" w:hAnsiTheme="minorHAnsi" w:cs="Arial"/>
          <w:b/>
          <w:sz w:val="22"/>
        </w:rPr>
        <w:sectPr w:rsidR="000A6E96" w:rsidRPr="00100F6D"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100F6D"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100F6D">
        <w:rPr>
          <w:rFonts w:asciiTheme="minorHAnsi" w:hAnsiTheme="minorHAnsi"/>
          <w:b/>
          <w:caps/>
          <w:sz w:val="32"/>
          <w:u w:val="single"/>
        </w:rPr>
        <w:lastRenderedPageBreak/>
        <w:t>conditions</w:t>
      </w:r>
      <w:r w:rsidR="00DE1070" w:rsidRPr="00100F6D">
        <w:rPr>
          <w:rFonts w:asciiTheme="minorHAnsi" w:hAnsiTheme="minorHAnsi"/>
          <w:b/>
          <w:caps/>
          <w:sz w:val="32"/>
          <w:u w:val="single"/>
        </w:rPr>
        <w:t xml:space="preserve"> PARTICULIERES</w:t>
      </w:r>
      <w:bookmarkEnd w:id="3"/>
      <w:r w:rsidR="00DE1070" w:rsidRPr="00100F6D">
        <w:rPr>
          <w:rFonts w:asciiTheme="minorHAnsi" w:hAnsiTheme="minorHAnsi"/>
          <w:b/>
          <w:caps/>
          <w:sz w:val="32"/>
          <w:u w:val="single"/>
        </w:rPr>
        <w:t xml:space="preserve"> – acte d’engagement</w:t>
      </w:r>
      <w:bookmarkEnd w:id="4"/>
    </w:p>
    <w:p w14:paraId="60D1E24C" w14:textId="77777777" w:rsidR="00DE1070" w:rsidRPr="00100F6D" w:rsidRDefault="00DE1070" w:rsidP="00DE1070">
      <w:pPr>
        <w:pStyle w:val="a"/>
        <w:widowControl w:val="0"/>
        <w:spacing w:before="240" w:after="240"/>
        <w:rPr>
          <w:rFonts w:asciiTheme="minorHAnsi" w:hAnsiTheme="minorHAnsi" w:cs="Arial"/>
          <w:b/>
        </w:rPr>
      </w:pPr>
      <w:r w:rsidRPr="00100F6D">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100F6D" w14:paraId="3B6A12E8" w14:textId="77777777" w:rsidTr="00DE1070">
        <w:tc>
          <w:tcPr>
            <w:tcW w:w="9886" w:type="dxa"/>
          </w:tcPr>
          <w:p w14:paraId="6EE373C5" w14:textId="77777777" w:rsidR="00287691" w:rsidRPr="00100F6D" w:rsidRDefault="00CE73DB" w:rsidP="00DE1070">
            <w:pPr>
              <w:pStyle w:val="a"/>
              <w:widowControl w:val="0"/>
              <w:rPr>
                <w:rFonts w:ascii="Calibri" w:hAnsi="Calibri"/>
                <w:b/>
              </w:rPr>
            </w:pPr>
            <w:r w:rsidRPr="00100F6D">
              <w:rPr>
                <w:rFonts w:ascii="Calibri" w:hAnsi="Calibri"/>
                <w:b/>
                <w:smallCaps/>
              </w:rPr>
              <w:t>EXPERTISE FRANCE</w:t>
            </w:r>
            <w:r w:rsidR="005936AE" w:rsidRPr="00100F6D">
              <w:rPr>
                <w:rFonts w:ascii="Calibri" w:hAnsi="Calibri"/>
                <w:b/>
              </w:rPr>
              <w:t xml:space="preserve"> </w:t>
            </w:r>
            <w:r w:rsidR="00104E87" w:rsidRPr="00100F6D">
              <w:rPr>
                <w:rFonts w:ascii="Calibri" w:hAnsi="Calibri"/>
                <w:b/>
              </w:rPr>
              <w:t>SAS</w:t>
            </w:r>
          </w:p>
          <w:p w14:paraId="26DD3791" w14:textId="77777777" w:rsidR="00DE1070" w:rsidRPr="00100F6D" w:rsidRDefault="0073128E" w:rsidP="00DE1070">
            <w:pPr>
              <w:pStyle w:val="a"/>
              <w:widowControl w:val="0"/>
              <w:rPr>
                <w:rFonts w:asciiTheme="minorHAnsi" w:hAnsiTheme="minorHAnsi" w:cs="Arial"/>
              </w:rPr>
            </w:pPr>
            <w:r w:rsidRPr="00100F6D">
              <w:rPr>
                <w:rFonts w:asciiTheme="minorHAnsi" w:hAnsiTheme="minorHAnsi" w:cs="Arial"/>
              </w:rPr>
              <w:t>40, boulevard de Port Royal - 75005</w:t>
            </w:r>
            <w:r w:rsidR="00DE1070" w:rsidRPr="00100F6D">
              <w:rPr>
                <w:rFonts w:asciiTheme="minorHAnsi" w:hAnsiTheme="minorHAnsi" w:cs="Arial"/>
              </w:rPr>
              <w:t xml:space="preserve"> PARIS, France</w:t>
            </w:r>
          </w:p>
          <w:p w14:paraId="0FA977D7" w14:textId="77777777" w:rsidR="00DE1070" w:rsidRPr="00100F6D" w:rsidRDefault="005936AE" w:rsidP="00DE1070">
            <w:pPr>
              <w:pStyle w:val="a"/>
              <w:widowControl w:val="0"/>
              <w:rPr>
                <w:rFonts w:asciiTheme="minorHAnsi" w:hAnsiTheme="minorHAnsi" w:cs="Arial"/>
              </w:rPr>
            </w:pPr>
            <w:r w:rsidRPr="00100F6D">
              <w:rPr>
                <w:rFonts w:asciiTheme="minorHAnsi" w:hAnsiTheme="minorHAnsi" w:cs="Arial"/>
              </w:rPr>
              <w:t>Société par actions simplifiée au capital de 828 933 €</w:t>
            </w:r>
            <w:r w:rsidR="00847898" w:rsidRPr="00100F6D">
              <w:rPr>
                <w:rFonts w:asciiTheme="minorHAnsi" w:hAnsiTheme="minorHAnsi" w:cs="Arial"/>
              </w:rPr>
              <w:t xml:space="preserve"> </w:t>
            </w:r>
            <w:r w:rsidR="00DE1070" w:rsidRPr="00100F6D">
              <w:rPr>
                <w:rFonts w:asciiTheme="minorHAnsi" w:hAnsiTheme="minorHAnsi" w:cs="Arial"/>
              </w:rPr>
              <w:t>immatriculé</w:t>
            </w:r>
            <w:r w:rsidRPr="00100F6D">
              <w:rPr>
                <w:rFonts w:asciiTheme="minorHAnsi" w:hAnsiTheme="minorHAnsi" w:cs="Arial"/>
              </w:rPr>
              <w:t>e</w:t>
            </w:r>
            <w:r w:rsidR="00DE1070" w:rsidRPr="00100F6D">
              <w:rPr>
                <w:rFonts w:asciiTheme="minorHAnsi" w:hAnsiTheme="minorHAnsi" w:cs="Arial"/>
              </w:rPr>
              <w:t xml:space="preserve"> sous les numéros suivants :</w:t>
            </w:r>
          </w:p>
          <w:p w14:paraId="7367357D" w14:textId="77777777" w:rsidR="00DE1070" w:rsidRPr="00100F6D" w:rsidRDefault="00891619"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N° SIRET : 808 734 792 00035</w:t>
            </w:r>
          </w:p>
          <w:p w14:paraId="597BFA10" w14:textId="77777777" w:rsidR="00DE1070"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N° de TVA intra-communautaire : FR36 808734792</w:t>
            </w:r>
          </w:p>
          <w:p w14:paraId="0435292F" w14:textId="77777777" w:rsidR="00DE1070" w:rsidRPr="00100F6D" w:rsidRDefault="00DE1070" w:rsidP="00DE1070">
            <w:pPr>
              <w:pStyle w:val="a"/>
              <w:widowControl w:val="0"/>
              <w:rPr>
                <w:rFonts w:asciiTheme="minorHAnsi" w:hAnsiTheme="minorHAnsi" w:cs="Arial"/>
              </w:rPr>
            </w:pPr>
          </w:p>
          <w:p w14:paraId="06799CBC" w14:textId="77777777" w:rsidR="00DE1070" w:rsidRPr="00100F6D" w:rsidRDefault="00DE1070" w:rsidP="00DE1070">
            <w:pPr>
              <w:pStyle w:val="a"/>
              <w:widowControl w:val="0"/>
              <w:rPr>
                <w:rFonts w:asciiTheme="minorHAnsi" w:hAnsiTheme="minorHAnsi" w:cs="Arial"/>
              </w:rPr>
            </w:pPr>
            <w:r w:rsidRPr="00100F6D">
              <w:rPr>
                <w:rFonts w:asciiTheme="minorHAnsi" w:hAnsiTheme="minorHAnsi" w:cs="Arial"/>
              </w:rPr>
              <w:t xml:space="preserve">Représentée par </w:t>
            </w:r>
            <w:r w:rsidR="00554974" w:rsidRPr="00100F6D">
              <w:rPr>
                <w:rFonts w:asciiTheme="minorHAnsi" w:hAnsiTheme="minorHAnsi" w:cs="Arial"/>
              </w:rPr>
              <w:t>M. Jérémie PELLET, Directeur général</w:t>
            </w:r>
            <w:r w:rsidRPr="00100F6D">
              <w:rPr>
                <w:rFonts w:asciiTheme="minorHAnsi" w:hAnsiTheme="minorHAnsi" w:cs="Arial"/>
              </w:rPr>
              <w:t>,</w:t>
            </w:r>
          </w:p>
          <w:p w14:paraId="027E95AB" w14:textId="77777777" w:rsidR="00DE1070" w:rsidRPr="00100F6D" w:rsidRDefault="00DE1070" w:rsidP="00DE1070">
            <w:pPr>
              <w:widowControl w:val="0"/>
              <w:jc w:val="both"/>
              <w:rPr>
                <w:rFonts w:asciiTheme="minorHAnsi" w:hAnsiTheme="minorHAnsi" w:cs="Arial"/>
                <w:b/>
                <w:bCs/>
                <w:u w:val="single"/>
              </w:rPr>
            </w:pPr>
            <w:r w:rsidRPr="00100F6D">
              <w:rPr>
                <w:rFonts w:asciiTheme="minorHAnsi" w:hAnsiTheme="minorHAnsi" w:cs="Arial"/>
                <w:b/>
                <w:bCs/>
                <w:sz w:val="22"/>
                <w:u w:val="single"/>
              </w:rPr>
              <w:t>d’une part,</w:t>
            </w:r>
          </w:p>
          <w:p w14:paraId="4D406B88" w14:textId="77777777" w:rsidR="00DE1070" w:rsidRPr="00100F6D" w:rsidRDefault="00DE1070" w:rsidP="00DE1070">
            <w:pPr>
              <w:pStyle w:val="a"/>
              <w:widowControl w:val="0"/>
              <w:rPr>
                <w:rFonts w:asciiTheme="minorHAnsi" w:hAnsiTheme="minorHAnsi" w:cs="Arial"/>
                <w:sz w:val="20"/>
              </w:rPr>
            </w:pPr>
          </w:p>
        </w:tc>
      </w:tr>
    </w:tbl>
    <w:p w14:paraId="6F64183C" w14:textId="77777777" w:rsidR="00DE1070" w:rsidRPr="00100F6D" w:rsidRDefault="00DE1070" w:rsidP="00DE1070">
      <w:pPr>
        <w:widowControl w:val="0"/>
        <w:spacing w:before="240" w:after="240"/>
        <w:jc w:val="both"/>
        <w:rPr>
          <w:rFonts w:asciiTheme="minorHAnsi" w:hAnsiTheme="minorHAnsi" w:cs="Arial"/>
          <w:b/>
          <w:bCs/>
          <w:sz w:val="22"/>
        </w:rPr>
      </w:pPr>
      <w:r w:rsidRPr="00100F6D">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100F6D" w14:paraId="1A8DAFED" w14:textId="77777777" w:rsidTr="00DE1070">
        <w:tc>
          <w:tcPr>
            <w:tcW w:w="9886" w:type="dxa"/>
          </w:tcPr>
          <w:p w14:paraId="6E029A59" w14:textId="77777777" w:rsidR="00DE1070" w:rsidRPr="00100F6D" w:rsidRDefault="005936AE" w:rsidP="00DE1070">
            <w:pPr>
              <w:pStyle w:val="a"/>
              <w:widowControl w:val="0"/>
              <w:rPr>
                <w:rFonts w:ascii="Calibri" w:hAnsi="Calibri"/>
                <w:b/>
              </w:rPr>
            </w:pPr>
            <w:r w:rsidRPr="00100F6D">
              <w:rPr>
                <w:rFonts w:ascii="Calibri" w:hAnsi="Calibri"/>
                <w:b/>
              </w:rPr>
              <w:t xml:space="preserve">NOM DU </w:t>
            </w:r>
            <w:r w:rsidR="003A0706" w:rsidRPr="00100F6D">
              <w:rPr>
                <w:rFonts w:ascii="Calibri" w:hAnsi="Calibri"/>
                <w:b/>
                <w:smallCaps/>
              </w:rPr>
              <w:t>CONTRATANT</w:t>
            </w:r>
          </w:p>
          <w:p w14:paraId="74E83F8A" w14:textId="77777777" w:rsidR="00DE1070" w:rsidRPr="00100F6D" w:rsidRDefault="00DE1070" w:rsidP="00DE1070">
            <w:pPr>
              <w:pStyle w:val="a"/>
              <w:widowControl w:val="0"/>
              <w:rPr>
                <w:rFonts w:asciiTheme="minorHAnsi" w:hAnsiTheme="minorHAnsi" w:cs="Arial"/>
              </w:rPr>
            </w:pPr>
            <w:r w:rsidRPr="00100F6D">
              <w:rPr>
                <w:rFonts w:asciiTheme="minorHAnsi" w:hAnsiTheme="minorHAnsi" w:cs="Arial"/>
              </w:rPr>
              <w:t>(Ci-après dénommé le « </w:t>
            </w:r>
            <w:r w:rsidR="00AA21AB" w:rsidRPr="00100F6D">
              <w:rPr>
                <w:rFonts w:asciiTheme="minorHAnsi" w:hAnsiTheme="minorHAnsi" w:cs="Arial"/>
                <w:smallCaps/>
              </w:rPr>
              <w:t>Contractant</w:t>
            </w:r>
            <w:r w:rsidRPr="00100F6D">
              <w:rPr>
                <w:rFonts w:asciiTheme="minorHAnsi" w:hAnsiTheme="minorHAnsi" w:cs="Arial"/>
                <w:smallCaps/>
              </w:rPr>
              <w:t> »</w:t>
            </w:r>
            <w:r w:rsidRPr="00100F6D">
              <w:rPr>
                <w:rFonts w:asciiTheme="minorHAnsi" w:hAnsiTheme="minorHAnsi" w:cs="Arial"/>
              </w:rPr>
              <w:t>)</w:t>
            </w:r>
          </w:p>
          <w:p w14:paraId="0CDA910A" w14:textId="77777777" w:rsidR="00DE1070"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Adresse du siège :</w:t>
            </w:r>
          </w:p>
          <w:p w14:paraId="37FAE282" w14:textId="77777777" w:rsidR="00DE1070"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Numéro d’immatriculation au registre du commerce et des sociétés :</w:t>
            </w:r>
          </w:p>
          <w:p w14:paraId="2ED05FB5" w14:textId="77777777" w:rsidR="00847898"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 xml:space="preserve">N° de TVA intra-communautaire (le cas échéant) : </w:t>
            </w:r>
          </w:p>
          <w:p w14:paraId="0AF46B5D" w14:textId="77777777" w:rsidR="00A86E43" w:rsidRPr="00100F6D" w:rsidRDefault="00A86E43" w:rsidP="00A86E43">
            <w:pPr>
              <w:pStyle w:val="a"/>
              <w:widowControl w:val="0"/>
              <w:rPr>
                <w:rFonts w:asciiTheme="minorHAnsi" w:hAnsiTheme="minorHAnsi" w:cs="Arial"/>
              </w:rPr>
            </w:pPr>
          </w:p>
          <w:p w14:paraId="5DC782A2" w14:textId="77777777" w:rsidR="00847898" w:rsidRPr="00100F6D" w:rsidRDefault="00847898" w:rsidP="00A86E43">
            <w:pPr>
              <w:pStyle w:val="a"/>
              <w:widowControl w:val="0"/>
              <w:rPr>
                <w:rFonts w:asciiTheme="minorHAnsi" w:hAnsiTheme="minorHAnsi" w:cs="Arial"/>
              </w:rPr>
            </w:pPr>
            <w:r w:rsidRPr="00100F6D">
              <w:rPr>
                <w:rFonts w:asciiTheme="minorHAnsi" w:hAnsiTheme="minorHAnsi" w:cs="Arial"/>
              </w:rPr>
              <w:t>Représenté par :</w:t>
            </w:r>
          </w:p>
          <w:p w14:paraId="49EB755D" w14:textId="77777777" w:rsidR="00DE1070" w:rsidRPr="00100F6D" w:rsidRDefault="00DE1070" w:rsidP="00DE1070">
            <w:pPr>
              <w:jc w:val="both"/>
              <w:rPr>
                <w:rFonts w:asciiTheme="minorHAnsi" w:hAnsiTheme="minorHAnsi" w:cs="Arial"/>
                <w:b/>
                <w:bCs/>
                <w:sz w:val="22"/>
                <w:u w:val="single"/>
              </w:rPr>
            </w:pPr>
            <w:r w:rsidRPr="00100F6D">
              <w:rPr>
                <w:rFonts w:asciiTheme="minorHAnsi" w:hAnsiTheme="minorHAnsi" w:cs="Arial"/>
                <w:b/>
                <w:bCs/>
                <w:sz w:val="22"/>
                <w:u w:val="single"/>
              </w:rPr>
              <w:t>d’autre part,</w:t>
            </w:r>
          </w:p>
          <w:p w14:paraId="69025BEE" w14:textId="77777777" w:rsidR="00DE1070" w:rsidRPr="00100F6D" w:rsidRDefault="00DE1070" w:rsidP="00DE1070">
            <w:pPr>
              <w:jc w:val="both"/>
              <w:rPr>
                <w:rFonts w:asciiTheme="minorHAnsi" w:hAnsiTheme="minorHAnsi"/>
              </w:rPr>
            </w:pPr>
          </w:p>
        </w:tc>
      </w:tr>
    </w:tbl>
    <w:p w14:paraId="48A2D13E" w14:textId="77777777" w:rsidR="00DE1070" w:rsidRPr="00100F6D" w:rsidRDefault="00DE1070" w:rsidP="00DE1070">
      <w:pPr>
        <w:pStyle w:val="a"/>
        <w:widowControl w:val="0"/>
        <w:spacing w:before="240"/>
        <w:rPr>
          <w:rFonts w:asciiTheme="minorHAnsi" w:hAnsiTheme="minorHAnsi" w:cs="Arial"/>
        </w:rPr>
      </w:pPr>
      <w:r w:rsidRPr="00100F6D">
        <w:rPr>
          <w:rFonts w:asciiTheme="minorHAnsi" w:hAnsiTheme="minorHAnsi" w:cs="Arial"/>
        </w:rPr>
        <w:t>(Ci-après dénommés collectivement les « </w:t>
      </w:r>
      <w:r w:rsidRPr="00100F6D">
        <w:rPr>
          <w:rFonts w:asciiTheme="minorHAnsi" w:hAnsiTheme="minorHAnsi" w:cs="Arial"/>
          <w:smallCaps/>
        </w:rPr>
        <w:t>Parties</w:t>
      </w:r>
      <w:r w:rsidRPr="00100F6D">
        <w:rPr>
          <w:rFonts w:asciiTheme="minorHAnsi" w:hAnsiTheme="minorHAnsi" w:cs="Arial"/>
        </w:rPr>
        <w:t> »,)</w:t>
      </w:r>
    </w:p>
    <w:p w14:paraId="29420F91" w14:textId="77777777" w:rsidR="00DE1070" w:rsidRPr="00100F6D" w:rsidRDefault="00DE1070" w:rsidP="00416A7A">
      <w:pPr>
        <w:widowControl w:val="0"/>
        <w:spacing w:before="120"/>
        <w:rPr>
          <w:rFonts w:asciiTheme="minorHAnsi" w:hAnsiTheme="minorHAnsi" w:cs="Arial"/>
          <w:b/>
          <w:sz w:val="22"/>
        </w:rPr>
      </w:pPr>
      <w:r w:rsidRPr="00100F6D">
        <w:rPr>
          <w:rFonts w:asciiTheme="minorHAnsi" w:hAnsiTheme="minorHAnsi" w:cs="Arial"/>
          <w:b/>
          <w:sz w:val="22"/>
        </w:rPr>
        <w:t>Il a été préalablement exposé ce qui suit :</w:t>
      </w:r>
    </w:p>
    <w:p w14:paraId="665BF18F" w14:textId="10D7E1A8" w:rsidR="00416A7A" w:rsidRPr="00100F6D" w:rsidRDefault="00DE1070" w:rsidP="0094204C">
      <w:pPr>
        <w:spacing w:before="120"/>
        <w:jc w:val="both"/>
        <w:rPr>
          <w:rFonts w:asciiTheme="minorHAnsi" w:hAnsiTheme="minorHAnsi" w:cs="Arial"/>
          <w:sz w:val="22"/>
        </w:rPr>
      </w:pPr>
      <w:r w:rsidRPr="00100F6D">
        <w:rPr>
          <w:rFonts w:asciiTheme="minorHAnsi" w:hAnsiTheme="minorHAnsi" w:cs="Arial"/>
          <w:sz w:val="22"/>
        </w:rPr>
        <w:t>Dans le cadre du projet de coopération ci-après dénommé le « </w:t>
      </w:r>
      <w:r w:rsidRPr="00100F6D">
        <w:rPr>
          <w:rFonts w:asciiTheme="minorHAnsi" w:hAnsiTheme="minorHAnsi" w:cs="Arial"/>
          <w:smallCaps/>
          <w:sz w:val="22"/>
        </w:rPr>
        <w:t>contrat principal »</w:t>
      </w:r>
      <w:r w:rsidRPr="00100F6D">
        <w:rPr>
          <w:rFonts w:asciiTheme="minorHAnsi" w:hAnsiTheme="minorHAnsi" w:cs="Arial"/>
          <w:sz w:val="22"/>
        </w:rPr>
        <w:t xml:space="preserve"> </w:t>
      </w:r>
      <w:r w:rsidR="00DD6625" w:rsidRPr="00100F6D">
        <w:rPr>
          <w:rFonts w:asciiTheme="minorHAnsi" w:hAnsiTheme="minorHAnsi" w:cs="Arial"/>
          <w:sz w:val="22"/>
        </w:rPr>
        <w:t xml:space="preserve">(contrat bailleur) </w:t>
      </w:r>
      <w:r w:rsidRPr="00100F6D">
        <w:rPr>
          <w:rFonts w:asciiTheme="minorHAnsi" w:hAnsiTheme="minorHAnsi" w:cs="Arial"/>
          <w:sz w:val="22"/>
        </w:rPr>
        <w:t xml:space="preserve">signé le </w:t>
      </w:r>
      <w:r w:rsidR="0094204C" w:rsidRPr="00100F6D">
        <w:rPr>
          <w:rFonts w:asciiTheme="minorHAnsi" w:hAnsiTheme="minorHAnsi" w:cs="Arial"/>
          <w:sz w:val="22"/>
        </w:rPr>
        <w:t xml:space="preserve">26/12/2022 </w:t>
      </w:r>
      <w:r w:rsidRPr="00100F6D">
        <w:rPr>
          <w:rFonts w:asciiTheme="minorHAnsi" w:hAnsiTheme="minorHAnsi" w:cs="Arial"/>
          <w:sz w:val="22"/>
        </w:rPr>
        <w:t xml:space="preserve">entre </w:t>
      </w:r>
      <w:r w:rsidR="0094204C" w:rsidRPr="00100F6D">
        <w:rPr>
          <w:rFonts w:asciiTheme="minorHAnsi" w:hAnsiTheme="minorHAnsi" w:cs="Arial"/>
          <w:i/>
          <w:sz w:val="22"/>
        </w:rPr>
        <w:t xml:space="preserve">la Commission Européenne et Expertise France, </w:t>
      </w:r>
      <w:r w:rsidRPr="00100F6D">
        <w:rPr>
          <w:rFonts w:asciiTheme="minorHAnsi" w:hAnsiTheme="minorHAnsi" w:cs="Arial"/>
          <w:sz w:val="22"/>
        </w:rPr>
        <w:t>portant sur « </w:t>
      </w:r>
      <w:r w:rsidR="0094204C" w:rsidRPr="00100F6D">
        <w:rPr>
          <w:rFonts w:asciiTheme="minorHAnsi" w:hAnsiTheme="minorHAnsi" w:cs="Arial"/>
          <w:i/>
          <w:sz w:val="22"/>
        </w:rPr>
        <w:t>Greenov’i – EU4Innovation</w:t>
      </w:r>
      <w:r w:rsidRPr="00100F6D">
        <w:rPr>
          <w:rFonts w:asciiTheme="minorHAnsi" w:hAnsiTheme="minorHAnsi" w:cs="Arial"/>
          <w:i/>
          <w:sz w:val="22"/>
        </w:rPr>
        <w:t>»</w:t>
      </w:r>
      <w:r w:rsidRPr="00100F6D">
        <w:rPr>
          <w:rFonts w:asciiTheme="minorHAnsi" w:hAnsiTheme="minorHAnsi" w:cs="Arial"/>
          <w:sz w:val="22"/>
        </w:rPr>
        <w:t xml:space="preserve">, </w:t>
      </w:r>
      <w:r w:rsidR="00E114AE" w:rsidRPr="00100F6D">
        <w:rPr>
          <w:rFonts w:asciiTheme="minorHAnsi" w:hAnsiTheme="minorHAnsi" w:cs="Arial"/>
          <w:smallCaps/>
          <w:sz w:val="22"/>
        </w:rPr>
        <w:t>Expertise France</w:t>
      </w:r>
      <w:r w:rsidR="00CE73DB" w:rsidRPr="00100F6D">
        <w:rPr>
          <w:rFonts w:asciiTheme="minorHAnsi" w:hAnsiTheme="minorHAnsi" w:cs="Arial"/>
          <w:smallCaps/>
          <w:sz w:val="22"/>
        </w:rPr>
        <w:t xml:space="preserve"> </w:t>
      </w:r>
      <w:r w:rsidRPr="00100F6D">
        <w:rPr>
          <w:rFonts w:asciiTheme="minorHAnsi" w:hAnsiTheme="minorHAnsi" w:cs="Arial"/>
          <w:sz w:val="22"/>
        </w:rPr>
        <w:t xml:space="preserve">demande au </w:t>
      </w:r>
      <w:r w:rsidR="00AA21AB" w:rsidRPr="00100F6D">
        <w:rPr>
          <w:rFonts w:asciiTheme="minorHAnsi" w:hAnsiTheme="minorHAnsi" w:cs="Arial"/>
          <w:smallCaps/>
          <w:sz w:val="22"/>
        </w:rPr>
        <w:t>Contractant</w:t>
      </w:r>
      <w:r w:rsidRPr="00100F6D">
        <w:rPr>
          <w:rFonts w:asciiTheme="minorHAnsi" w:hAnsiTheme="minorHAnsi" w:cs="Arial"/>
          <w:sz w:val="22"/>
        </w:rPr>
        <w:t xml:space="preserve"> qui l’accepte, de réaliser au titre du présent </w:t>
      </w:r>
      <w:r w:rsidRPr="00100F6D">
        <w:rPr>
          <w:rFonts w:asciiTheme="minorHAnsi" w:hAnsiTheme="minorHAnsi" w:cs="Arial"/>
          <w:smallCaps/>
          <w:sz w:val="22"/>
        </w:rPr>
        <w:t xml:space="preserve">Contrat </w:t>
      </w:r>
      <w:r w:rsidRPr="00100F6D">
        <w:rPr>
          <w:rFonts w:asciiTheme="minorHAnsi" w:hAnsiTheme="minorHAnsi" w:cs="Arial"/>
          <w:sz w:val="22"/>
        </w:rPr>
        <w:t>les prestations et de livrer les fournitures décrites dans l’annexe technique jointe « Cahier des charges ».</w:t>
      </w:r>
    </w:p>
    <w:p w14:paraId="704EEA84" w14:textId="77777777" w:rsidR="00DE1070" w:rsidRPr="00100F6D" w:rsidRDefault="00DE1070" w:rsidP="00416A7A">
      <w:pPr>
        <w:spacing w:before="240"/>
        <w:jc w:val="right"/>
        <w:rPr>
          <w:rFonts w:asciiTheme="minorHAnsi" w:hAnsiTheme="minorHAnsi" w:cs="Arial"/>
          <w:b/>
          <w:sz w:val="22"/>
        </w:rPr>
      </w:pPr>
      <w:r w:rsidRPr="00100F6D">
        <w:rPr>
          <w:rFonts w:asciiTheme="minorHAnsi" w:hAnsiTheme="minorHAnsi" w:cs="Arial"/>
          <w:b/>
          <w:sz w:val="22"/>
        </w:rPr>
        <w:t>En foi de quoi, il a été convenu ce qui suit :</w:t>
      </w:r>
    </w:p>
    <w:p w14:paraId="1E87B58D" w14:textId="77777777" w:rsidR="00FA457B" w:rsidRPr="00100F6D" w:rsidRDefault="00DE1070" w:rsidP="00416A7A">
      <w:pPr>
        <w:spacing w:before="120" w:line="240" w:lineRule="auto"/>
        <w:rPr>
          <w:rFonts w:asciiTheme="minorHAnsi" w:hAnsiTheme="minorHAnsi" w:cs="Arial"/>
        </w:rPr>
      </w:pPr>
      <w:r w:rsidRPr="00100F6D">
        <w:rPr>
          <w:rFonts w:asciiTheme="minorHAnsi" w:hAnsiTheme="minorHAnsi"/>
          <w:b/>
          <w:caps/>
        </w:rPr>
        <w:br w:type="page"/>
      </w:r>
    </w:p>
    <w:p w14:paraId="574CB5C4" w14:textId="77777777" w:rsidR="001726C5" w:rsidRPr="00100F6D" w:rsidRDefault="001726C5"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100F6D">
        <w:rPr>
          <w:rFonts w:asciiTheme="minorHAnsi" w:hAnsiTheme="minorHAnsi"/>
          <w:b/>
          <w:caps/>
          <w:sz w:val="24"/>
          <w:u w:val="single"/>
        </w:rPr>
        <w:lastRenderedPageBreak/>
        <w:t>Objet du contrat</w:t>
      </w:r>
      <w:bookmarkEnd w:id="5"/>
    </w:p>
    <w:p w14:paraId="34E60E59" w14:textId="53329AA6" w:rsidR="000A6E96" w:rsidRPr="00100F6D" w:rsidRDefault="00E551F2" w:rsidP="006C601D">
      <w:pPr>
        <w:pStyle w:val="u"/>
        <w:widowControl w:val="0"/>
        <w:spacing w:before="240"/>
        <w:ind w:left="561"/>
        <w:rPr>
          <w:rFonts w:asciiTheme="minorHAnsi" w:hAnsiTheme="minorHAnsi" w:cs="Arial"/>
        </w:rPr>
      </w:pPr>
      <w:r w:rsidRPr="00100F6D">
        <w:rPr>
          <w:rFonts w:asciiTheme="minorHAnsi" w:hAnsiTheme="minorHAnsi" w:cs="Arial"/>
        </w:rPr>
        <w:t xml:space="preserve">Le présent </w:t>
      </w:r>
      <w:r w:rsidR="00234430" w:rsidRPr="00100F6D">
        <w:rPr>
          <w:rFonts w:asciiTheme="minorHAnsi" w:hAnsiTheme="minorHAnsi" w:cs="Arial"/>
        </w:rPr>
        <w:t>contrat</w:t>
      </w:r>
      <w:r w:rsidRPr="00100F6D">
        <w:rPr>
          <w:rFonts w:asciiTheme="minorHAnsi" w:hAnsiTheme="minorHAnsi" w:cs="Arial"/>
        </w:rPr>
        <w:t xml:space="preserve"> (ci-après dénommé le « </w:t>
      </w:r>
      <w:r w:rsidRPr="00100F6D">
        <w:rPr>
          <w:rFonts w:asciiTheme="minorHAnsi" w:hAnsiTheme="minorHAnsi" w:cs="Arial"/>
          <w:smallCaps/>
        </w:rPr>
        <w:t xml:space="preserve">Contrat </w:t>
      </w:r>
      <w:r w:rsidRPr="00100F6D">
        <w:rPr>
          <w:rFonts w:asciiTheme="minorHAnsi" w:hAnsiTheme="minorHAnsi" w:cs="Arial"/>
        </w:rPr>
        <w:t>») a pour objet</w:t>
      </w:r>
      <w:r w:rsidR="008C6F83" w:rsidRPr="00100F6D">
        <w:rPr>
          <w:rFonts w:asciiTheme="minorHAnsi" w:hAnsiTheme="minorHAnsi" w:cs="Arial"/>
        </w:rPr>
        <w:t xml:space="preserve"> </w:t>
      </w:r>
      <w:r w:rsidR="00AC48DD" w:rsidRPr="00100F6D">
        <w:rPr>
          <w:rFonts w:asciiTheme="minorHAnsi" w:hAnsiTheme="minorHAnsi" w:cs="Arial"/>
        </w:rPr>
        <w:t>«</w:t>
      </w:r>
      <w:r w:rsidR="00DA2C30" w:rsidRPr="00100F6D">
        <w:rPr>
          <w:rFonts w:asciiTheme="minorHAnsi" w:hAnsiTheme="minorHAnsi" w:cs="Arial"/>
        </w:rPr>
        <w:t xml:space="preserve"> </w:t>
      </w:r>
      <w:r w:rsidR="006C601D" w:rsidRPr="006C601D">
        <w:rPr>
          <w:rFonts w:asciiTheme="minorHAnsi" w:hAnsiTheme="minorHAnsi" w:cs="Arial"/>
        </w:rPr>
        <w:t>Appui technique pour la mise en place et l’opérationnalisation de systèmes de gestion des risques environnementaux et sociaux (SGES) dans plusieurs institutions financières tunisiennes</w:t>
      </w:r>
      <w:r w:rsidR="006C601D">
        <w:rPr>
          <w:rFonts w:asciiTheme="minorHAnsi" w:hAnsiTheme="minorHAnsi" w:cs="Arial"/>
        </w:rPr>
        <w:t xml:space="preserve"> </w:t>
      </w:r>
      <w:r w:rsidR="00F6667B" w:rsidRPr="006C601D">
        <w:rPr>
          <w:rFonts w:asciiTheme="minorHAnsi" w:hAnsiTheme="minorHAnsi" w:cs="Arial"/>
        </w:rPr>
        <w:t>»</w:t>
      </w:r>
      <w:r w:rsidR="00DE0E61" w:rsidRPr="00100F6D">
        <w:rPr>
          <w:rFonts w:asciiTheme="minorHAnsi" w:hAnsiTheme="minorHAnsi" w:cs="Arial"/>
        </w:rPr>
        <w:t>.</w:t>
      </w:r>
    </w:p>
    <w:p w14:paraId="78C1469E" w14:textId="77777777" w:rsidR="001726C5" w:rsidRPr="00100F6D" w:rsidRDefault="001726C5" w:rsidP="006B6C1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100F6D">
        <w:rPr>
          <w:rFonts w:asciiTheme="minorHAnsi" w:hAnsiTheme="minorHAnsi"/>
          <w:b/>
          <w:caps/>
          <w:sz w:val="24"/>
          <w:u w:val="single"/>
        </w:rPr>
        <w:t>Documents contractuels</w:t>
      </w:r>
      <w:bookmarkEnd w:id="6"/>
    </w:p>
    <w:p w14:paraId="29BF16E2" w14:textId="77777777" w:rsidR="00656639" w:rsidRPr="00100F6D" w:rsidRDefault="006D3BE8" w:rsidP="006D3BE8">
      <w:pPr>
        <w:pStyle w:val="v"/>
        <w:widowControl w:val="0"/>
        <w:spacing w:before="120"/>
        <w:ind w:left="555" w:firstLine="0"/>
        <w:jc w:val="left"/>
        <w:rPr>
          <w:rFonts w:asciiTheme="minorHAnsi" w:hAnsiTheme="minorHAnsi" w:cstheme="minorHAnsi"/>
          <w:szCs w:val="22"/>
        </w:rPr>
      </w:pPr>
      <w:r w:rsidRPr="00100F6D">
        <w:rPr>
          <w:rFonts w:asciiTheme="minorHAnsi" w:hAnsiTheme="minorHAnsi" w:cstheme="minorHAnsi"/>
          <w:szCs w:val="22"/>
        </w:rPr>
        <w:t xml:space="preserve">Le présent </w:t>
      </w:r>
      <w:r w:rsidR="00037915" w:rsidRPr="00100F6D">
        <w:rPr>
          <w:rFonts w:asciiTheme="minorHAnsi" w:hAnsiTheme="minorHAnsi" w:cstheme="minorHAnsi"/>
          <w:smallCaps/>
          <w:szCs w:val="22"/>
        </w:rPr>
        <w:t>Contrat</w:t>
      </w:r>
      <w:r w:rsidRPr="00100F6D">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100F6D" w:rsidRDefault="00E551F2" w:rsidP="006B6C1B">
      <w:pPr>
        <w:pStyle w:val="w"/>
        <w:widowControl w:val="0"/>
        <w:numPr>
          <w:ilvl w:val="0"/>
          <w:numId w:val="14"/>
        </w:numPr>
        <w:spacing w:before="120"/>
        <w:rPr>
          <w:rFonts w:asciiTheme="minorHAnsi" w:hAnsiTheme="minorHAnsi" w:cstheme="minorHAnsi"/>
          <w:szCs w:val="22"/>
        </w:rPr>
      </w:pPr>
      <w:r w:rsidRPr="00100F6D">
        <w:rPr>
          <w:rFonts w:asciiTheme="minorHAnsi" w:hAnsiTheme="minorHAnsi" w:cstheme="minorHAnsi"/>
          <w:szCs w:val="22"/>
        </w:rPr>
        <w:t>le présent document</w:t>
      </w:r>
      <w:r w:rsidR="00E33FDA" w:rsidRPr="00100F6D">
        <w:rPr>
          <w:rFonts w:asciiTheme="minorHAnsi" w:hAnsiTheme="minorHAnsi" w:cstheme="minorHAnsi"/>
          <w:szCs w:val="22"/>
        </w:rPr>
        <w:t>, et ses annexes :</w:t>
      </w:r>
    </w:p>
    <w:p w14:paraId="2AD3DBAD" w14:textId="77777777" w:rsidR="00656639" w:rsidRPr="00100F6D" w:rsidRDefault="00E551F2" w:rsidP="006B6C1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100F6D">
        <w:rPr>
          <w:rFonts w:asciiTheme="minorHAnsi" w:hAnsiTheme="minorHAnsi" w:cstheme="minorHAnsi"/>
          <w:szCs w:val="22"/>
        </w:rPr>
        <w:t xml:space="preserve">l’Annexe 1 ci-jointe : </w:t>
      </w:r>
      <w:r w:rsidR="0018104F" w:rsidRPr="00100F6D">
        <w:rPr>
          <w:rFonts w:asciiTheme="minorHAnsi" w:hAnsiTheme="minorHAnsi" w:cstheme="minorHAnsi"/>
          <w:szCs w:val="22"/>
        </w:rPr>
        <w:t>Cahier des charges</w:t>
      </w:r>
      <w:r w:rsidR="00E326F3" w:rsidRPr="00100F6D">
        <w:rPr>
          <w:rFonts w:asciiTheme="minorHAnsi" w:hAnsiTheme="minorHAnsi" w:cstheme="minorHAnsi"/>
          <w:szCs w:val="22"/>
        </w:rPr>
        <w:t> ;</w:t>
      </w:r>
    </w:p>
    <w:p w14:paraId="1C9F58D6" w14:textId="5CB7050A" w:rsidR="00C973C2" w:rsidRPr="00100F6D" w:rsidRDefault="00C973C2" w:rsidP="006B6C1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Le code de conduite d’</w:t>
      </w:r>
      <w:r w:rsidR="00CE73DB" w:rsidRPr="00100F6D">
        <w:rPr>
          <w:rFonts w:asciiTheme="minorHAnsi" w:eastAsia="Times New Roman" w:hAnsiTheme="minorHAnsi" w:cstheme="minorHAnsi"/>
          <w:smallCaps/>
          <w:sz w:val="22"/>
          <w:szCs w:val="22"/>
        </w:rPr>
        <w:t>Expertise France</w:t>
      </w:r>
      <w:r w:rsidRPr="00100F6D">
        <w:rPr>
          <w:rFonts w:asciiTheme="minorHAnsi" w:eastAsia="Times New Roman" w:hAnsiTheme="minorHAnsi" w:cstheme="minorHAnsi"/>
          <w:sz w:val="22"/>
          <w:szCs w:val="22"/>
        </w:rPr>
        <w:t xml:space="preserve"> (disponible </w:t>
      </w:r>
      <w:r w:rsidR="00F843EC" w:rsidRPr="00100F6D">
        <w:rPr>
          <w:rFonts w:asciiTheme="minorHAnsi" w:eastAsia="Times New Roman" w:hAnsiTheme="minorHAnsi" w:cstheme="minorHAnsi"/>
          <w:sz w:val="22"/>
          <w:szCs w:val="22"/>
        </w:rPr>
        <w:t xml:space="preserve">via le lien suivant : </w:t>
      </w:r>
      <w:hyperlink r:id="rId14" w:history="1">
        <w:r w:rsidR="00F843EC" w:rsidRPr="00100F6D">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100F6D">
        <w:rPr>
          <w:rFonts w:asciiTheme="minorHAnsi" w:eastAsia="Times New Roman" w:hAnsiTheme="minorHAnsi" w:cstheme="minorHAnsi"/>
          <w:sz w:val="22"/>
          <w:szCs w:val="22"/>
        </w:rPr>
        <w:t>);</w:t>
      </w:r>
    </w:p>
    <w:p w14:paraId="7449337F" w14:textId="47558298" w:rsidR="000D1F21" w:rsidRPr="00100F6D" w:rsidRDefault="000D1F21" w:rsidP="006B6C1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Annexe contractuelle (DAJ_M050) portant sur le traitement de données personnelles en cas de sous-traitance RGPD (collecte de données personnelles au nom d’</w:t>
      </w:r>
      <w:r w:rsidRPr="00100F6D">
        <w:rPr>
          <w:rFonts w:asciiTheme="minorHAnsi" w:eastAsia="Times New Roman" w:hAnsiTheme="minorHAnsi" w:cstheme="minorHAnsi"/>
          <w:smallCaps/>
          <w:sz w:val="22"/>
          <w:szCs w:val="22"/>
        </w:rPr>
        <w:t>Expertise France</w:t>
      </w:r>
      <w:r w:rsidRPr="00100F6D">
        <w:rPr>
          <w:rFonts w:asciiTheme="minorHAnsi" w:eastAsia="Times New Roman" w:hAnsiTheme="minorHAnsi" w:cstheme="minorHAnsi"/>
          <w:sz w:val="22"/>
          <w:szCs w:val="22"/>
        </w:rPr>
        <w:t xml:space="preserve">) </w:t>
      </w:r>
    </w:p>
    <w:p w14:paraId="4AD0908E" w14:textId="56FB9097" w:rsidR="00996FEA" w:rsidRPr="00100F6D" w:rsidRDefault="00BC5A69" w:rsidP="006B6C1B">
      <w:pPr>
        <w:pStyle w:val="w"/>
        <w:widowControl w:val="0"/>
        <w:numPr>
          <w:ilvl w:val="0"/>
          <w:numId w:val="14"/>
        </w:numPr>
        <w:spacing w:before="120"/>
        <w:rPr>
          <w:rFonts w:asciiTheme="minorHAnsi" w:hAnsiTheme="minorHAnsi" w:cstheme="minorHAnsi"/>
          <w:szCs w:val="22"/>
        </w:rPr>
      </w:pPr>
      <w:r w:rsidRPr="00100F6D">
        <w:rPr>
          <w:rFonts w:asciiTheme="minorHAnsi" w:hAnsiTheme="minorHAnsi" w:cstheme="minorHAnsi"/>
          <w:szCs w:val="22"/>
        </w:rPr>
        <w:t>C</w:t>
      </w:r>
      <w:r w:rsidR="00AC30F7" w:rsidRPr="00100F6D">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100F6D">
        <w:rPr>
          <w:rFonts w:asciiTheme="minorHAnsi" w:hAnsiTheme="minorHAnsi" w:cstheme="minorHAnsi"/>
          <w:szCs w:val="22"/>
        </w:rPr>
        <w:t>30 mars 2021</w:t>
      </w:r>
      <w:r w:rsidR="0094204C" w:rsidRPr="00100F6D">
        <w:rPr>
          <w:rFonts w:asciiTheme="minorHAnsi" w:hAnsiTheme="minorHAnsi" w:cstheme="minorHAnsi"/>
          <w:szCs w:val="22"/>
        </w:rPr>
        <w:t>,</w:t>
      </w:r>
      <w:r w:rsidR="00D57337" w:rsidRPr="00100F6D">
        <w:rPr>
          <w:rFonts w:asciiTheme="minorHAnsi" w:hAnsiTheme="minorHAnsi" w:cstheme="minorHAnsi"/>
          <w:szCs w:val="22"/>
        </w:rPr>
        <w:t xml:space="preserve"> sous réserve des dérogations stipulées </w:t>
      </w:r>
      <w:r w:rsidR="00A9191F" w:rsidRPr="00100F6D">
        <w:rPr>
          <w:rFonts w:asciiTheme="minorHAnsi" w:hAnsiTheme="minorHAnsi" w:cstheme="minorHAnsi"/>
          <w:szCs w:val="22"/>
        </w:rPr>
        <w:t>dans le présent</w:t>
      </w:r>
      <w:r w:rsidR="00D57337" w:rsidRPr="00100F6D">
        <w:rPr>
          <w:rFonts w:asciiTheme="minorHAnsi" w:hAnsiTheme="minorHAnsi" w:cstheme="minorHAnsi"/>
          <w:szCs w:val="22"/>
        </w:rPr>
        <w:t xml:space="preserve"> contrat</w:t>
      </w:r>
      <w:r w:rsidR="00996FEA" w:rsidRPr="00100F6D">
        <w:rPr>
          <w:rFonts w:asciiTheme="minorHAnsi" w:hAnsiTheme="minorHAnsi" w:cstheme="minorHAnsi"/>
          <w:szCs w:val="22"/>
        </w:rPr>
        <w:t xml:space="preserve">. </w:t>
      </w:r>
    </w:p>
    <w:p w14:paraId="3E4668E2" w14:textId="77777777" w:rsidR="00996FEA" w:rsidRPr="00100F6D" w:rsidRDefault="00996FEA" w:rsidP="006B6C1B">
      <w:pPr>
        <w:pStyle w:val="w"/>
        <w:widowControl w:val="0"/>
        <w:numPr>
          <w:ilvl w:val="0"/>
          <w:numId w:val="14"/>
        </w:numPr>
        <w:spacing w:before="120"/>
        <w:rPr>
          <w:rFonts w:asciiTheme="minorHAnsi" w:hAnsiTheme="minorHAnsi" w:cstheme="minorHAnsi"/>
          <w:szCs w:val="22"/>
        </w:rPr>
      </w:pPr>
      <w:r w:rsidRPr="00100F6D">
        <w:rPr>
          <w:rFonts w:asciiTheme="minorHAnsi" w:hAnsiTheme="minorHAnsi" w:cstheme="minorHAnsi"/>
          <w:szCs w:val="22"/>
        </w:rPr>
        <w:t xml:space="preserve">L’offre du </w:t>
      </w:r>
      <w:r w:rsidR="00AA21AB" w:rsidRPr="00100F6D">
        <w:rPr>
          <w:rFonts w:asciiTheme="minorHAnsi" w:hAnsiTheme="minorHAnsi" w:cstheme="minorHAnsi"/>
          <w:smallCaps/>
          <w:szCs w:val="22"/>
        </w:rPr>
        <w:t>Contractant</w:t>
      </w:r>
      <w:r w:rsidRPr="00100F6D">
        <w:rPr>
          <w:rFonts w:asciiTheme="minorHAnsi" w:hAnsiTheme="minorHAnsi" w:cstheme="minorHAnsi"/>
          <w:szCs w:val="22"/>
        </w:rPr>
        <w:t xml:space="preserve"> du XX/XX/XXXX</w:t>
      </w:r>
    </w:p>
    <w:p w14:paraId="62D8ECEB" w14:textId="77777777" w:rsidR="00656639" w:rsidRPr="00100F6D" w:rsidRDefault="00E326F3" w:rsidP="00416A7A">
      <w:pPr>
        <w:pStyle w:val="v"/>
        <w:widowControl w:val="0"/>
        <w:spacing w:beforeLines="240" w:before="576"/>
        <w:ind w:left="556" w:firstLine="0"/>
        <w:rPr>
          <w:rFonts w:asciiTheme="minorHAnsi" w:hAnsiTheme="minorHAnsi" w:cstheme="minorHAnsi"/>
          <w:szCs w:val="22"/>
        </w:rPr>
      </w:pPr>
      <w:r w:rsidRPr="00100F6D">
        <w:rPr>
          <w:rFonts w:asciiTheme="minorHAnsi" w:hAnsiTheme="minorHAnsi" w:cstheme="minorHAnsi"/>
          <w:szCs w:val="22"/>
        </w:rPr>
        <w:t>Ces documents</w:t>
      </w:r>
      <w:r w:rsidR="00E551F2" w:rsidRPr="00100F6D">
        <w:rPr>
          <w:rFonts w:asciiTheme="minorHAnsi" w:hAnsiTheme="minorHAnsi" w:cstheme="minorHAnsi"/>
          <w:szCs w:val="22"/>
        </w:rPr>
        <w:t xml:space="preserve"> </w:t>
      </w:r>
      <w:r w:rsidRPr="00100F6D">
        <w:rPr>
          <w:rFonts w:asciiTheme="minorHAnsi" w:hAnsiTheme="minorHAnsi" w:cstheme="minorHAnsi"/>
          <w:szCs w:val="22"/>
        </w:rPr>
        <w:t>constituent</w:t>
      </w:r>
      <w:r w:rsidR="00E551F2" w:rsidRPr="00100F6D">
        <w:rPr>
          <w:rFonts w:asciiTheme="minorHAnsi" w:hAnsiTheme="minorHAnsi" w:cstheme="minorHAnsi"/>
          <w:szCs w:val="22"/>
        </w:rPr>
        <w:t xml:space="preserve"> l’intégralité de l’accord entre les </w:t>
      </w:r>
      <w:r w:rsidR="00E551F2" w:rsidRPr="00100F6D">
        <w:rPr>
          <w:rFonts w:asciiTheme="minorHAnsi" w:hAnsiTheme="minorHAnsi" w:cstheme="minorHAnsi"/>
          <w:smallCaps/>
          <w:szCs w:val="22"/>
        </w:rPr>
        <w:t>Parties</w:t>
      </w:r>
      <w:r w:rsidR="00E551F2" w:rsidRPr="00100F6D">
        <w:rPr>
          <w:rFonts w:asciiTheme="minorHAnsi" w:hAnsiTheme="minorHAnsi" w:cstheme="minorHAnsi"/>
          <w:szCs w:val="22"/>
        </w:rPr>
        <w:t xml:space="preserve"> se rapportant </w:t>
      </w:r>
      <w:r w:rsidR="001C7353" w:rsidRPr="00100F6D">
        <w:rPr>
          <w:rFonts w:asciiTheme="minorHAnsi" w:hAnsiTheme="minorHAnsi" w:cstheme="minorHAnsi"/>
          <w:szCs w:val="22"/>
        </w:rPr>
        <w:t xml:space="preserve">au présent </w:t>
      </w:r>
      <w:r w:rsidR="001C7353" w:rsidRPr="00100F6D">
        <w:rPr>
          <w:rFonts w:asciiTheme="minorHAnsi" w:hAnsiTheme="minorHAnsi" w:cstheme="minorHAnsi"/>
          <w:smallCaps/>
          <w:szCs w:val="22"/>
        </w:rPr>
        <w:t>Contrat</w:t>
      </w:r>
      <w:r w:rsidR="00E551F2" w:rsidRPr="00100F6D">
        <w:rPr>
          <w:rFonts w:asciiTheme="minorHAnsi" w:hAnsiTheme="minorHAnsi" w:cstheme="minorHAnsi"/>
          <w:szCs w:val="22"/>
        </w:rPr>
        <w:t>. Il</w:t>
      </w:r>
      <w:r w:rsidRPr="00100F6D">
        <w:rPr>
          <w:rFonts w:asciiTheme="minorHAnsi" w:hAnsiTheme="minorHAnsi" w:cstheme="minorHAnsi"/>
          <w:szCs w:val="22"/>
        </w:rPr>
        <w:t>s</w:t>
      </w:r>
      <w:r w:rsidR="00E551F2" w:rsidRPr="00100F6D">
        <w:rPr>
          <w:rFonts w:asciiTheme="minorHAnsi" w:hAnsiTheme="minorHAnsi" w:cstheme="minorHAnsi"/>
          <w:szCs w:val="22"/>
        </w:rPr>
        <w:t xml:space="preserve"> annule</w:t>
      </w:r>
      <w:r w:rsidRPr="00100F6D">
        <w:rPr>
          <w:rFonts w:asciiTheme="minorHAnsi" w:hAnsiTheme="minorHAnsi" w:cstheme="minorHAnsi"/>
          <w:szCs w:val="22"/>
        </w:rPr>
        <w:t>nt</w:t>
      </w:r>
      <w:r w:rsidR="00E551F2" w:rsidRPr="00100F6D">
        <w:rPr>
          <w:rFonts w:asciiTheme="minorHAnsi" w:hAnsiTheme="minorHAnsi" w:cstheme="minorHAnsi"/>
          <w:szCs w:val="22"/>
        </w:rPr>
        <w:t xml:space="preserve"> et remplace</w:t>
      </w:r>
      <w:r w:rsidRPr="00100F6D">
        <w:rPr>
          <w:rFonts w:asciiTheme="minorHAnsi" w:hAnsiTheme="minorHAnsi" w:cstheme="minorHAnsi"/>
          <w:szCs w:val="22"/>
        </w:rPr>
        <w:t>nt</w:t>
      </w:r>
      <w:r w:rsidR="00E551F2" w:rsidRPr="00100F6D">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100F6D">
        <w:rPr>
          <w:rFonts w:asciiTheme="minorHAnsi" w:hAnsiTheme="minorHAnsi" w:cstheme="minorHAnsi"/>
          <w:smallCaps/>
          <w:szCs w:val="22"/>
        </w:rPr>
        <w:t>Partie</w:t>
      </w:r>
      <w:r w:rsidRPr="00100F6D">
        <w:rPr>
          <w:rFonts w:asciiTheme="minorHAnsi" w:hAnsiTheme="minorHAnsi" w:cstheme="minorHAnsi"/>
          <w:szCs w:val="22"/>
        </w:rPr>
        <w:t xml:space="preserve"> </w:t>
      </w:r>
      <w:r w:rsidR="00E551F2" w:rsidRPr="00100F6D">
        <w:rPr>
          <w:rFonts w:asciiTheme="minorHAnsi" w:hAnsiTheme="minorHAnsi" w:cstheme="minorHAnsi"/>
          <w:szCs w:val="22"/>
        </w:rPr>
        <w:t xml:space="preserve">ou en son nom, à l’autre </w:t>
      </w:r>
      <w:r w:rsidRPr="00100F6D">
        <w:rPr>
          <w:rFonts w:asciiTheme="minorHAnsi" w:hAnsiTheme="minorHAnsi" w:cstheme="minorHAnsi"/>
          <w:smallCaps/>
          <w:szCs w:val="22"/>
        </w:rPr>
        <w:t>Partie</w:t>
      </w:r>
      <w:r w:rsidR="00E551F2" w:rsidRPr="00100F6D">
        <w:rPr>
          <w:rFonts w:asciiTheme="minorHAnsi" w:hAnsiTheme="minorHAnsi" w:cstheme="minorHAnsi"/>
          <w:szCs w:val="22"/>
        </w:rPr>
        <w:t xml:space="preserve">, qui seraient intervenus avant </w:t>
      </w:r>
      <w:r w:rsidR="001C7353" w:rsidRPr="00100F6D">
        <w:rPr>
          <w:rFonts w:asciiTheme="minorHAnsi" w:hAnsiTheme="minorHAnsi" w:cstheme="minorHAnsi"/>
          <w:szCs w:val="22"/>
        </w:rPr>
        <w:t>s</w:t>
      </w:r>
      <w:r w:rsidR="00E551F2" w:rsidRPr="00100F6D">
        <w:rPr>
          <w:rFonts w:asciiTheme="minorHAnsi" w:hAnsiTheme="minorHAnsi" w:cstheme="minorHAnsi"/>
          <w:szCs w:val="22"/>
        </w:rPr>
        <w:t xml:space="preserve">a date de </w:t>
      </w:r>
      <w:r w:rsidR="001C7353" w:rsidRPr="00100F6D">
        <w:rPr>
          <w:rFonts w:asciiTheme="minorHAnsi" w:hAnsiTheme="minorHAnsi" w:cstheme="minorHAnsi"/>
          <w:szCs w:val="22"/>
        </w:rPr>
        <w:t>notification</w:t>
      </w:r>
      <w:r w:rsidR="00E551F2" w:rsidRPr="00100F6D">
        <w:rPr>
          <w:rFonts w:asciiTheme="minorHAnsi" w:hAnsiTheme="minorHAnsi" w:cstheme="minorHAnsi"/>
          <w:szCs w:val="22"/>
        </w:rPr>
        <w:t xml:space="preserve">. </w:t>
      </w:r>
      <w:r w:rsidR="001C7353" w:rsidRPr="00100F6D">
        <w:rPr>
          <w:rFonts w:asciiTheme="minorHAnsi" w:hAnsiTheme="minorHAnsi" w:cstheme="minorHAnsi"/>
          <w:szCs w:val="22"/>
        </w:rPr>
        <w:t xml:space="preserve">Ces documents sont </w:t>
      </w:r>
      <w:r w:rsidR="00E551F2" w:rsidRPr="00100F6D">
        <w:rPr>
          <w:rFonts w:asciiTheme="minorHAnsi" w:hAnsiTheme="minorHAnsi" w:cstheme="minorHAnsi"/>
          <w:szCs w:val="22"/>
        </w:rPr>
        <w:t>reconnu</w:t>
      </w:r>
      <w:r w:rsidR="001C7353" w:rsidRPr="00100F6D">
        <w:rPr>
          <w:rFonts w:asciiTheme="minorHAnsi" w:hAnsiTheme="minorHAnsi" w:cstheme="minorHAnsi"/>
          <w:szCs w:val="22"/>
        </w:rPr>
        <w:t>s</w:t>
      </w:r>
      <w:r w:rsidR="00E551F2" w:rsidRPr="00100F6D">
        <w:rPr>
          <w:rFonts w:asciiTheme="minorHAnsi" w:hAnsiTheme="minorHAnsi" w:cstheme="minorHAnsi"/>
          <w:szCs w:val="22"/>
        </w:rPr>
        <w:t xml:space="preserve"> par les Parties comme l’exposé unique et complet des termes de leur accord.</w:t>
      </w:r>
    </w:p>
    <w:p w14:paraId="3705E39D" w14:textId="77777777" w:rsidR="002F2D1F" w:rsidRPr="00100F6D" w:rsidRDefault="00E3012B" w:rsidP="002F2D1F">
      <w:pPr>
        <w:pStyle w:val="v"/>
        <w:widowControl w:val="0"/>
        <w:spacing w:beforeLines="240" w:before="576"/>
        <w:ind w:left="556" w:firstLine="0"/>
        <w:rPr>
          <w:rFonts w:asciiTheme="minorHAnsi" w:hAnsiTheme="minorHAnsi" w:cstheme="minorHAnsi"/>
          <w:szCs w:val="22"/>
        </w:rPr>
      </w:pPr>
      <w:r w:rsidRPr="00100F6D">
        <w:rPr>
          <w:rFonts w:asciiTheme="minorHAnsi" w:eastAsia="Times" w:hAnsiTheme="minorHAnsi" w:cstheme="minorHAnsi"/>
          <w:szCs w:val="22"/>
        </w:rPr>
        <w:t>Sans préjudice des règles générales applicables aux contrats administratifs,</w:t>
      </w:r>
      <w:r w:rsidRPr="00100F6D" w:rsidDel="00E3012B">
        <w:rPr>
          <w:rFonts w:asciiTheme="minorHAnsi" w:hAnsiTheme="minorHAnsi" w:cstheme="minorHAnsi"/>
          <w:szCs w:val="22"/>
        </w:rPr>
        <w:t xml:space="preserve"> </w:t>
      </w:r>
      <w:r w:rsidRPr="00100F6D">
        <w:rPr>
          <w:rFonts w:asciiTheme="minorHAnsi" w:hAnsiTheme="minorHAnsi" w:cstheme="minorHAnsi"/>
          <w:szCs w:val="22"/>
        </w:rPr>
        <w:t>t</w:t>
      </w:r>
      <w:r w:rsidR="00E551F2" w:rsidRPr="00100F6D">
        <w:rPr>
          <w:rFonts w:asciiTheme="minorHAnsi" w:hAnsiTheme="minorHAnsi" w:cstheme="minorHAnsi"/>
          <w:szCs w:val="22"/>
        </w:rPr>
        <w:t xml:space="preserve">oute modification du </w:t>
      </w:r>
      <w:r w:rsidR="001C7353" w:rsidRPr="00100F6D">
        <w:rPr>
          <w:rFonts w:asciiTheme="minorHAnsi" w:hAnsiTheme="minorHAnsi" w:cstheme="minorHAnsi"/>
          <w:smallCaps/>
          <w:szCs w:val="22"/>
        </w:rPr>
        <w:t xml:space="preserve">Contrat </w:t>
      </w:r>
      <w:r w:rsidR="00E551F2" w:rsidRPr="00100F6D">
        <w:rPr>
          <w:rFonts w:asciiTheme="minorHAnsi" w:hAnsiTheme="minorHAnsi" w:cstheme="minorHAnsi"/>
          <w:szCs w:val="22"/>
        </w:rPr>
        <w:t xml:space="preserve">ou toute renonciation à un droit résultant du </w:t>
      </w:r>
      <w:r w:rsidR="001C7353" w:rsidRPr="00100F6D">
        <w:rPr>
          <w:rFonts w:asciiTheme="minorHAnsi" w:hAnsiTheme="minorHAnsi" w:cstheme="minorHAnsi"/>
          <w:smallCaps/>
          <w:szCs w:val="22"/>
        </w:rPr>
        <w:t xml:space="preserve">Contrat </w:t>
      </w:r>
      <w:r w:rsidR="00E551F2" w:rsidRPr="00100F6D">
        <w:rPr>
          <w:rFonts w:asciiTheme="minorHAnsi" w:hAnsiTheme="minorHAnsi" w:cstheme="minorHAnsi"/>
          <w:szCs w:val="22"/>
        </w:rPr>
        <w:t xml:space="preserve">devra faire l'objet d'un avenant régulièrement signé par un représentant dûment habilité de chaque </w:t>
      </w:r>
      <w:r w:rsidR="001C7353" w:rsidRPr="00100F6D">
        <w:rPr>
          <w:rFonts w:asciiTheme="minorHAnsi" w:hAnsiTheme="minorHAnsi" w:cstheme="minorHAnsi"/>
          <w:smallCaps/>
          <w:szCs w:val="22"/>
        </w:rPr>
        <w:t>Partie</w:t>
      </w:r>
      <w:r w:rsidR="00E551F2" w:rsidRPr="00100F6D">
        <w:rPr>
          <w:rFonts w:asciiTheme="minorHAnsi" w:hAnsiTheme="minorHAnsi" w:cstheme="minorHAnsi"/>
          <w:szCs w:val="22"/>
        </w:rPr>
        <w:t>.</w:t>
      </w:r>
    </w:p>
    <w:p w14:paraId="77F9DB9E" w14:textId="77777777" w:rsidR="00644EB5" w:rsidRPr="00100F6D" w:rsidRDefault="00644EB5" w:rsidP="002F2D1F">
      <w:pPr>
        <w:pStyle w:val="v"/>
        <w:widowControl w:val="0"/>
        <w:spacing w:beforeLines="240" w:before="576"/>
        <w:ind w:left="556" w:firstLine="0"/>
        <w:rPr>
          <w:rFonts w:asciiTheme="minorHAnsi" w:hAnsiTheme="minorHAnsi"/>
          <w:b/>
          <w:caps/>
          <w:sz w:val="24"/>
        </w:rPr>
      </w:pPr>
      <w:r w:rsidRPr="00100F6D">
        <w:rPr>
          <w:rFonts w:asciiTheme="minorHAnsi" w:hAnsiTheme="minorHAnsi"/>
          <w:b/>
          <w:caps/>
          <w:sz w:val="24"/>
        </w:rPr>
        <w:br w:type="page"/>
      </w:r>
    </w:p>
    <w:p w14:paraId="476B3795" w14:textId="77777777" w:rsidR="001726C5" w:rsidRPr="00100F6D"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100F6D">
        <w:rPr>
          <w:rFonts w:asciiTheme="minorHAnsi" w:hAnsiTheme="minorHAnsi"/>
          <w:b/>
          <w:caps/>
          <w:sz w:val="24"/>
          <w:u w:val="single"/>
        </w:rPr>
        <w:lastRenderedPageBreak/>
        <w:t xml:space="preserve">CaractÉristiques gÉnÉrales </w:t>
      </w:r>
      <w:r w:rsidR="001726C5" w:rsidRPr="00100F6D">
        <w:rPr>
          <w:rFonts w:asciiTheme="minorHAnsi" w:hAnsiTheme="minorHAnsi"/>
          <w:b/>
          <w:caps/>
          <w:sz w:val="24"/>
          <w:u w:val="single"/>
        </w:rPr>
        <w:t>du contrat</w:t>
      </w:r>
      <w:bookmarkEnd w:id="7"/>
    </w:p>
    <w:p w14:paraId="77401A47" w14:textId="77777777" w:rsidR="00A86E43" w:rsidRPr="00100F6D" w:rsidRDefault="00204CC9" w:rsidP="0088284C">
      <w:pPr>
        <w:pStyle w:val="Titre2"/>
        <w:rPr>
          <w:rFonts w:asciiTheme="minorHAnsi" w:hAnsiTheme="minorHAnsi"/>
          <w:sz w:val="22"/>
        </w:rPr>
      </w:pPr>
      <w:bookmarkStart w:id="9" w:name="_Toc126921972"/>
      <w:r w:rsidRPr="00100F6D">
        <w:rPr>
          <w:rFonts w:asciiTheme="minorHAnsi" w:hAnsiTheme="minorHAnsi"/>
          <w:sz w:val="22"/>
        </w:rPr>
        <w:t>Forme</w:t>
      </w:r>
      <w:r w:rsidR="000A6E96" w:rsidRPr="00100F6D">
        <w:rPr>
          <w:rFonts w:asciiTheme="minorHAnsi" w:hAnsiTheme="minorHAnsi"/>
          <w:sz w:val="22"/>
        </w:rPr>
        <w:t xml:space="preserve"> du </w:t>
      </w:r>
      <w:r w:rsidR="0017191E" w:rsidRPr="00100F6D">
        <w:rPr>
          <w:rFonts w:asciiTheme="minorHAnsi" w:hAnsiTheme="minorHAnsi"/>
          <w:sz w:val="22"/>
        </w:rPr>
        <w:t>contrat</w:t>
      </w:r>
      <w:bookmarkEnd w:id="8"/>
      <w:bookmarkEnd w:id="9"/>
      <w:r w:rsidR="0056032E" w:rsidRPr="00100F6D">
        <w:rPr>
          <w:rFonts w:asciiTheme="minorHAnsi" w:hAnsiTheme="minorHAnsi"/>
          <w:sz w:val="22"/>
        </w:rPr>
        <w:t xml:space="preserve"> </w:t>
      </w:r>
    </w:p>
    <w:p w14:paraId="713D1D1C" w14:textId="77777777" w:rsidR="0088284C" w:rsidRPr="00100F6D" w:rsidRDefault="0088284C" w:rsidP="0088284C">
      <w:pPr>
        <w:rPr>
          <w:sz w:val="16"/>
        </w:rPr>
      </w:pPr>
    </w:p>
    <w:p w14:paraId="5092BD2C" w14:textId="5371B804" w:rsidR="00A246CE" w:rsidRPr="00100F6D" w:rsidRDefault="00804BED" w:rsidP="0094204C">
      <w:pPr>
        <w:pStyle w:val="u"/>
        <w:widowControl w:val="0"/>
        <w:ind w:left="567"/>
        <w:rPr>
          <w:rFonts w:asciiTheme="minorHAnsi" w:hAnsiTheme="minorHAnsi" w:cstheme="minorHAnsi"/>
          <w:szCs w:val="22"/>
        </w:rPr>
      </w:pPr>
      <w:bookmarkStart w:id="10" w:name="_Toc379270787"/>
      <w:r w:rsidRPr="00100F6D">
        <w:rPr>
          <w:rFonts w:asciiTheme="minorHAnsi" w:hAnsiTheme="minorHAnsi" w:cstheme="minorHAnsi"/>
          <w:szCs w:val="22"/>
        </w:rPr>
        <w:t xml:space="preserve">Le </w:t>
      </w:r>
      <w:r w:rsidR="00D8651A" w:rsidRPr="00100F6D">
        <w:rPr>
          <w:rFonts w:asciiTheme="minorHAnsi" w:hAnsiTheme="minorHAnsi" w:cstheme="minorHAnsi"/>
          <w:szCs w:val="22"/>
        </w:rPr>
        <w:t xml:space="preserve">présent </w:t>
      </w:r>
      <w:r w:rsidRPr="00100F6D">
        <w:rPr>
          <w:rFonts w:asciiTheme="minorHAnsi" w:hAnsiTheme="minorHAnsi" w:cstheme="minorHAnsi"/>
          <w:smallCaps/>
          <w:szCs w:val="22"/>
        </w:rPr>
        <w:t>Contrat</w:t>
      </w:r>
      <w:r w:rsidRPr="00100F6D">
        <w:rPr>
          <w:rFonts w:asciiTheme="minorHAnsi" w:hAnsiTheme="minorHAnsi" w:cstheme="minorHAnsi"/>
          <w:szCs w:val="22"/>
        </w:rPr>
        <w:t xml:space="preserve"> est </w:t>
      </w:r>
      <w:r w:rsidR="0094204C" w:rsidRPr="00100F6D">
        <w:rPr>
          <w:rFonts w:asciiTheme="minorHAnsi" w:hAnsiTheme="minorHAnsi" w:cstheme="minorHAnsi"/>
          <w:szCs w:val="22"/>
        </w:rPr>
        <w:t xml:space="preserve">marché public de </w:t>
      </w:r>
      <w:r w:rsidR="005F0451" w:rsidRPr="00100F6D">
        <w:rPr>
          <w:rFonts w:asciiTheme="minorHAnsi" w:hAnsiTheme="minorHAnsi" w:cstheme="minorHAnsi"/>
          <w:szCs w:val="22"/>
        </w:rPr>
        <w:t>services</w:t>
      </w:r>
      <w:r w:rsidR="0094204C" w:rsidRPr="00100F6D">
        <w:rPr>
          <w:rFonts w:asciiTheme="minorHAnsi" w:hAnsiTheme="minorHAnsi" w:cstheme="minorHAnsi"/>
          <w:szCs w:val="22"/>
        </w:rPr>
        <w:t xml:space="preserve"> </w:t>
      </w:r>
      <w:r w:rsidRPr="00100F6D">
        <w:rPr>
          <w:rFonts w:asciiTheme="minorHAnsi" w:hAnsiTheme="minorHAnsi" w:cstheme="minorHAnsi"/>
          <w:szCs w:val="22"/>
        </w:rPr>
        <w:t>conclu à prix global et forfaitaire</w:t>
      </w:r>
      <w:r w:rsidR="0094204C" w:rsidRPr="00100F6D">
        <w:rPr>
          <w:rFonts w:asciiTheme="minorHAnsi" w:hAnsiTheme="minorHAnsi" w:cstheme="minorHAnsi"/>
          <w:szCs w:val="22"/>
        </w:rPr>
        <w:t>.</w:t>
      </w:r>
      <w:r w:rsidR="001B6DF5" w:rsidRPr="00100F6D">
        <w:rPr>
          <w:rFonts w:asciiTheme="minorHAnsi" w:hAnsiTheme="minorHAnsi" w:cstheme="minorHAnsi"/>
          <w:szCs w:val="22"/>
        </w:rPr>
        <w:t xml:space="preserve"> </w:t>
      </w:r>
    </w:p>
    <w:p w14:paraId="32BD01F2" w14:textId="77777777" w:rsidR="000A6E96" w:rsidRPr="00100F6D"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100F6D">
        <w:rPr>
          <w:rFonts w:asciiTheme="minorHAnsi" w:hAnsiTheme="minorHAnsi"/>
          <w:sz w:val="22"/>
        </w:rPr>
        <w:t>Durée</w:t>
      </w:r>
      <w:r w:rsidR="001E4CCB" w:rsidRPr="00100F6D">
        <w:rPr>
          <w:rFonts w:asciiTheme="minorHAnsi" w:hAnsiTheme="minorHAnsi"/>
          <w:sz w:val="22"/>
        </w:rPr>
        <w:t xml:space="preserve"> </w:t>
      </w:r>
      <w:bookmarkEnd w:id="11"/>
      <w:r w:rsidR="008A0752" w:rsidRPr="00100F6D">
        <w:rPr>
          <w:rFonts w:asciiTheme="minorHAnsi" w:hAnsiTheme="minorHAnsi"/>
          <w:sz w:val="22"/>
        </w:rPr>
        <w:t>du contrat</w:t>
      </w:r>
      <w:bookmarkEnd w:id="12"/>
    </w:p>
    <w:p w14:paraId="1800724A" w14:textId="5AA18175" w:rsidR="00413542" w:rsidRPr="00100F6D" w:rsidRDefault="00413542" w:rsidP="00DF4A42">
      <w:pPr>
        <w:pStyle w:val="v"/>
        <w:widowControl w:val="0"/>
        <w:spacing w:before="120"/>
        <w:ind w:left="556" w:firstLine="0"/>
        <w:rPr>
          <w:rFonts w:asciiTheme="minorHAnsi" w:hAnsiTheme="minorHAnsi" w:cs="Arial"/>
        </w:rPr>
      </w:pPr>
      <w:r w:rsidRPr="00100F6D">
        <w:rPr>
          <w:rFonts w:asciiTheme="minorHAnsi" w:hAnsiTheme="minorHAnsi" w:cs="Arial"/>
        </w:rPr>
        <w:t xml:space="preserve">La durée du </w:t>
      </w:r>
      <w:r w:rsidRPr="00100F6D">
        <w:rPr>
          <w:rFonts w:asciiTheme="minorHAnsi" w:hAnsiTheme="minorHAnsi" w:cs="Arial"/>
          <w:smallCaps/>
        </w:rPr>
        <w:t xml:space="preserve">Contrat </w:t>
      </w:r>
      <w:r w:rsidRPr="00100F6D">
        <w:rPr>
          <w:rFonts w:asciiTheme="minorHAnsi" w:hAnsiTheme="minorHAnsi" w:cs="Arial"/>
        </w:rPr>
        <w:t>est de</w:t>
      </w:r>
      <w:r w:rsidR="008008F8" w:rsidRPr="00100F6D">
        <w:rPr>
          <w:rFonts w:asciiTheme="minorHAnsi" w:hAnsiTheme="minorHAnsi" w:cs="Arial"/>
        </w:rPr>
        <w:t xml:space="preserve"> </w:t>
      </w:r>
      <w:r w:rsidR="006C601D">
        <w:rPr>
          <w:rFonts w:asciiTheme="minorHAnsi" w:hAnsiTheme="minorHAnsi" w:cs="Arial"/>
        </w:rPr>
        <w:t>24</w:t>
      </w:r>
      <w:r w:rsidR="008008F8" w:rsidRPr="00100F6D">
        <w:rPr>
          <w:rFonts w:asciiTheme="minorHAnsi" w:hAnsiTheme="minorHAnsi" w:cs="Arial"/>
        </w:rPr>
        <w:t xml:space="preserve"> mois à compter </w:t>
      </w:r>
      <w:r w:rsidR="00DF4A42" w:rsidRPr="00100F6D">
        <w:rPr>
          <w:rFonts w:asciiTheme="minorHAnsi" w:hAnsiTheme="minorHAnsi" w:cs="Arial"/>
        </w:rPr>
        <w:t xml:space="preserve">de sa date de notification au </w:t>
      </w:r>
      <w:r w:rsidR="00DF4A42" w:rsidRPr="00100F6D">
        <w:rPr>
          <w:rFonts w:asciiTheme="minorHAnsi" w:hAnsiTheme="minorHAnsi" w:cs="Arial"/>
          <w:smallCaps/>
        </w:rPr>
        <w:t>Contractant</w:t>
      </w:r>
      <w:r w:rsidR="00DF4A42" w:rsidRPr="00100F6D">
        <w:rPr>
          <w:rFonts w:asciiTheme="minorHAnsi" w:hAnsiTheme="minorHAnsi" w:cs="Arial"/>
        </w:rPr>
        <w:t xml:space="preserve"> par </w:t>
      </w:r>
      <w:r w:rsidR="00DF4A42" w:rsidRPr="00100F6D">
        <w:rPr>
          <w:rFonts w:asciiTheme="minorHAnsi" w:hAnsiTheme="minorHAnsi" w:cs="Arial"/>
          <w:smallCaps/>
        </w:rPr>
        <w:t>Expertise France</w:t>
      </w:r>
      <w:r w:rsidR="00DF4A42" w:rsidRPr="00100F6D">
        <w:rPr>
          <w:rFonts w:asciiTheme="minorHAnsi" w:hAnsiTheme="minorHAnsi" w:cs="Arial"/>
        </w:rPr>
        <w:t>.</w:t>
      </w:r>
    </w:p>
    <w:p w14:paraId="642D3E66" w14:textId="77777777" w:rsidR="00413542" w:rsidRPr="00100F6D" w:rsidRDefault="00413542" w:rsidP="00413542">
      <w:pPr>
        <w:pStyle w:val="v"/>
        <w:widowControl w:val="0"/>
        <w:spacing w:before="120"/>
        <w:ind w:left="556" w:firstLine="0"/>
        <w:rPr>
          <w:rFonts w:asciiTheme="minorHAnsi" w:hAnsiTheme="minorHAnsi" w:cs="Arial"/>
        </w:rPr>
      </w:pPr>
      <w:r w:rsidRPr="00100F6D">
        <w:rPr>
          <w:rFonts w:asciiTheme="minorHAnsi" w:hAnsiTheme="minorHAnsi" w:cs="Arial"/>
        </w:rPr>
        <w:t xml:space="preserve">Le </w:t>
      </w:r>
      <w:r w:rsidRPr="00100F6D">
        <w:rPr>
          <w:rFonts w:asciiTheme="minorHAnsi" w:hAnsiTheme="minorHAnsi" w:cs="Arial"/>
          <w:smallCaps/>
        </w:rPr>
        <w:t xml:space="preserve">Contrat </w:t>
      </w:r>
      <w:r w:rsidRPr="00100F6D">
        <w:rPr>
          <w:rFonts w:asciiTheme="minorHAnsi" w:hAnsiTheme="minorHAnsi" w:cs="Arial"/>
        </w:rPr>
        <w:t xml:space="preserve">prendra fin après parfaite et totale exécution des prestations du </w:t>
      </w:r>
      <w:r w:rsidR="00AA21AB" w:rsidRPr="00100F6D">
        <w:rPr>
          <w:rFonts w:asciiTheme="minorHAnsi" w:hAnsiTheme="minorHAnsi" w:cs="Arial"/>
          <w:smallCaps/>
        </w:rPr>
        <w:t>Contractant</w:t>
      </w:r>
      <w:r w:rsidRPr="00100F6D">
        <w:rPr>
          <w:rFonts w:asciiTheme="minorHAnsi" w:hAnsiTheme="minorHAnsi" w:cs="Arial"/>
        </w:rPr>
        <w:t xml:space="preserve"> et extinction des droits et obligations de chaque partie découlant du </w:t>
      </w:r>
      <w:r w:rsidRPr="00100F6D">
        <w:rPr>
          <w:rFonts w:asciiTheme="minorHAnsi" w:hAnsiTheme="minorHAnsi" w:cs="Arial"/>
          <w:smallCaps/>
        </w:rPr>
        <w:t>Contrat</w:t>
      </w:r>
      <w:r w:rsidRPr="00100F6D">
        <w:rPr>
          <w:rFonts w:asciiTheme="minorHAnsi" w:hAnsiTheme="minorHAnsi" w:cs="Arial"/>
        </w:rPr>
        <w:t xml:space="preserve">. Si tout ou partie des prestations ne sont pas réalisées dans le délai imparti, le </w:t>
      </w:r>
      <w:r w:rsidR="00AA21AB" w:rsidRPr="00100F6D">
        <w:rPr>
          <w:rFonts w:asciiTheme="minorHAnsi" w:hAnsiTheme="minorHAnsi" w:cs="Arial"/>
          <w:smallCaps/>
        </w:rPr>
        <w:t>Contractant</w:t>
      </w:r>
      <w:r w:rsidRPr="00100F6D">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850629F" w:rsidR="001E12A9" w:rsidRPr="00100F6D" w:rsidRDefault="001E12A9" w:rsidP="0094204C">
      <w:pPr>
        <w:pStyle w:val="Titre2"/>
        <w:spacing w:before="120" w:after="60"/>
        <w:rPr>
          <w:rFonts w:asciiTheme="minorHAnsi" w:hAnsiTheme="minorHAnsi"/>
          <w:sz w:val="22"/>
        </w:rPr>
      </w:pPr>
      <w:bookmarkStart w:id="13" w:name="_Toc126921974"/>
      <w:r w:rsidRPr="00100F6D">
        <w:rPr>
          <w:rFonts w:asciiTheme="minorHAnsi" w:hAnsiTheme="minorHAnsi"/>
          <w:sz w:val="22"/>
        </w:rPr>
        <w:t>D</w:t>
      </w:r>
      <w:r w:rsidR="003B5A58" w:rsidRPr="00100F6D">
        <w:rPr>
          <w:rFonts w:asciiTheme="minorHAnsi" w:hAnsiTheme="minorHAnsi"/>
          <w:sz w:val="22"/>
        </w:rPr>
        <w:t>éclenchement et d</w:t>
      </w:r>
      <w:r w:rsidRPr="00100F6D">
        <w:rPr>
          <w:rFonts w:asciiTheme="minorHAnsi" w:hAnsiTheme="minorHAnsi"/>
          <w:sz w:val="22"/>
        </w:rPr>
        <w:t>élai d’exécution</w:t>
      </w:r>
      <w:r w:rsidR="003B5A58" w:rsidRPr="00100F6D">
        <w:rPr>
          <w:rFonts w:asciiTheme="minorHAnsi" w:hAnsiTheme="minorHAnsi"/>
          <w:sz w:val="22"/>
        </w:rPr>
        <w:t xml:space="preserve"> des prestations</w:t>
      </w:r>
      <w:bookmarkEnd w:id="13"/>
    </w:p>
    <w:p w14:paraId="48DFE8F3" w14:textId="699A1EFE" w:rsidR="001E12A9" w:rsidRPr="00100F6D" w:rsidRDefault="001E12A9" w:rsidP="00BC28CB">
      <w:pPr>
        <w:pStyle w:val="v"/>
        <w:widowControl w:val="0"/>
        <w:spacing w:before="120"/>
        <w:ind w:left="556" w:firstLine="0"/>
        <w:rPr>
          <w:rFonts w:asciiTheme="minorHAnsi" w:hAnsiTheme="minorHAnsi" w:cs="Arial"/>
        </w:rPr>
      </w:pPr>
      <w:r w:rsidRPr="00100F6D">
        <w:rPr>
          <w:rFonts w:asciiTheme="minorHAnsi" w:hAnsiTheme="minorHAnsi" w:cs="Arial"/>
        </w:rPr>
        <w:t>Le délai d’exécution des prestations</w:t>
      </w:r>
      <w:r w:rsidR="0094204C" w:rsidRPr="00100F6D">
        <w:rPr>
          <w:rFonts w:asciiTheme="minorHAnsi" w:hAnsiTheme="minorHAnsi" w:cs="Arial"/>
        </w:rPr>
        <w:t xml:space="preserve"> </w:t>
      </w:r>
      <w:r w:rsidR="003D00B0" w:rsidRPr="00100F6D">
        <w:rPr>
          <w:rFonts w:asciiTheme="minorHAnsi" w:hAnsiTheme="minorHAnsi" w:cs="Arial"/>
        </w:rPr>
        <w:t>attend</w:t>
      </w:r>
      <w:r w:rsidR="00E326F3" w:rsidRPr="00100F6D">
        <w:rPr>
          <w:rFonts w:asciiTheme="minorHAnsi" w:hAnsiTheme="minorHAnsi" w:cs="Arial"/>
        </w:rPr>
        <w:t xml:space="preserve">ues au titre du présent </w:t>
      </w:r>
      <w:r w:rsidR="005E4E1E" w:rsidRPr="00100F6D">
        <w:rPr>
          <w:rFonts w:asciiTheme="minorHAnsi" w:hAnsiTheme="minorHAnsi" w:cs="Arial"/>
          <w:smallCaps/>
        </w:rPr>
        <w:t>Contrat</w:t>
      </w:r>
      <w:r w:rsidR="00E326F3" w:rsidRPr="00100F6D">
        <w:rPr>
          <w:rFonts w:asciiTheme="minorHAnsi" w:hAnsiTheme="minorHAnsi" w:cs="Arial"/>
        </w:rPr>
        <w:t xml:space="preserve"> </w:t>
      </w:r>
      <w:r w:rsidR="00B30BC2" w:rsidRPr="00100F6D">
        <w:rPr>
          <w:rFonts w:asciiTheme="minorHAnsi" w:hAnsiTheme="minorHAnsi" w:cs="Arial"/>
        </w:rPr>
        <w:t xml:space="preserve">est fixé </w:t>
      </w:r>
      <w:r w:rsidR="00BC28CB" w:rsidRPr="00100F6D">
        <w:rPr>
          <w:rFonts w:asciiTheme="minorHAnsi" w:hAnsiTheme="minorHAnsi" w:cs="Arial"/>
        </w:rPr>
        <w:t>au tableau des livrables.</w:t>
      </w:r>
    </w:p>
    <w:p w14:paraId="50F89D80" w14:textId="77777777" w:rsidR="00E326F3" w:rsidRPr="00100F6D" w:rsidRDefault="00E326F3" w:rsidP="00E326F3">
      <w:pPr>
        <w:pStyle w:val="v"/>
        <w:widowControl w:val="0"/>
        <w:spacing w:before="120"/>
        <w:ind w:left="556" w:firstLine="0"/>
        <w:rPr>
          <w:rFonts w:asciiTheme="minorHAnsi" w:hAnsiTheme="minorHAnsi" w:cs="Arial"/>
        </w:rPr>
      </w:pPr>
      <w:r w:rsidRPr="00100F6D">
        <w:rPr>
          <w:rFonts w:asciiTheme="minorHAnsi" w:hAnsiTheme="minorHAnsi" w:cs="Arial"/>
        </w:rPr>
        <w:t>Si tout ou partie des</w:t>
      </w:r>
      <w:r w:rsidR="00C84056" w:rsidRPr="00100F6D">
        <w:rPr>
          <w:rFonts w:asciiTheme="minorHAnsi" w:hAnsiTheme="minorHAnsi" w:cs="Arial"/>
        </w:rPr>
        <w:t xml:space="preserve"> prestations </w:t>
      </w:r>
      <w:r w:rsidRPr="00100F6D">
        <w:rPr>
          <w:rFonts w:asciiTheme="minorHAnsi" w:hAnsiTheme="minorHAnsi" w:cs="Arial"/>
        </w:rPr>
        <w:t xml:space="preserve">ne sont pas réalisées dans les délais prévus, le </w:t>
      </w:r>
      <w:r w:rsidR="00AA21AB" w:rsidRPr="00100F6D">
        <w:rPr>
          <w:rFonts w:asciiTheme="minorHAnsi" w:hAnsiTheme="minorHAnsi" w:cs="Arial"/>
          <w:smallCaps/>
        </w:rPr>
        <w:t>Contractant</w:t>
      </w:r>
      <w:r w:rsidRPr="00100F6D">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100F6D" w:rsidRDefault="003A4792" w:rsidP="006B6C1B">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100F6D">
        <w:rPr>
          <w:rFonts w:asciiTheme="minorHAnsi" w:hAnsiTheme="minorHAnsi"/>
          <w:b/>
          <w:caps/>
          <w:sz w:val="24"/>
          <w:u w:val="single"/>
        </w:rPr>
        <w:t xml:space="preserve">Dispositions </w:t>
      </w:r>
      <w:r w:rsidR="00A362B6" w:rsidRPr="00100F6D">
        <w:rPr>
          <w:rFonts w:asciiTheme="minorHAnsi" w:hAnsiTheme="minorHAnsi"/>
          <w:b/>
          <w:caps/>
          <w:sz w:val="24"/>
          <w:u w:val="single"/>
        </w:rPr>
        <w:t>financiÈres</w:t>
      </w:r>
      <w:bookmarkEnd w:id="14"/>
    </w:p>
    <w:p w14:paraId="45132ED0" w14:textId="77777777" w:rsidR="00E849ED" w:rsidRPr="00100F6D"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100F6D">
        <w:rPr>
          <w:rFonts w:asciiTheme="minorHAnsi" w:hAnsiTheme="minorHAnsi"/>
          <w:sz w:val="22"/>
        </w:rPr>
        <w:t>Montant du contrat</w:t>
      </w:r>
      <w:bookmarkEnd w:id="15"/>
      <w:bookmarkEnd w:id="16"/>
      <w:bookmarkEnd w:id="17"/>
    </w:p>
    <w:p w14:paraId="0BF7BD6E" w14:textId="52C8EFC4" w:rsidR="00123D1A" w:rsidRPr="00100F6D"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100F6D">
        <w:rPr>
          <w:rFonts w:asciiTheme="minorHAnsi" w:hAnsiTheme="minorHAnsi" w:cstheme="minorHAnsi"/>
          <w:szCs w:val="22"/>
        </w:rPr>
        <w:t xml:space="preserve">Le montant du </w:t>
      </w:r>
      <w:r w:rsidRPr="00100F6D">
        <w:rPr>
          <w:rFonts w:asciiTheme="minorHAnsi" w:hAnsiTheme="minorHAnsi" w:cstheme="minorHAnsi"/>
          <w:smallCaps/>
          <w:szCs w:val="22"/>
        </w:rPr>
        <w:t xml:space="preserve">Contrat </w:t>
      </w:r>
      <w:r w:rsidRPr="00100F6D">
        <w:rPr>
          <w:rFonts w:asciiTheme="minorHAnsi" w:hAnsiTheme="minorHAnsi" w:cstheme="minorHAnsi"/>
          <w:szCs w:val="22"/>
        </w:rPr>
        <w:t>s’élève à : Indiquer montant € HT</w:t>
      </w:r>
      <w:r w:rsidR="00F6667B" w:rsidRPr="00100F6D">
        <w:rPr>
          <w:rFonts w:asciiTheme="minorHAnsi" w:hAnsiTheme="minorHAnsi" w:cstheme="minorHAnsi"/>
          <w:szCs w:val="22"/>
        </w:rPr>
        <w:t xml:space="preserve"> ou TND</w:t>
      </w:r>
      <w:r w:rsidRPr="00100F6D">
        <w:rPr>
          <w:rFonts w:asciiTheme="minorHAnsi" w:hAnsiTheme="minorHAnsi" w:cstheme="minorHAnsi"/>
          <w:szCs w:val="22"/>
        </w:rPr>
        <w:t xml:space="preserve"> (hors taxe).</w:t>
      </w:r>
    </w:p>
    <w:p w14:paraId="3A2ACC99" w14:textId="7C27908F" w:rsidR="00123D1A" w:rsidRPr="00100F6D" w:rsidRDefault="00123D1A" w:rsidP="00341BDA">
      <w:pPr>
        <w:pStyle w:val="u"/>
        <w:widowControl w:val="0"/>
        <w:numPr>
          <w:ilvl w:val="12"/>
          <w:numId w:val="0"/>
        </w:numPr>
        <w:spacing w:after="120"/>
        <w:ind w:left="561"/>
        <w:jc w:val="left"/>
        <w:rPr>
          <w:rFonts w:asciiTheme="minorHAnsi" w:hAnsiTheme="minorHAnsi" w:cstheme="minorHAnsi"/>
          <w:szCs w:val="22"/>
        </w:rPr>
      </w:pPr>
      <w:r w:rsidRPr="00100F6D">
        <w:rPr>
          <w:rFonts w:asciiTheme="minorHAnsi" w:hAnsiTheme="minorHAnsi" w:cstheme="minorHAnsi"/>
          <w:szCs w:val="22"/>
        </w:rPr>
        <w:t xml:space="preserve">Ce montant correspond au prix </w:t>
      </w:r>
      <w:r w:rsidR="002B2974" w:rsidRPr="00100F6D">
        <w:rPr>
          <w:rFonts w:asciiTheme="minorHAnsi" w:hAnsiTheme="minorHAnsi" w:cstheme="minorHAnsi"/>
          <w:szCs w:val="22"/>
        </w:rPr>
        <w:t xml:space="preserve">global et </w:t>
      </w:r>
      <w:r w:rsidRPr="00100F6D">
        <w:rPr>
          <w:rFonts w:asciiTheme="minorHAnsi" w:hAnsiTheme="minorHAnsi" w:cstheme="minorHAnsi"/>
          <w:szCs w:val="22"/>
        </w:rPr>
        <w:t>forfaitaire du contrat qu’</w:t>
      </w:r>
      <w:r w:rsidR="00CE73DB" w:rsidRPr="00100F6D">
        <w:rPr>
          <w:rFonts w:asciiTheme="minorHAnsi" w:hAnsiTheme="minorHAnsi" w:cstheme="minorHAnsi"/>
          <w:smallCaps/>
          <w:szCs w:val="22"/>
        </w:rPr>
        <w:t>Expertise France</w:t>
      </w:r>
      <w:r w:rsidRPr="00100F6D">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341BDA" w:rsidRPr="00100F6D">
        <w:rPr>
          <w:rFonts w:asciiTheme="minorHAnsi" w:hAnsiTheme="minorHAnsi" w:cstheme="minorHAnsi"/>
          <w:szCs w:val="22"/>
        </w:rPr>
        <w:t xml:space="preserve"> </w:t>
      </w:r>
    </w:p>
    <w:p w14:paraId="3D0E8AFB" w14:textId="77777777" w:rsidR="000A6D39" w:rsidRPr="00100F6D" w:rsidRDefault="000A6D39" w:rsidP="000A6D39">
      <w:pPr>
        <w:pStyle w:val="Titre2"/>
        <w:spacing w:before="120" w:after="60"/>
        <w:rPr>
          <w:rFonts w:asciiTheme="minorHAnsi" w:hAnsiTheme="minorHAnsi"/>
          <w:sz w:val="22"/>
        </w:rPr>
      </w:pPr>
      <w:bookmarkStart w:id="18" w:name="_Toc126921979"/>
      <w:bookmarkStart w:id="19" w:name="_Toc392669637"/>
      <w:r w:rsidRPr="00100F6D">
        <w:rPr>
          <w:rFonts w:asciiTheme="minorHAnsi" w:hAnsiTheme="minorHAnsi"/>
          <w:sz w:val="22"/>
        </w:rPr>
        <w:t>Forme des prix</w:t>
      </w:r>
      <w:bookmarkEnd w:id="18"/>
    </w:p>
    <w:p w14:paraId="71F68E4E" w14:textId="77777777" w:rsidR="000A6D39" w:rsidRPr="00100F6D" w:rsidRDefault="000A6D39" w:rsidP="00D830F2">
      <w:pPr>
        <w:pStyle w:val="u"/>
        <w:widowControl w:val="0"/>
        <w:numPr>
          <w:ilvl w:val="12"/>
          <w:numId w:val="0"/>
        </w:numPr>
        <w:spacing w:after="120"/>
        <w:ind w:left="561"/>
        <w:jc w:val="left"/>
        <w:rPr>
          <w:rFonts w:asciiTheme="minorHAnsi" w:hAnsiTheme="minorHAnsi" w:cstheme="minorHAnsi"/>
          <w:szCs w:val="22"/>
        </w:rPr>
      </w:pPr>
      <w:r w:rsidRPr="00100F6D">
        <w:rPr>
          <w:rFonts w:asciiTheme="minorHAnsi" w:hAnsiTheme="minorHAnsi" w:cstheme="minorHAnsi"/>
          <w:szCs w:val="22"/>
        </w:rPr>
        <w:t>Les prix sont</w:t>
      </w:r>
      <w:r w:rsidR="00064FD8" w:rsidRPr="00100F6D">
        <w:rPr>
          <w:rFonts w:asciiTheme="minorHAnsi" w:hAnsiTheme="minorHAnsi" w:cstheme="minorHAnsi"/>
          <w:szCs w:val="22"/>
        </w:rPr>
        <w:t xml:space="preserve"> réputés</w:t>
      </w:r>
      <w:r w:rsidRPr="00100F6D">
        <w:rPr>
          <w:rFonts w:asciiTheme="minorHAnsi" w:hAnsiTheme="minorHAnsi" w:cstheme="minorHAnsi"/>
          <w:szCs w:val="22"/>
        </w:rPr>
        <w:t xml:space="preserve"> fermes</w:t>
      </w:r>
      <w:r w:rsidR="00064FD8" w:rsidRPr="00100F6D">
        <w:rPr>
          <w:rFonts w:asciiTheme="minorHAnsi" w:hAnsiTheme="minorHAnsi" w:cstheme="minorHAnsi"/>
          <w:szCs w:val="22"/>
        </w:rPr>
        <w:t xml:space="preserve"> et</w:t>
      </w:r>
      <w:r w:rsidR="00853098" w:rsidRPr="00100F6D">
        <w:rPr>
          <w:rFonts w:asciiTheme="minorHAnsi" w:hAnsiTheme="minorHAnsi" w:cstheme="minorHAnsi"/>
          <w:szCs w:val="22"/>
        </w:rPr>
        <w:t xml:space="preserve"> </w:t>
      </w:r>
      <w:r w:rsidRPr="00100F6D">
        <w:rPr>
          <w:rFonts w:asciiTheme="minorHAnsi" w:hAnsiTheme="minorHAnsi" w:cstheme="minorHAnsi"/>
          <w:szCs w:val="22"/>
        </w:rPr>
        <w:t>non-actualisables</w:t>
      </w:r>
      <w:r w:rsidR="00853098" w:rsidRPr="00100F6D">
        <w:rPr>
          <w:rFonts w:asciiTheme="minorHAnsi" w:hAnsiTheme="minorHAnsi" w:cstheme="minorHAnsi"/>
          <w:szCs w:val="22"/>
        </w:rPr>
        <w:t xml:space="preserve"> </w:t>
      </w:r>
    </w:p>
    <w:p w14:paraId="1ABE3F59" w14:textId="77777777" w:rsidR="000A6D39" w:rsidRPr="00100F6D" w:rsidRDefault="000A6D39" w:rsidP="000A6D39">
      <w:pPr>
        <w:pStyle w:val="Titre2"/>
        <w:spacing w:before="120" w:after="60"/>
        <w:rPr>
          <w:rFonts w:asciiTheme="minorHAnsi" w:hAnsiTheme="minorHAnsi"/>
          <w:sz w:val="22"/>
        </w:rPr>
      </w:pPr>
      <w:bookmarkStart w:id="20" w:name="_Toc126921980"/>
      <w:r w:rsidRPr="00100F6D">
        <w:rPr>
          <w:rFonts w:asciiTheme="minorHAnsi" w:hAnsiTheme="minorHAnsi"/>
          <w:sz w:val="22"/>
        </w:rPr>
        <w:t>Avance</w:t>
      </w:r>
      <w:bookmarkEnd w:id="20"/>
    </w:p>
    <w:p w14:paraId="2F6D118C" w14:textId="77777777" w:rsidR="00AA21AB" w:rsidRPr="00100F6D" w:rsidRDefault="003231C9" w:rsidP="00D830F2">
      <w:pPr>
        <w:pStyle w:val="u"/>
        <w:widowControl w:val="0"/>
        <w:numPr>
          <w:ilvl w:val="12"/>
          <w:numId w:val="0"/>
        </w:numPr>
        <w:spacing w:after="120"/>
        <w:ind w:left="561"/>
        <w:jc w:val="left"/>
        <w:rPr>
          <w:rFonts w:asciiTheme="minorHAnsi" w:hAnsiTheme="minorHAnsi" w:cstheme="minorHAnsi"/>
          <w:szCs w:val="22"/>
        </w:rPr>
      </w:pPr>
      <w:r w:rsidRPr="00100F6D">
        <w:rPr>
          <w:rFonts w:asciiTheme="minorHAnsi" w:hAnsiTheme="minorHAnsi" w:cstheme="minorHAnsi"/>
          <w:szCs w:val="22"/>
        </w:rPr>
        <w:t>Aucune avance ne sera accordée.</w:t>
      </w:r>
    </w:p>
    <w:p w14:paraId="0646EE39" w14:textId="77777777" w:rsidR="002712EA" w:rsidRPr="00100F6D" w:rsidRDefault="002712EA" w:rsidP="002712EA">
      <w:pPr>
        <w:pStyle w:val="Titre2"/>
        <w:spacing w:before="120" w:after="60"/>
        <w:rPr>
          <w:rFonts w:asciiTheme="minorHAnsi" w:hAnsiTheme="minorHAnsi"/>
          <w:sz w:val="22"/>
        </w:rPr>
      </w:pPr>
      <w:bookmarkStart w:id="21" w:name="_Toc126921981"/>
      <w:r w:rsidRPr="00100F6D">
        <w:rPr>
          <w:rFonts w:asciiTheme="minorHAnsi" w:hAnsiTheme="minorHAnsi"/>
          <w:sz w:val="22"/>
        </w:rPr>
        <w:t>Modalités de paiement</w:t>
      </w:r>
      <w:bookmarkEnd w:id="21"/>
    </w:p>
    <w:p w14:paraId="3772F799" w14:textId="77777777" w:rsidR="006C601D" w:rsidRPr="00A86E43" w:rsidRDefault="006C601D" w:rsidP="006C601D">
      <w:pPr>
        <w:pStyle w:val="u"/>
        <w:widowControl w:val="0"/>
        <w:numPr>
          <w:ilvl w:val="0"/>
          <w:numId w:val="19"/>
        </w:numPr>
        <w:ind w:left="567" w:hanging="283"/>
        <w:rPr>
          <w:rFonts w:asciiTheme="minorHAnsi" w:hAnsiTheme="minorHAnsi" w:cs="Arial"/>
          <w:b/>
        </w:rPr>
      </w:pPr>
      <w:r w:rsidRPr="00A86E43">
        <w:rPr>
          <w:rFonts w:asciiTheme="minorHAnsi" w:hAnsiTheme="minorHAnsi" w:cs="Arial"/>
          <w:b/>
        </w:rPr>
        <w:t>Acomptes</w:t>
      </w:r>
    </w:p>
    <w:p w14:paraId="50916AD1" w14:textId="77777777" w:rsidR="006C601D" w:rsidRPr="00A86E43" w:rsidRDefault="006C601D" w:rsidP="006C601D">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des prestations effectuées par le </w:t>
      </w:r>
      <w:r w:rsidRPr="003A0706">
        <w:rPr>
          <w:rFonts w:asciiTheme="minorHAnsi" w:hAnsiTheme="minorHAnsi" w:cs="Arial"/>
          <w:smallCaps/>
          <w:szCs w:val="22"/>
        </w:rPr>
        <w:t>Contractant</w:t>
      </w:r>
      <w:r w:rsidRPr="00A86E43">
        <w:rPr>
          <w:rFonts w:asciiTheme="minorHAnsi" w:hAnsiTheme="minorHAnsi" w:cs="Arial"/>
          <w:szCs w:val="22"/>
        </w:rPr>
        <w:t xml:space="preserve"> et validées par </w:t>
      </w:r>
      <w:r w:rsidRPr="00CE73DB">
        <w:rPr>
          <w:rFonts w:asciiTheme="minorHAnsi" w:hAnsiTheme="minorHAnsi" w:cs="Arial"/>
          <w:smallCaps/>
          <w:szCs w:val="22"/>
        </w:rPr>
        <w:t>Expertise France</w:t>
      </w:r>
      <w:r w:rsidRPr="00A86E43">
        <w:rPr>
          <w:rFonts w:asciiTheme="minorHAnsi" w:hAnsiTheme="minorHAnsi" w:cs="Arial"/>
          <w:szCs w:val="22"/>
        </w:rPr>
        <w:t>.</w:t>
      </w:r>
    </w:p>
    <w:p w14:paraId="75BBC3A4" w14:textId="77777777" w:rsidR="006C601D" w:rsidRPr="00A86E43" w:rsidRDefault="006C601D" w:rsidP="006C601D">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Pr="003A0706">
        <w:rPr>
          <w:rFonts w:asciiTheme="minorHAnsi" w:hAnsiTheme="minorHAnsi" w:cs="Arial"/>
          <w:smallCaps/>
          <w:szCs w:val="22"/>
        </w:rPr>
        <w:lastRenderedPageBreak/>
        <w:t>Contractant</w:t>
      </w:r>
      <w:r w:rsidRPr="00A86E43">
        <w:rPr>
          <w:rFonts w:asciiTheme="minorHAnsi" w:hAnsiTheme="minorHAnsi" w:cs="Arial"/>
          <w:szCs w:val="22"/>
        </w:rPr>
        <w:t>.</w:t>
      </w:r>
    </w:p>
    <w:p w14:paraId="3F4D641D" w14:textId="7938A6B4" w:rsidR="006C601D" w:rsidRPr="00A86E43" w:rsidRDefault="006C601D" w:rsidP="006C601D">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Pr>
          <w:rFonts w:asciiTheme="minorHAnsi" w:hAnsiTheme="minorHAnsi" w:cs="Arial"/>
          <w:szCs w:val="22"/>
        </w:rPr>
        <w:t xml:space="preserve"> </w:t>
      </w:r>
      <w:r w:rsidRPr="00A86E43">
        <w:rPr>
          <w:rFonts w:asciiTheme="minorHAnsi" w:hAnsiTheme="minorHAnsi" w:cs="Arial"/>
          <w:szCs w:val="22"/>
        </w:rPr>
        <w:t>du post considér</w:t>
      </w:r>
      <w:r>
        <w:rPr>
          <w:rFonts w:asciiTheme="minorHAnsi" w:hAnsiTheme="minorHAnsi" w:cs="Arial"/>
          <w:szCs w:val="22"/>
        </w:rPr>
        <w:t>é</w:t>
      </w:r>
      <w:r w:rsidRPr="00A86E43">
        <w:rPr>
          <w:rFonts w:asciiTheme="minorHAnsi" w:hAnsiTheme="minorHAnsi" w:cs="Arial"/>
          <w:szCs w:val="22"/>
        </w:rPr>
        <w:t>.</w:t>
      </w:r>
    </w:p>
    <w:p w14:paraId="170677FE" w14:textId="77777777" w:rsidR="006C601D" w:rsidRPr="00A86E43" w:rsidRDefault="006C601D" w:rsidP="006C601D">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100F6D" w:rsidRDefault="00D66452" w:rsidP="00A86E43">
      <w:pPr>
        <w:pStyle w:val="u"/>
        <w:widowControl w:val="0"/>
        <w:ind w:left="0"/>
        <w:rPr>
          <w:rFonts w:asciiTheme="minorHAnsi" w:hAnsiTheme="minorHAnsi" w:cs="Arial"/>
          <w:b/>
          <w:sz w:val="16"/>
        </w:rPr>
      </w:pPr>
    </w:p>
    <w:p w14:paraId="0E5F4C1E" w14:textId="77777777" w:rsidR="00E637E0" w:rsidRPr="00100F6D" w:rsidRDefault="00E637E0" w:rsidP="006B6C1B">
      <w:pPr>
        <w:pStyle w:val="u"/>
        <w:widowControl w:val="0"/>
        <w:numPr>
          <w:ilvl w:val="0"/>
          <w:numId w:val="19"/>
        </w:numPr>
        <w:ind w:left="567" w:hanging="283"/>
        <w:rPr>
          <w:rFonts w:asciiTheme="minorHAnsi" w:hAnsiTheme="minorHAnsi" w:cs="Arial"/>
          <w:b/>
        </w:rPr>
      </w:pPr>
      <w:r w:rsidRPr="00100F6D">
        <w:rPr>
          <w:rFonts w:asciiTheme="minorHAnsi" w:hAnsiTheme="minorHAnsi" w:cs="Arial"/>
          <w:b/>
        </w:rPr>
        <w:t>Paiement</w:t>
      </w:r>
      <w:r w:rsidR="009B5F91" w:rsidRPr="00100F6D">
        <w:rPr>
          <w:rFonts w:asciiTheme="minorHAnsi" w:hAnsiTheme="minorHAnsi" w:cs="Arial"/>
          <w:b/>
        </w:rPr>
        <w:t>s</w:t>
      </w:r>
      <w:r w:rsidRPr="00100F6D">
        <w:rPr>
          <w:rFonts w:asciiTheme="minorHAnsi" w:hAnsiTheme="minorHAnsi" w:cs="Arial"/>
          <w:b/>
        </w:rPr>
        <w:t xml:space="preserve"> partiels définitifs</w:t>
      </w:r>
      <w:r w:rsidR="00C650D5" w:rsidRPr="00100F6D">
        <w:rPr>
          <w:rFonts w:asciiTheme="minorHAnsi" w:hAnsiTheme="minorHAnsi" w:cs="Arial"/>
          <w:b/>
        </w:rPr>
        <w:t>/solde</w:t>
      </w:r>
    </w:p>
    <w:p w14:paraId="78F7C4A1" w14:textId="77777777" w:rsidR="007B473C" w:rsidRPr="00100F6D" w:rsidRDefault="00E637E0"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 xml:space="preserve">Chaque </w:t>
      </w:r>
      <w:r w:rsidR="007B473C" w:rsidRPr="00100F6D">
        <w:rPr>
          <w:rFonts w:asciiTheme="minorHAnsi" w:hAnsiTheme="minorHAnsi" w:cs="Arial"/>
        </w:rPr>
        <w:t xml:space="preserve">poste et chaque </w:t>
      </w:r>
      <w:r w:rsidRPr="00100F6D">
        <w:rPr>
          <w:rFonts w:asciiTheme="minorHAnsi" w:hAnsiTheme="minorHAnsi" w:cs="Arial"/>
        </w:rPr>
        <w:t xml:space="preserve">bon de commande donne lieu à un paiement partiel définitif </w:t>
      </w:r>
      <w:r w:rsidR="00C650D5" w:rsidRPr="00100F6D">
        <w:rPr>
          <w:rFonts w:asciiTheme="minorHAnsi" w:hAnsiTheme="minorHAnsi" w:cs="Arial"/>
        </w:rPr>
        <w:t xml:space="preserve">correspondant au solde, </w:t>
      </w:r>
      <w:r w:rsidRPr="00100F6D">
        <w:rPr>
          <w:rFonts w:asciiTheme="minorHAnsi" w:hAnsiTheme="minorHAnsi" w:cs="Arial"/>
        </w:rPr>
        <w:t>effectué après réception et validation finale de l’ensemble d</w:t>
      </w:r>
      <w:r w:rsidR="007B473C" w:rsidRPr="00100F6D">
        <w:rPr>
          <w:rFonts w:asciiTheme="minorHAnsi" w:hAnsiTheme="minorHAnsi" w:cs="Arial"/>
        </w:rPr>
        <w:t xml:space="preserve">es prestations </w:t>
      </w:r>
      <w:r w:rsidR="004441AD" w:rsidRPr="00100F6D">
        <w:rPr>
          <w:rFonts w:asciiTheme="minorHAnsi" w:hAnsiTheme="minorHAnsi" w:cs="Arial"/>
        </w:rPr>
        <w:t xml:space="preserve">et fournitures </w:t>
      </w:r>
      <w:r w:rsidR="007B473C" w:rsidRPr="00100F6D">
        <w:rPr>
          <w:rFonts w:asciiTheme="minorHAnsi" w:hAnsiTheme="minorHAnsi" w:cs="Arial"/>
        </w:rPr>
        <w:t>correspondantes.</w:t>
      </w:r>
    </w:p>
    <w:p w14:paraId="543F5B5C" w14:textId="77777777" w:rsidR="002712EA" w:rsidRPr="00100F6D" w:rsidRDefault="002712EA" w:rsidP="00A1761D">
      <w:pPr>
        <w:pStyle w:val="Titre2"/>
        <w:spacing w:before="120" w:after="60"/>
        <w:jc w:val="both"/>
        <w:rPr>
          <w:rFonts w:asciiTheme="minorHAnsi" w:hAnsiTheme="minorHAnsi"/>
          <w:sz w:val="22"/>
        </w:rPr>
      </w:pPr>
      <w:bookmarkStart w:id="22" w:name="_Toc126921982"/>
      <w:r w:rsidRPr="00100F6D">
        <w:rPr>
          <w:rFonts w:asciiTheme="minorHAnsi" w:hAnsiTheme="minorHAnsi"/>
          <w:sz w:val="22"/>
        </w:rPr>
        <w:t>Délais de paiement</w:t>
      </w:r>
      <w:r w:rsidR="00EA1301" w:rsidRPr="00100F6D">
        <w:rPr>
          <w:rFonts w:asciiTheme="minorHAnsi" w:hAnsiTheme="minorHAnsi"/>
          <w:sz w:val="22"/>
        </w:rPr>
        <w:t xml:space="preserve"> et intérêts moratoires</w:t>
      </w:r>
      <w:bookmarkEnd w:id="22"/>
    </w:p>
    <w:p w14:paraId="1DA0B077"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Le paiement est toujours fait au nom de l’émetteur de la facture ou de la demande de remboursement des frais.</w:t>
      </w:r>
    </w:p>
    <w:p w14:paraId="389E891E"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 xml:space="preserve">En cas de dépassement de ce délai de paiement, </w:t>
      </w:r>
      <w:r w:rsidR="00CE73DB" w:rsidRPr="00100F6D">
        <w:rPr>
          <w:rFonts w:asciiTheme="minorHAnsi" w:hAnsiTheme="minorHAnsi" w:cs="Arial"/>
          <w:smallCaps/>
        </w:rPr>
        <w:t>Expertise France</w:t>
      </w:r>
      <w:r w:rsidRPr="00100F6D">
        <w:rPr>
          <w:rFonts w:asciiTheme="minorHAnsi" w:hAnsiTheme="minorHAnsi" w:cs="Arial"/>
        </w:rPr>
        <w:t xml:space="preserve"> versera au </w:t>
      </w:r>
      <w:r w:rsidR="00AA21AB" w:rsidRPr="00100F6D">
        <w:rPr>
          <w:rFonts w:asciiTheme="minorHAnsi" w:hAnsiTheme="minorHAnsi" w:cs="Arial"/>
          <w:smallCaps/>
        </w:rPr>
        <w:t>Contractant</w:t>
      </w:r>
      <w:r w:rsidRPr="00100F6D">
        <w:rPr>
          <w:rFonts w:asciiTheme="minorHAnsi" w:hAnsiTheme="minorHAnsi" w:cs="Arial"/>
        </w:rPr>
        <w:t xml:space="preserve"> des intérêts moratoires, dans les conditions fixées </w:t>
      </w:r>
      <w:r w:rsidR="00554974" w:rsidRPr="00100F6D">
        <w:rPr>
          <w:rFonts w:asciiTheme="minorHAnsi" w:hAnsiTheme="minorHAnsi" w:cs="Arial"/>
        </w:rPr>
        <w:t>par le Code de la commande publique article</w:t>
      </w:r>
      <w:r w:rsidR="00CB26D7" w:rsidRPr="00100F6D">
        <w:rPr>
          <w:rFonts w:asciiTheme="minorHAnsi" w:hAnsiTheme="minorHAnsi" w:cs="Arial"/>
        </w:rPr>
        <w:t>s</w:t>
      </w:r>
      <w:r w:rsidR="00554974" w:rsidRPr="00100F6D">
        <w:rPr>
          <w:rFonts w:asciiTheme="minorHAnsi" w:hAnsiTheme="minorHAnsi" w:cs="Arial"/>
        </w:rPr>
        <w:t xml:space="preserve"> R. 2192-10 et suivants</w:t>
      </w:r>
      <w:r w:rsidRPr="00100F6D">
        <w:rPr>
          <w:rFonts w:asciiTheme="minorHAnsi" w:hAnsiTheme="minorHAnsi" w:cs="Arial"/>
        </w:rPr>
        <w:t xml:space="preserve"> relatif à la lutte contre les retards de paiement dans les </w:t>
      </w:r>
      <w:r w:rsidR="00E4538E" w:rsidRPr="00100F6D">
        <w:rPr>
          <w:rFonts w:asciiTheme="minorHAnsi" w:hAnsiTheme="minorHAnsi" w:cs="Arial"/>
        </w:rPr>
        <w:t>c</w:t>
      </w:r>
      <w:r w:rsidRPr="00100F6D">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100F6D" w:rsidRDefault="002712EA" w:rsidP="002712EA">
      <w:pPr>
        <w:pStyle w:val="Titre2"/>
        <w:spacing w:before="120" w:after="60"/>
        <w:rPr>
          <w:rFonts w:asciiTheme="minorHAnsi" w:hAnsiTheme="minorHAnsi"/>
          <w:sz w:val="22"/>
        </w:rPr>
      </w:pPr>
      <w:bookmarkStart w:id="23" w:name="_Toc126921983"/>
      <w:r w:rsidRPr="00100F6D">
        <w:rPr>
          <w:rFonts w:asciiTheme="minorHAnsi" w:hAnsiTheme="minorHAnsi"/>
          <w:sz w:val="22"/>
        </w:rPr>
        <w:t>Présentation des demandes de paiement</w:t>
      </w:r>
      <w:bookmarkEnd w:id="23"/>
    </w:p>
    <w:p w14:paraId="30FDEB47" w14:textId="77777777" w:rsidR="0007670D" w:rsidRPr="00100F6D"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La raison sociale, l’adresse, le siège social du titulaire,</w:t>
      </w:r>
    </w:p>
    <w:p w14:paraId="322943C0"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La  référence du compte bancaire,</w:t>
      </w:r>
    </w:p>
    <w:p w14:paraId="78F2FBFA"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 xml:space="preserve">Le code du service correspondant au département prescripteur (indiqué à l’article </w:t>
      </w:r>
      <w:r w:rsidRPr="00100F6D">
        <w:rPr>
          <w:rFonts w:asciiTheme="minorHAnsi" w:eastAsia="Times New Roman" w:hAnsiTheme="minorHAnsi" w:cs="Arial"/>
          <w:sz w:val="22"/>
        </w:rPr>
        <w:fldChar w:fldCharType="begin"/>
      </w:r>
      <w:r w:rsidRPr="00100F6D">
        <w:rPr>
          <w:rFonts w:asciiTheme="minorHAnsi" w:eastAsia="Times New Roman" w:hAnsiTheme="minorHAnsi" w:cs="Arial"/>
          <w:sz w:val="22"/>
        </w:rPr>
        <w:instrText xml:space="preserve"> REF _Ref464060009 \h  \* MERGEFORMAT </w:instrText>
      </w:r>
      <w:r w:rsidRPr="00100F6D">
        <w:rPr>
          <w:rFonts w:asciiTheme="minorHAnsi" w:eastAsia="Times New Roman" w:hAnsiTheme="minorHAnsi" w:cs="Arial"/>
          <w:sz w:val="22"/>
        </w:rPr>
      </w:r>
      <w:r w:rsidRPr="00100F6D">
        <w:rPr>
          <w:rFonts w:asciiTheme="minorHAnsi" w:eastAsia="Times New Roman" w:hAnsiTheme="minorHAnsi" w:cs="Arial"/>
          <w:sz w:val="22"/>
        </w:rPr>
        <w:fldChar w:fldCharType="separate"/>
      </w:r>
      <w:r w:rsidR="00297B31" w:rsidRPr="00100F6D">
        <w:rPr>
          <w:rFonts w:asciiTheme="minorHAnsi" w:eastAsia="Times New Roman" w:hAnsiTheme="minorHAnsi" w:cs="Arial"/>
          <w:sz w:val="22"/>
        </w:rPr>
        <w:t>Point de contact et communication</w:t>
      </w:r>
      <w:r w:rsidRPr="00100F6D">
        <w:rPr>
          <w:rFonts w:asciiTheme="minorHAnsi" w:eastAsia="Times New Roman" w:hAnsiTheme="minorHAnsi" w:cs="Arial"/>
          <w:sz w:val="22"/>
        </w:rPr>
        <w:fldChar w:fldCharType="end"/>
      </w:r>
      <w:r w:rsidRPr="00100F6D">
        <w:rPr>
          <w:rFonts w:asciiTheme="minorHAnsi" w:eastAsia="Times New Roman" w:hAnsiTheme="minorHAnsi" w:cs="Arial"/>
          <w:sz w:val="22"/>
        </w:rPr>
        <w:t>),</w:t>
      </w:r>
    </w:p>
    <w:p w14:paraId="1CB9A952" w14:textId="77777777" w:rsidR="0007670D" w:rsidRPr="00100F6D"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100F6D">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La référence du présent marché,</w:t>
      </w:r>
    </w:p>
    <w:p w14:paraId="63C168A5" w14:textId="77777777" w:rsidR="005D0DA0" w:rsidRPr="00100F6D" w:rsidRDefault="005D0DA0"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100F6D" w:rsidRDefault="0007670D" w:rsidP="0007670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Les factures sont déposées sur le portail Chorus Pro, et mentionne obligatoirement le code service référencé ci-dessus, corresponda</w:t>
      </w:r>
      <w:r w:rsidR="0064418C" w:rsidRPr="00100F6D">
        <w:rPr>
          <w:rFonts w:asciiTheme="minorHAnsi" w:hAnsiTheme="minorHAnsi" w:cstheme="minorHAnsi"/>
        </w:rPr>
        <w:t>nt au département d</w:t>
      </w:r>
      <w:r w:rsidR="00825236" w:rsidRPr="00100F6D">
        <w:rPr>
          <w:rFonts w:asciiTheme="minorHAnsi" w:hAnsiTheme="minorHAnsi" w:cstheme="minorHAnsi"/>
        </w:rPr>
        <w:t>’</w:t>
      </w:r>
      <w:r w:rsidR="0064418C" w:rsidRPr="00100F6D">
        <w:rPr>
          <w:rFonts w:asciiTheme="minorHAnsi" w:hAnsiTheme="minorHAnsi" w:cstheme="minorHAnsi"/>
          <w:smallCaps/>
          <w:szCs w:val="22"/>
        </w:rPr>
        <w:t>Expertise France</w:t>
      </w:r>
      <w:r w:rsidR="0064418C" w:rsidRPr="00100F6D">
        <w:rPr>
          <w:rFonts w:asciiTheme="minorHAnsi" w:hAnsiTheme="minorHAnsi" w:cstheme="minorHAnsi"/>
        </w:rPr>
        <w:t xml:space="preserve"> </w:t>
      </w:r>
      <w:r w:rsidRPr="00100F6D">
        <w:rPr>
          <w:rFonts w:asciiTheme="minorHAnsi" w:hAnsiTheme="minorHAnsi" w:cstheme="minorHAnsi"/>
        </w:rPr>
        <w:t xml:space="preserve">pour le compte </w:t>
      </w:r>
      <w:r w:rsidR="008B2C14" w:rsidRPr="00100F6D">
        <w:rPr>
          <w:rFonts w:asciiTheme="minorHAnsi" w:hAnsiTheme="minorHAnsi" w:cstheme="minorHAnsi"/>
        </w:rPr>
        <w:t xml:space="preserve">duquel </w:t>
      </w:r>
      <w:r w:rsidRPr="00100F6D">
        <w:rPr>
          <w:rFonts w:asciiTheme="minorHAnsi" w:hAnsiTheme="minorHAnsi" w:cstheme="minorHAnsi"/>
        </w:rPr>
        <w:t>est passé le contrat.</w:t>
      </w:r>
    </w:p>
    <w:p w14:paraId="49EE6889" w14:textId="77777777" w:rsidR="00DF2476" w:rsidRPr="00100F6D" w:rsidRDefault="00DF2476">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 xml:space="preserve">Si le </w:t>
      </w:r>
      <w:r w:rsidR="001721BB" w:rsidRPr="00100F6D">
        <w:rPr>
          <w:rFonts w:asciiTheme="minorHAnsi" w:hAnsiTheme="minorHAnsi" w:cstheme="minorHAnsi"/>
          <w:smallCaps/>
        </w:rPr>
        <w:t xml:space="preserve">Contractant </w:t>
      </w:r>
      <w:r w:rsidRPr="00100F6D">
        <w:rPr>
          <w:rFonts w:asciiTheme="minorHAnsi" w:hAnsiTheme="minorHAnsi" w:cstheme="minorHAnsi"/>
        </w:rPr>
        <w:t xml:space="preserve">n’est pas soumis à l’obligation de transmission des factures par Chorus, il peut transmettre ses factures au point de contact désigné à l’article </w:t>
      </w:r>
      <w:r w:rsidRPr="00100F6D">
        <w:rPr>
          <w:rFonts w:asciiTheme="minorHAnsi" w:hAnsiTheme="minorHAnsi" w:cstheme="minorHAnsi"/>
        </w:rPr>
        <w:fldChar w:fldCharType="begin"/>
      </w:r>
      <w:r w:rsidRPr="00100F6D">
        <w:rPr>
          <w:rFonts w:asciiTheme="minorHAnsi" w:hAnsiTheme="minorHAnsi" w:cstheme="minorHAnsi"/>
        </w:rPr>
        <w:instrText xml:space="preserve"> REF _Ref464060009 \h  \* MERGEFORMAT </w:instrText>
      </w:r>
      <w:r w:rsidRPr="00100F6D">
        <w:rPr>
          <w:rFonts w:asciiTheme="minorHAnsi" w:hAnsiTheme="minorHAnsi" w:cstheme="minorHAnsi"/>
        </w:rPr>
      </w:r>
      <w:r w:rsidRPr="00100F6D">
        <w:rPr>
          <w:rFonts w:asciiTheme="minorHAnsi" w:hAnsiTheme="minorHAnsi" w:cstheme="minorHAnsi"/>
        </w:rPr>
        <w:fldChar w:fldCharType="separate"/>
      </w:r>
      <w:r w:rsidR="00297B31" w:rsidRPr="00100F6D">
        <w:rPr>
          <w:rFonts w:asciiTheme="minorHAnsi" w:hAnsiTheme="minorHAnsi" w:cstheme="minorHAnsi"/>
        </w:rPr>
        <w:t>Point de contact et communication</w:t>
      </w:r>
      <w:r w:rsidRPr="00100F6D">
        <w:rPr>
          <w:rFonts w:asciiTheme="minorHAnsi" w:hAnsiTheme="minorHAnsi" w:cstheme="minorHAnsi"/>
        </w:rPr>
        <w:fldChar w:fldCharType="end"/>
      </w:r>
      <w:r w:rsidRPr="00100F6D">
        <w:rPr>
          <w:rFonts w:asciiTheme="minorHAnsi" w:hAnsiTheme="minorHAnsi" w:cstheme="minorHAnsi"/>
        </w:rPr>
        <w:t>.</w:t>
      </w:r>
    </w:p>
    <w:p w14:paraId="5A2D1EAB" w14:textId="77777777" w:rsidR="007716CB" w:rsidRPr="00100F6D" w:rsidRDefault="007716CB" w:rsidP="00A1761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 xml:space="preserve">Les factures d’acompte seront accompagnées des </w:t>
      </w:r>
      <w:r w:rsidR="00CF023E" w:rsidRPr="00100F6D">
        <w:rPr>
          <w:rFonts w:asciiTheme="minorHAnsi" w:hAnsiTheme="minorHAnsi" w:cstheme="minorHAnsi"/>
        </w:rPr>
        <w:t xml:space="preserve">justificatifs </w:t>
      </w:r>
      <w:r w:rsidRPr="00100F6D">
        <w:rPr>
          <w:rFonts w:asciiTheme="minorHAnsi" w:hAnsiTheme="minorHAnsi" w:cstheme="minorHAnsi"/>
        </w:rPr>
        <w:t>correspondants validés</w:t>
      </w:r>
      <w:r w:rsidR="00CF023E" w:rsidRPr="00100F6D">
        <w:rPr>
          <w:rFonts w:asciiTheme="minorHAnsi" w:hAnsiTheme="minorHAnsi" w:cstheme="minorHAnsi"/>
        </w:rPr>
        <w:t xml:space="preserve"> par </w:t>
      </w:r>
      <w:r w:rsidR="00CE73DB" w:rsidRPr="00100F6D">
        <w:rPr>
          <w:rFonts w:asciiTheme="minorHAnsi" w:hAnsiTheme="minorHAnsi" w:cstheme="minorHAnsi"/>
          <w:smallCaps/>
        </w:rPr>
        <w:t>Expertise France</w:t>
      </w:r>
      <w:r w:rsidRPr="00100F6D">
        <w:rPr>
          <w:rFonts w:asciiTheme="minorHAnsi" w:hAnsiTheme="minorHAnsi" w:cstheme="minorHAnsi"/>
        </w:rPr>
        <w:t>.</w:t>
      </w:r>
    </w:p>
    <w:p w14:paraId="0FFE6A3B" w14:textId="77777777" w:rsidR="00CF7430" w:rsidRPr="00100F6D" w:rsidRDefault="00CF7430" w:rsidP="00A1761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 xml:space="preserve">Les factures de solde </w:t>
      </w:r>
      <w:r w:rsidR="00E03FEC" w:rsidRPr="00100F6D">
        <w:rPr>
          <w:rFonts w:asciiTheme="minorHAnsi" w:hAnsiTheme="minorHAnsi" w:cstheme="minorHAnsi"/>
        </w:rPr>
        <w:t>(</w:t>
      </w:r>
      <w:r w:rsidRPr="00100F6D">
        <w:rPr>
          <w:rFonts w:asciiTheme="minorHAnsi" w:hAnsiTheme="minorHAnsi" w:cstheme="minorHAnsi"/>
        </w:rPr>
        <w:t>paiement partiel défi</w:t>
      </w:r>
      <w:r w:rsidR="007716CB" w:rsidRPr="00100F6D">
        <w:rPr>
          <w:rFonts w:asciiTheme="minorHAnsi" w:hAnsiTheme="minorHAnsi" w:cstheme="minorHAnsi"/>
        </w:rPr>
        <w:t>nitif) seront accompagnées de l</w:t>
      </w:r>
      <w:r w:rsidRPr="00100F6D">
        <w:rPr>
          <w:rFonts w:asciiTheme="minorHAnsi" w:hAnsiTheme="minorHAnsi" w:cstheme="minorHAnsi"/>
        </w:rPr>
        <w:t xml:space="preserve">a copie de la décision de réception des </w:t>
      </w:r>
      <w:r w:rsidR="00281B8C" w:rsidRPr="00100F6D">
        <w:rPr>
          <w:rFonts w:asciiTheme="minorHAnsi" w:hAnsiTheme="minorHAnsi" w:cstheme="minorHAnsi"/>
        </w:rPr>
        <w:t>prestations</w:t>
      </w:r>
      <w:r w:rsidR="00CF023E" w:rsidRPr="00100F6D">
        <w:rPr>
          <w:rFonts w:asciiTheme="minorHAnsi" w:hAnsiTheme="minorHAnsi" w:cstheme="minorHAnsi"/>
        </w:rPr>
        <w:t xml:space="preserve"> et</w:t>
      </w:r>
      <w:r w:rsidR="00DF30E6" w:rsidRPr="00100F6D">
        <w:rPr>
          <w:rFonts w:asciiTheme="minorHAnsi" w:hAnsiTheme="minorHAnsi" w:cstheme="minorHAnsi"/>
        </w:rPr>
        <w:t xml:space="preserve">/ou </w:t>
      </w:r>
      <w:r w:rsidR="00CF023E" w:rsidRPr="00100F6D">
        <w:rPr>
          <w:rFonts w:asciiTheme="minorHAnsi" w:hAnsiTheme="minorHAnsi" w:cstheme="minorHAnsi"/>
        </w:rPr>
        <w:t>des fournitures</w:t>
      </w:r>
      <w:r w:rsidR="00DF30E6" w:rsidRPr="00100F6D">
        <w:rPr>
          <w:rFonts w:asciiTheme="minorHAnsi" w:hAnsiTheme="minorHAnsi" w:cstheme="minorHAnsi"/>
        </w:rPr>
        <w:t xml:space="preserve"> correspondantes</w:t>
      </w:r>
      <w:r w:rsidRPr="00100F6D">
        <w:rPr>
          <w:rFonts w:asciiTheme="minorHAnsi" w:hAnsiTheme="minorHAnsi" w:cstheme="minorHAnsi"/>
        </w:rPr>
        <w:t xml:space="preserve">. </w:t>
      </w:r>
    </w:p>
    <w:p w14:paraId="2E3E0053" w14:textId="77777777" w:rsidR="00E637E0" w:rsidRPr="00100F6D" w:rsidRDefault="00E637E0" w:rsidP="00A1761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Tou</w:t>
      </w:r>
      <w:r w:rsidR="00827C44" w:rsidRPr="00100F6D">
        <w:rPr>
          <w:rFonts w:asciiTheme="minorHAnsi" w:hAnsiTheme="minorHAnsi" w:cstheme="minorHAnsi"/>
        </w:rPr>
        <w:t>te pièce manquante empêchera les paiements.</w:t>
      </w:r>
    </w:p>
    <w:p w14:paraId="1B9F2E0C" w14:textId="77777777" w:rsidR="008C6F83" w:rsidRPr="00100F6D"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100F6D">
        <w:rPr>
          <w:rFonts w:asciiTheme="minorHAnsi" w:hAnsiTheme="minorHAnsi"/>
          <w:sz w:val="22"/>
        </w:rPr>
        <w:t>Virement bancaire</w:t>
      </w:r>
      <w:bookmarkEnd w:id="24"/>
    </w:p>
    <w:p w14:paraId="44B6372F" w14:textId="77777777" w:rsidR="008C6F83" w:rsidRPr="00100F6D" w:rsidRDefault="008C6F83" w:rsidP="00752055">
      <w:pPr>
        <w:pStyle w:val="u"/>
        <w:widowControl w:val="0"/>
        <w:numPr>
          <w:ilvl w:val="12"/>
          <w:numId w:val="0"/>
        </w:numPr>
        <w:spacing w:after="120"/>
        <w:ind w:left="561"/>
        <w:rPr>
          <w:rFonts w:asciiTheme="minorHAnsi" w:eastAsia="Calibri" w:hAnsiTheme="minorHAnsi"/>
          <w:szCs w:val="22"/>
        </w:rPr>
      </w:pPr>
      <w:r w:rsidRPr="00100F6D">
        <w:rPr>
          <w:rFonts w:asciiTheme="minorHAnsi" w:hAnsiTheme="minorHAnsi" w:cs="Arial"/>
          <w:szCs w:val="22"/>
        </w:rPr>
        <w:t>Le paiement des prestations facturées sera effectué sur le compte bancaire</w:t>
      </w:r>
      <w:r w:rsidR="00752055" w:rsidRPr="00100F6D">
        <w:rPr>
          <w:rFonts w:asciiTheme="minorHAnsi" w:hAnsiTheme="minorHAnsi" w:cs="Arial"/>
          <w:szCs w:val="22"/>
        </w:rPr>
        <w:t xml:space="preserve"> identifié dans la fiche tiers.</w:t>
      </w:r>
    </w:p>
    <w:p w14:paraId="1D6FE217" w14:textId="77777777" w:rsidR="008C6F83" w:rsidRPr="00100F6D" w:rsidRDefault="00EF653D"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Le paiement est toujours fait au nom de l’émetteur de la facture ou de la demande de remboursement des frais.</w:t>
      </w:r>
    </w:p>
    <w:p w14:paraId="684141ED" w14:textId="77777777" w:rsidR="00E64828" w:rsidRPr="00100F6D" w:rsidRDefault="00E64828" w:rsidP="00D830F2">
      <w:pPr>
        <w:pStyle w:val="Titre2"/>
        <w:tabs>
          <w:tab w:val="num" w:pos="576"/>
        </w:tabs>
        <w:spacing w:before="120" w:after="60"/>
        <w:rPr>
          <w:rFonts w:asciiTheme="minorHAnsi" w:hAnsiTheme="minorHAnsi"/>
          <w:sz w:val="22"/>
          <w:szCs w:val="22"/>
        </w:rPr>
      </w:pPr>
      <w:bookmarkStart w:id="26" w:name="_Toc126921985"/>
      <w:r w:rsidRPr="00100F6D">
        <w:rPr>
          <w:rFonts w:asciiTheme="minorHAnsi" w:hAnsiTheme="minorHAnsi"/>
          <w:sz w:val="22"/>
          <w:szCs w:val="22"/>
        </w:rPr>
        <w:t xml:space="preserve">Taxe </w:t>
      </w:r>
      <w:r w:rsidR="001E311F" w:rsidRPr="00100F6D">
        <w:rPr>
          <w:rFonts w:asciiTheme="minorHAnsi" w:hAnsiTheme="minorHAnsi"/>
          <w:sz w:val="22"/>
          <w:szCs w:val="22"/>
        </w:rPr>
        <w:t xml:space="preserve">sur </w:t>
      </w:r>
      <w:r w:rsidRPr="00100F6D">
        <w:rPr>
          <w:rFonts w:asciiTheme="minorHAnsi" w:hAnsiTheme="minorHAnsi"/>
          <w:sz w:val="22"/>
          <w:szCs w:val="22"/>
        </w:rPr>
        <w:t>la valeur ajoutée</w:t>
      </w:r>
      <w:bookmarkEnd w:id="25"/>
      <w:bookmarkEnd w:id="26"/>
    </w:p>
    <w:p w14:paraId="2A8B1C6E" w14:textId="77777777" w:rsidR="00E541BC" w:rsidRPr="00100F6D" w:rsidRDefault="00E541BC"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 xml:space="preserve">Le </w:t>
      </w:r>
      <w:r w:rsidR="00825236" w:rsidRPr="00100F6D">
        <w:rPr>
          <w:rFonts w:asciiTheme="minorHAnsi" w:hAnsiTheme="minorHAnsi" w:cs="Arial"/>
          <w:smallCaps/>
          <w:szCs w:val="22"/>
        </w:rPr>
        <w:t>Contractant</w:t>
      </w:r>
      <w:r w:rsidR="006E2A49" w:rsidRPr="00100F6D">
        <w:rPr>
          <w:rFonts w:asciiTheme="minorHAnsi" w:hAnsiTheme="minorHAnsi" w:cs="Arial"/>
          <w:szCs w:val="22"/>
        </w:rPr>
        <w:t xml:space="preserve"> </w:t>
      </w:r>
      <w:r w:rsidRPr="00100F6D">
        <w:rPr>
          <w:rFonts w:asciiTheme="minorHAnsi" w:hAnsiTheme="minorHAnsi" w:cs="Arial"/>
          <w:szCs w:val="22"/>
        </w:rPr>
        <w:t xml:space="preserve">devra </w:t>
      </w:r>
      <w:r w:rsidR="001E311F" w:rsidRPr="00100F6D">
        <w:rPr>
          <w:rFonts w:asciiTheme="minorHAnsi" w:hAnsiTheme="minorHAnsi" w:cs="Arial"/>
          <w:szCs w:val="22"/>
        </w:rPr>
        <w:t>indiquer</w:t>
      </w:r>
      <w:r w:rsidRPr="00100F6D">
        <w:rPr>
          <w:rFonts w:asciiTheme="minorHAnsi" w:hAnsiTheme="minorHAnsi" w:cs="Arial"/>
          <w:szCs w:val="22"/>
        </w:rPr>
        <w:t xml:space="preserve"> le taux de TVA applicable à l’opération ou le cas échéant le bénéfice d’une exonération</w:t>
      </w:r>
      <w:r w:rsidR="001E311F" w:rsidRPr="00100F6D">
        <w:rPr>
          <w:rFonts w:asciiTheme="minorHAnsi" w:hAnsiTheme="minorHAnsi" w:cs="Arial"/>
          <w:szCs w:val="22"/>
        </w:rPr>
        <w:t xml:space="preserve"> en mentionnant sur la facture les dispositions du Code général des impôts ou celles de la directive 2006/112/CE du 28 novembre 2006</w:t>
      </w:r>
      <w:r w:rsidRPr="00100F6D">
        <w:rPr>
          <w:rFonts w:asciiTheme="minorHAnsi" w:hAnsiTheme="minorHAnsi" w:cs="Arial"/>
          <w:szCs w:val="22"/>
        </w:rPr>
        <w:t>.</w:t>
      </w:r>
    </w:p>
    <w:p w14:paraId="35CE810D" w14:textId="77777777" w:rsidR="0089576F" w:rsidRPr="00100F6D"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100F6D" w:rsidRDefault="00E541BC"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lastRenderedPageBreak/>
        <w:t xml:space="preserve">Le </w:t>
      </w:r>
      <w:r w:rsidR="00825236" w:rsidRPr="00100F6D">
        <w:rPr>
          <w:rFonts w:asciiTheme="minorHAnsi" w:hAnsiTheme="minorHAnsi" w:cs="Arial"/>
          <w:smallCaps/>
          <w:szCs w:val="22"/>
        </w:rPr>
        <w:t>Contractant</w:t>
      </w:r>
      <w:r w:rsidR="006E2A49" w:rsidRPr="00100F6D">
        <w:rPr>
          <w:rFonts w:asciiTheme="minorHAnsi" w:hAnsiTheme="minorHAnsi" w:cs="Arial"/>
          <w:szCs w:val="22"/>
        </w:rPr>
        <w:t xml:space="preserve"> </w:t>
      </w:r>
      <w:r w:rsidRPr="00100F6D">
        <w:rPr>
          <w:rFonts w:asciiTheme="minorHAnsi" w:hAnsiTheme="minorHAnsi" w:cs="Arial"/>
          <w:szCs w:val="22"/>
        </w:rPr>
        <w:t>qui bénéficie de la franchise en base devra mentionner sur les factures « TVA non applicable</w:t>
      </w:r>
      <w:r w:rsidR="004C749B" w:rsidRPr="00100F6D">
        <w:rPr>
          <w:rFonts w:asciiTheme="minorHAnsi" w:hAnsiTheme="minorHAnsi" w:cs="Arial"/>
          <w:szCs w:val="22"/>
        </w:rPr>
        <w:t> »</w:t>
      </w:r>
      <w:r w:rsidRPr="00100F6D">
        <w:rPr>
          <w:rFonts w:asciiTheme="minorHAnsi" w:hAnsiTheme="minorHAnsi" w:cs="Arial"/>
          <w:szCs w:val="22"/>
        </w:rPr>
        <w:t xml:space="preserve">, </w:t>
      </w:r>
      <w:r w:rsidR="00B35BCC" w:rsidRPr="00100F6D">
        <w:rPr>
          <w:rFonts w:asciiTheme="minorHAnsi" w:hAnsiTheme="minorHAnsi" w:cs="Arial"/>
          <w:szCs w:val="22"/>
        </w:rPr>
        <w:t xml:space="preserve">selon les </w:t>
      </w:r>
      <w:r w:rsidR="00CB6E0F" w:rsidRPr="00100F6D">
        <w:rPr>
          <w:rFonts w:asciiTheme="minorHAnsi" w:hAnsiTheme="minorHAnsi" w:cs="Arial"/>
          <w:szCs w:val="22"/>
        </w:rPr>
        <w:t>règles qui lui sont applicables.</w:t>
      </w:r>
    </w:p>
    <w:p w14:paraId="14FFACED" w14:textId="77777777" w:rsidR="00BA76D5" w:rsidRPr="00100F6D"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100F6D">
        <w:rPr>
          <w:rFonts w:asciiTheme="minorHAnsi" w:hAnsiTheme="minorHAnsi"/>
          <w:sz w:val="22"/>
          <w:szCs w:val="22"/>
        </w:rPr>
        <w:t>Impôts et taxes</w:t>
      </w:r>
      <w:bookmarkEnd w:id="27"/>
      <w:bookmarkEnd w:id="28"/>
    </w:p>
    <w:p w14:paraId="2F99CA94" w14:textId="77777777" w:rsidR="00BA76D5" w:rsidRPr="00100F6D" w:rsidRDefault="00BA76D5"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 xml:space="preserve">Le </w:t>
      </w:r>
      <w:r w:rsidR="00825236" w:rsidRPr="00100F6D">
        <w:rPr>
          <w:rFonts w:asciiTheme="minorHAnsi" w:hAnsiTheme="minorHAnsi" w:cs="Arial"/>
          <w:smallCaps/>
          <w:szCs w:val="22"/>
        </w:rPr>
        <w:t>Contractant</w:t>
      </w:r>
      <w:r w:rsidRPr="00100F6D">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100F6D">
        <w:rPr>
          <w:rFonts w:asciiTheme="minorHAnsi" w:hAnsiTheme="minorHAnsi" w:cs="Arial"/>
          <w:szCs w:val="22"/>
        </w:rPr>
        <w:t>C</w:t>
      </w:r>
      <w:r w:rsidRPr="00100F6D">
        <w:rPr>
          <w:rFonts w:asciiTheme="minorHAnsi" w:hAnsiTheme="minorHAnsi" w:cs="Arial"/>
          <w:szCs w:val="22"/>
        </w:rPr>
        <w:t>ontrat, tant dans le pays de son siège social que dans celui ou ceux d’exécution des</w:t>
      </w:r>
      <w:r w:rsidR="00C84056" w:rsidRPr="00100F6D">
        <w:rPr>
          <w:rFonts w:asciiTheme="minorHAnsi" w:hAnsiTheme="minorHAnsi" w:cs="Arial"/>
          <w:szCs w:val="22"/>
        </w:rPr>
        <w:t xml:space="preserve"> prestations.</w:t>
      </w:r>
    </w:p>
    <w:p w14:paraId="39FD585F" w14:textId="77777777" w:rsidR="00656639" w:rsidRPr="00100F6D"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100F6D">
        <w:rPr>
          <w:rFonts w:asciiTheme="minorHAnsi" w:hAnsiTheme="minorHAnsi"/>
          <w:b/>
          <w:caps/>
          <w:sz w:val="24"/>
          <w:u w:val="single"/>
        </w:rPr>
        <w:t xml:space="preserve">opÉrations </w:t>
      </w:r>
      <w:r w:rsidR="00F766D6" w:rsidRPr="00100F6D">
        <w:rPr>
          <w:rFonts w:asciiTheme="minorHAnsi" w:hAnsiTheme="minorHAnsi"/>
          <w:b/>
          <w:caps/>
          <w:sz w:val="24"/>
          <w:u w:val="single"/>
        </w:rPr>
        <w:t xml:space="preserve">de </w:t>
      </w:r>
      <w:r w:rsidRPr="00100F6D">
        <w:rPr>
          <w:rFonts w:asciiTheme="minorHAnsi" w:hAnsiTheme="minorHAnsi"/>
          <w:b/>
          <w:caps/>
          <w:sz w:val="24"/>
          <w:u w:val="single"/>
        </w:rPr>
        <w:t xml:space="preserve">vÉrification </w:t>
      </w:r>
      <w:r w:rsidR="00F766D6" w:rsidRPr="00100F6D">
        <w:rPr>
          <w:rFonts w:asciiTheme="minorHAnsi" w:hAnsiTheme="minorHAnsi"/>
          <w:b/>
          <w:caps/>
          <w:sz w:val="24"/>
          <w:u w:val="single"/>
        </w:rPr>
        <w:t>et d’admission</w:t>
      </w:r>
      <w:bookmarkEnd w:id="29"/>
    </w:p>
    <w:p w14:paraId="47340EBA" w14:textId="77777777" w:rsidR="00F72033" w:rsidRPr="00100F6D"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100F6D">
        <w:rPr>
          <w:rFonts w:asciiTheme="minorHAnsi" w:hAnsiTheme="minorHAnsi" w:cstheme="minorHAnsi"/>
          <w:sz w:val="22"/>
          <w:szCs w:val="22"/>
        </w:rPr>
        <w:t>Opérations de v</w:t>
      </w:r>
      <w:r w:rsidR="00F766D6" w:rsidRPr="00100F6D">
        <w:rPr>
          <w:rFonts w:asciiTheme="minorHAnsi" w:hAnsiTheme="minorHAnsi" w:cstheme="minorHAnsi"/>
          <w:sz w:val="22"/>
          <w:szCs w:val="22"/>
        </w:rPr>
        <w:t>érification</w:t>
      </w:r>
      <w:bookmarkEnd w:id="30"/>
      <w:bookmarkEnd w:id="31"/>
      <w:bookmarkEnd w:id="32"/>
    </w:p>
    <w:p w14:paraId="3325C3B9" w14:textId="71ECA928" w:rsidR="00F766D6" w:rsidRPr="00100F6D" w:rsidRDefault="00F766D6" w:rsidP="00130AB0">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Les opérations de vérification des prestations</w:t>
      </w:r>
      <w:r w:rsidR="00701BF6" w:rsidRPr="00100F6D">
        <w:rPr>
          <w:rFonts w:asciiTheme="minorHAnsi" w:hAnsiTheme="minorHAnsi" w:cstheme="minorHAnsi"/>
          <w:szCs w:val="22"/>
        </w:rPr>
        <w:t xml:space="preserve"> </w:t>
      </w:r>
      <w:r w:rsidR="0021293C" w:rsidRPr="00100F6D">
        <w:rPr>
          <w:rFonts w:asciiTheme="minorHAnsi" w:hAnsiTheme="minorHAnsi" w:cstheme="minorHAnsi"/>
          <w:szCs w:val="22"/>
        </w:rPr>
        <w:t>et</w:t>
      </w:r>
      <w:r w:rsidR="00701BF6" w:rsidRPr="00100F6D">
        <w:rPr>
          <w:rFonts w:asciiTheme="minorHAnsi" w:hAnsiTheme="minorHAnsi" w:cstheme="minorHAnsi"/>
          <w:szCs w:val="22"/>
        </w:rPr>
        <w:t xml:space="preserve"> des fournitures</w:t>
      </w:r>
      <w:r w:rsidRPr="00100F6D">
        <w:rPr>
          <w:rFonts w:asciiTheme="minorHAnsi" w:hAnsiTheme="minorHAnsi" w:cstheme="minorHAnsi"/>
          <w:szCs w:val="22"/>
        </w:rPr>
        <w:t xml:space="preserve"> seront </w:t>
      </w:r>
      <w:r w:rsidR="0021293C" w:rsidRPr="00100F6D">
        <w:rPr>
          <w:rFonts w:asciiTheme="minorHAnsi" w:hAnsiTheme="minorHAnsi" w:cstheme="minorHAnsi"/>
          <w:szCs w:val="22"/>
        </w:rPr>
        <w:t xml:space="preserve">effectuées </w:t>
      </w:r>
      <w:r w:rsidRPr="00100F6D">
        <w:rPr>
          <w:rFonts w:asciiTheme="minorHAnsi" w:hAnsiTheme="minorHAnsi" w:cstheme="minorHAnsi"/>
          <w:szCs w:val="22"/>
        </w:rPr>
        <w:t xml:space="preserve">conformément </w:t>
      </w:r>
      <w:r w:rsidR="00E2279F" w:rsidRPr="00100F6D">
        <w:rPr>
          <w:rFonts w:asciiTheme="minorHAnsi" w:hAnsiTheme="minorHAnsi" w:cstheme="minorHAnsi"/>
          <w:szCs w:val="22"/>
        </w:rPr>
        <w:t>au chapitre 5 du CCAG-FCS</w:t>
      </w:r>
      <w:r w:rsidR="003A4792" w:rsidRPr="00100F6D">
        <w:rPr>
          <w:rFonts w:asciiTheme="minorHAnsi" w:hAnsiTheme="minorHAnsi" w:cstheme="minorHAnsi"/>
          <w:szCs w:val="22"/>
        </w:rPr>
        <w:t xml:space="preserve">. </w:t>
      </w:r>
      <w:r w:rsidRPr="00100F6D">
        <w:rPr>
          <w:rFonts w:asciiTheme="minorHAnsi" w:hAnsiTheme="minorHAnsi" w:cstheme="minorHAnsi"/>
          <w:szCs w:val="22"/>
        </w:rPr>
        <w:t>Par dérogation à l’article 2</w:t>
      </w:r>
      <w:r w:rsidR="00130AB0" w:rsidRPr="00100F6D">
        <w:rPr>
          <w:rFonts w:asciiTheme="minorHAnsi" w:hAnsiTheme="minorHAnsi" w:cstheme="minorHAnsi"/>
          <w:szCs w:val="22"/>
        </w:rPr>
        <w:t>7</w:t>
      </w:r>
      <w:r w:rsidRPr="00100F6D">
        <w:rPr>
          <w:rFonts w:asciiTheme="minorHAnsi" w:hAnsiTheme="minorHAnsi" w:cstheme="minorHAnsi"/>
          <w:szCs w:val="22"/>
        </w:rPr>
        <w:t xml:space="preserve"> du CCAG-</w:t>
      </w:r>
      <w:r w:rsidR="00E2279F" w:rsidRPr="00100F6D">
        <w:rPr>
          <w:rFonts w:asciiTheme="minorHAnsi" w:hAnsiTheme="minorHAnsi" w:cstheme="minorHAnsi"/>
          <w:szCs w:val="22"/>
        </w:rPr>
        <w:t>FCS</w:t>
      </w:r>
      <w:r w:rsidRPr="00100F6D">
        <w:rPr>
          <w:rFonts w:asciiTheme="minorHAnsi" w:hAnsiTheme="minorHAnsi" w:cstheme="minorHAnsi"/>
          <w:szCs w:val="22"/>
        </w:rPr>
        <w:t>, les opérations de vérification seront effectuées par :</w:t>
      </w:r>
    </w:p>
    <w:p w14:paraId="7131CB16" w14:textId="77777777" w:rsidR="00F6667B" w:rsidRPr="00100F6D" w:rsidRDefault="00F6667B" w:rsidP="00F6667B">
      <w:pPr>
        <w:pStyle w:val="u"/>
        <w:widowControl w:val="0"/>
        <w:numPr>
          <w:ilvl w:val="0"/>
          <w:numId w:val="8"/>
        </w:numPr>
        <w:rPr>
          <w:rFonts w:asciiTheme="minorHAnsi" w:hAnsiTheme="minorHAnsi" w:cstheme="minorHAnsi"/>
          <w:szCs w:val="22"/>
        </w:rPr>
      </w:pPr>
      <w:bookmarkStart w:id="33" w:name="_Toc390691470"/>
      <w:bookmarkStart w:id="34" w:name="_Toc392669641"/>
      <w:bookmarkStart w:id="35" w:name="_Toc126921989"/>
      <w:r w:rsidRPr="00100F6D">
        <w:rPr>
          <w:rFonts w:asciiTheme="minorHAnsi" w:hAnsiTheme="minorHAnsi" w:cstheme="minorHAnsi"/>
          <w:szCs w:val="22"/>
        </w:rPr>
        <w:t>Cheffe de projet</w:t>
      </w:r>
    </w:p>
    <w:p w14:paraId="1E490461" w14:textId="208AD51B" w:rsidR="00F6667B" w:rsidRPr="00100F6D" w:rsidRDefault="00F6667B" w:rsidP="00100F6D">
      <w:pPr>
        <w:pStyle w:val="u"/>
        <w:widowControl w:val="0"/>
        <w:ind w:left="1428"/>
        <w:rPr>
          <w:rFonts w:asciiTheme="minorHAnsi" w:hAnsiTheme="minorHAnsi" w:cstheme="minorHAnsi"/>
          <w:szCs w:val="22"/>
        </w:rPr>
      </w:pPr>
      <w:r w:rsidRPr="00100F6D">
        <w:rPr>
          <w:rFonts w:asciiTheme="minorHAnsi" w:hAnsiTheme="minorHAnsi" w:cstheme="minorHAnsi"/>
          <w:szCs w:val="22"/>
        </w:rPr>
        <w:t>Marion ALLIMANT</w:t>
      </w:r>
    </w:p>
    <w:p w14:paraId="091E3EA2" w14:textId="1AC213A4" w:rsidR="00100F6D" w:rsidRPr="00100F6D" w:rsidRDefault="00100F6D" w:rsidP="00100F6D">
      <w:pPr>
        <w:pStyle w:val="u"/>
        <w:widowControl w:val="0"/>
        <w:ind w:left="1428"/>
        <w:rPr>
          <w:rFonts w:asciiTheme="minorHAnsi" w:hAnsiTheme="minorHAnsi" w:cstheme="minorHAnsi"/>
          <w:szCs w:val="22"/>
        </w:rPr>
      </w:pPr>
    </w:p>
    <w:p w14:paraId="6B23224A" w14:textId="77777777" w:rsidR="00100F6D" w:rsidRPr="00100F6D" w:rsidRDefault="00100F6D" w:rsidP="00100F6D">
      <w:pPr>
        <w:pStyle w:val="u"/>
        <w:widowControl w:val="0"/>
        <w:numPr>
          <w:ilvl w:val="0"/>
          <w:numId w:val="8"/>
        </w:numPr>
        <w:rPr>
          <w:rFonts w:asciiTheme="minorHAnsi" w:hAnsiTheme="minorHAnsi" w:cstheme="minorHAnsi"/>
          <w:szCs w:val="22"/>
        </w:rPr>
      </w:pPr>
      <w:r w:rsidRPr="00100F6D">
        <w:rPr>
          <w:rFonts w:asciiTheme="minorHAnsi" w:hAnsiTheme="minorHAnsi" w:cstheme="minorHAnsi"/>
          <w:szCs w:val="22"/>
        </w:rPr>
        <w:t>Jennifer JONES</w:t>
      </w:r>
    </w:p>
    <w:p w14:paraId="22783A6B" w14:textId="3DE7622D" w:rsidR="00100F6D" w:rsidRPr="00100F6D" w:rsidRDefault="00100F6D" w:rsidP="00100F6D">
      <w:pPr>
        <w:pStyle w:val="u"/>
        <w:widowControl w:val="0"/>
        <w:ind w:left="1428"/>
        <w:rPr>
          <w:rFonts w:asciiTheme="minorHAnsi" w:hAnsiTheme="minorHAnsi" w:cstheme="minorHAnsi"/>
          <w:szCs w:val="22"/>
        </w:rPr>
      </w:pPr>
      <w:r w:rsidRPr="00100F6D">
        <w:rPr>
          <w:rFonts w:asciiTheme="minorHAnsi" w:hAnsiTheme="minorHAnsi" w:cstheme="minorHAnsi"/>
          <w:szCs w:val="22"/>
        </w:rPr>
        <w:t>Cheffe de projet par intérim – Greenov’i</w:t>
      </w:r>
    </w:p>
    <w:p w14:paraId="3CFE7105" w14:textId="5FC352F8" w:rsidR="00F766D6" w:rsidRPr="00100F6D" w:rsidRDefault="00F766D6" w:rsidP="00341BDA">
      <w:pPr>
        <w:pStyle w:val="Titre2"/>
        <w:spacing w:before="120" w:after="60"/>
        <w:jc w:val="both"/>
        <w:rPr>
          <w:rFonts w:asciiTheme="minorHAnsi" w:hAnsiTheme="minorHAnsi" w:cstheme="minorHAnsi"/>
          <w:sz w:val="22"/>
          <w:szCs w:val="22"/>
        </w:rPr>
      </w:pPr>
      <w:r w:rsidRPr="00100F6D">
        <w:rPr>
          <w:rFonts w:asciiTheme="minorHAnsi" w:hAnsiTheme="minorHAnsi" w:cstheme="minorHAnsi"/>
          <w:sz w:val="22"/>
          <w:szCs w:val="22"/>
        </w:rPr>
        <w:t>Admission</w:t>
      </w:r>
      <w:bookmarkEnd w:id="33"/>
      <w:r w:rsidR="00F72033" w:rsidRPr="00100F6D">
        <w:rPr>
          <w:rFonts w:asciiTheme="minorHAnsi" w:hAnsiTheme="minorHAnsi" w:cstheme="minorHAnsi"/>
          <w:sz w:val="22"/>
          <w:szCs w:val="22"/>
        </w:rPr>
        <w:t xml:space="preserve"> de</w:t>
      </w:r>
      <w:r w:rsidR="000243D6" w:rsidRPr="00100F6D">
        <w:rPr>
          <w:rFonts w:asciiTheme="minorHAnsi" w:hAnsiTheme="minorHAnsi" w:cstheme="minorHAnsi"/>
          <w:sz w:val="22"/>
          <w:szCs w:val="22"/>
        </w:rPr>
        <w:t>s</w:t>
      </w:r>
      <w:r w:rsidR="00F72033" w:rsidRPr="00100F6D">
        <w:rPr>
          <w:rFonts w:asciiTheme="minorHAnsi" w:hAnsiTheme="minorHAnsi" w:cstheme="minorHAnsi"/>
          <w:sz w:val="22"/>
          <w:szCs w:val="22"/>
        </w:rPr>
        <w:t xml:space="preserve"> prestation</w:t>
      </w:r>
      <w:bookmarkEnd w:id="34"/>
      <w:r w:rsidR="000243D6" w:rsidRPr="00100F6D">
        <w:rPr>
          <w:rFonts w:asciiTheme="minorHAnsi" w:hAnsiTheme="minorHAnsi" w:cstheme="minorHAnsi"/>
          <w:sz w:val="22"/>
          <w:szCs w:val="22"/>
        </w:rPr>
        <w:t>s</w:t>
      </w:r>
      <w:r w:rsidR="00155787" w:rsidRPr="00100F6D">
        <w:rPr>
          <w:rFonts w:asciiTheme="minorHAnsi" w:hAnsiTheme="minorHAnsi" w:cstheme="minorHAnsi"/>
          <w:sz w:val="22"/>
          <w:szCs w:val="22"/>
        </w:rPr>
        <w:t xml:space="preserve"> et des fournitures</w:t>
      </w:r>
      <w:bookmarkEnd w:id="35"/>
    </w:p>
    <w:p w14:paraId="0842A4DD" w14:textId="30E9F39E" w:rsidR="00C27993" w:rsidRPr="00100F6D" w:rsidRDefault="00F766D6" w:rsidP="00A1761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Par dérogation à l’article </w:t>
      </w:r>
      <w:r w:rsidR="003566A8" w:rsidRPr="00100F6D">
        <w:rPr>
          <w:rFonts w:asciiTheme="minorHAnsi" w:hAnsiTheme="minorHAnsi" w:cstheme="minorHAnsi"/>
          <w:szCs w:val="22"/>
        </w:rPr>
        <w:t>30</w:t>
      </w:r>
      <w:r w:rsidRPr="00100F6D">
        <w:rPr>
          <w:rFonts w:asciiTheme="minorHAnsi" w:hAnsiTheme="minorHAnsi" w:cstheme="minorHAnsi"/>
          <w:szCs w:val="22"/>
        </w:rPr>
        <w:t xml:space="preserve"> du CCAG-</w:t>
      </w:r>
      <w:r w:rsidR="00E2279F" w:rsidRPr="00100F6D">
        <w:rPr>
          <w:rFonts w:asciiTheme="minorHAnsi" w:hAnsiTheme="minorHAnsi" w:cstheme="minorHAnsi"/>
          <w:szCs w:val="22"/>
        </w:rPr>
        <w:t>FCS</w:t>
      </w:r>
      <w:r w:rsidRPr="00100F6D">
        <w:rPr>
          <w:rFonts w:asciiTheme="minorHAnsi" w:hAnsiTheme="minorHAnsi" w:cstheme="minorHAnsi"/>
          <w:szCs w:val="22"/>
        </w:rPr>
        <w:t xml:space="preserve">, les décisions d’admission des prestations </w:t>
      </w:r>
      <w:r w:rsidR="00701BF6" w:rsidRPr="00100F6D">
        <w:rPr>
          <w:rFonts w:asciiTheme="minorHAnsi" w:hAnsiTheme="minorHAnsi" w:cstheme="minorHAnsi"/>
          <w:szCs w:val="22"/>
        </w:rPr>
        <w:t xml:space="preserve">et des fournitures </w:t>
      </w:r>
      <w:r w:rsidRPr="00100F6D">
        <w:rPr>
          <w:rFonts w:asciiTheme="minorHAnsi" w:hAnsiTheme="minorHAnsi" w:cstheme="minorHAnsi"/>
          <w:szCs w:val="22"/>
        </w:rPr>
        <w:t>pourront être prononcées par</w:t>
      </w:r>
      <w:r w:rsidR="00C27993" w:rsidRPr="00100F6D">
        <w:rPr>
          <w:rFonts w:asciiTheme="minorHAnsi" w:hAnsiTheme="minorHAnsi" w:cstheme="minorHAnsi"/>
          <w:szCs w:val="22"/>
        </w:rPr>
        <w:t> :</w:t>
      </w:r>
    </w:p>
    <w:p w14:paraId="7FBB66CE" w14:textId="296C2115" w:rsidR="00C27993" w:rsidRPr="00100F6D" w:rsidRDefault="00341BDA" w:rsidP="006B6C1B">
      <w:pPr>
        <w:pStyle w:val="u"/>
        <w:widowControl w:val="0"/>
        <w:numPr>
          <w:ilvl w:val="0"/>
          <w:numId w:val="8"/>
        </w:numPr>
        <w:rPr>
          <w:rFonts w:asciiTheme="minorHAnsi" w:hAnsiTheme="minorHAnsi" w:cstheme="minorHAnsi"/>
          <w:szCs w:val="22"/>
        </w:rPr>
      </w:pPr>
      <w:r w:rsidRPr="00100F6D">
        <w:rPr>
          <w:rFonts w:asciiTheme="minorHAnsi" w:hAnsiTheme="minorHAnsi" w:cstheme="minorHAnsi"/>
          <w:szCs w:val="22"/>
        </w:rPr>
        <w:t>Cheffe de projet</w:t>
      </w:r>
    </w:p>
    <w:p w14:paraId="5363F9B3" w14:textId="52160F2F" w:rsidR="00C27993" w:rsidRPr="00100F6D" w:rsidRDefault="00341BDA" w:rsidP="00100F6D">
      <w:pPr>
        <w:pStyle w:val="u"/>
        <w:widowControl w:val="0"/>
        <w:ind w:left="1428"/>
        <w:rPr>
          <w:rFonts w:asciiTheme="minorHAnsi" w:hAnsiTheme="minorHAnsi" w:cstheme="minorHAnsi"/>
          <w:szCs w:val="22"/>
        </w:rPr>
      </w:pPr>
      <w:r w:rsidRPr="00100F6D">
        <w:rPr>
          <w:rFonts w:asciiTheme="minorHAnsi" w:hAnsiTheme="minorHAnsi" w:cstheme="minorHAnsi"/>
          <w:szCs w:val="22"/>
        </w:rPr>
        <w:t>Marion ALLIMANT</w:t>
      </w:r>
    </w:p>
    <w:p w14:paraId="33514DE0" w14:textId="5C5B2420" w:rsidR="00100F6D" w:rsidRPr="00100F6D" w:rsidRDefault="00100F6D" w:rsidP="00100F6D">
      <w:pPr>
        <w:pStyle w:val="u"/>
        <w:widowControl w:val="0"/>
        <w:ind w:left="1428"/>
        <w:rPr>
          <w:rFonts w:asciiTheme="minorHAnsi" w:hAnsiTheme="minorHAnsi" w:cstheme="minorHAnsi"/>
          <w:szCs w:val="22"/>
        </w:rPr>
      </w:pPr>
    </w:p>
    <w:p w14:paraId="15AE8673" w14:textId="77777777" w:rsidR="00100F6D" w:rsidRPr="00100F6D" w:rsidRDefault="00100F6D" w:rsidP="00100F6D">
      <w:pPr>
        <w:pStyle w:val="u"/>
        <w:widowControl w:val="0"/>
        <w:numPr>
          <w:ilvl w:val="0"/>
          <w:numId w:val="8"/>
        </w:numPr>
        <w:rPr>
          <w:rFonts w:asciiTheme="minorHAnsi" w:hAnsiTheme="minorHAnsi" w:cstheme="minorHAnsi"/>
          <w:szCs w:val="22"/>
        </w:rPr>
      </w:pPr>
      <w:r w:rsidRPr="00100F6D">
        <w:rPr>
          <w:rFonts w:asciiTheme="minorHAnsi" w:hAnsiTheme="minorHAnsi" w:cstheme="minorHAnsi"/>
          <w:szCs w:val="22"/>
        </w:rPr>
        <w:t>Jennifer JONES</w:t>
      </w:r>
    </w:p>
    <w:p w14:paraId="2F85BE69" w14:textId="6368AEA2" w:rsidR="00100F6D" w:rsidRPr="00100F6D" w:rsidRDefault="00100F6D" w:rsidP="00100F6D">
      <w:pPr>
        <w:pStyle w:val="u"/>
        <w:widowControl w:val="0"/>
        <w:ind w:left="1428"/>
        <w:rPr>
          <w:rFonts w:asciiTheme="minorHAnsi" w:hAnsiTheme="minorHAnsi" w:cstheme="minorHAnsi"/>
          <w:szCs w:val="22"/>
        </w:rPr>
      </w:pPr>
      <w:r w:rsidRPr="00100F6D">
        <w:rPr>
          <w:rFonts w:asciiTheme="minorHAnsi" w:hAnsiTheme="minorHAnsi" w:cstheme="minorHAnsi"/>
          <w:szCs w:val="22"/>
        </w:rPr>
        <w:t>Cheffe de projet par intérim – Greenov’i</w:t>
      </w:r>
    </w:p>
    <w:p w14:paraId="3D6F3473" w14:textId="77777777" w:rsidR="00BE055A" w:rsidRPr="00100F6D" w:rsidRDefault="00F766D6" w:rsidP="00A1761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L'absence de réponse d</w:t>
      </w:r>
      <w:r w:rsidR="0080413C" w:rsidRPr="00100F6D">
        <w:rPr>
          <w:rFonts w:asciiTheme="minorHAnsi" w:hAnsiTheme="minorHAnsi" w:cstheme="minorHAnsi"/>
          <w:szCs w:val="22"/>
        </w:rPr>
        <w:t>’</w:t>
      </w:r>
      <w:r w:rsidR="0080413C" w:rsidRPr="00100F6D">
        <w:rPr>
          <w:rFonts w:asciiTheme="minorHAnsi" w:hAnsiTheme="minorHAnsi" w:cstheme="minorHAnsi"/>
          <w:smallCaps/>
          <w:szCs w:val="22"/>
        </w:rPr>
        <w:t>Expertise France</w:t>
      </w:r>
      <w:r w:rsidR="0080413C" w:rsidRPr="00100F6D">
        <w:rPr>
          <w:rFonts w:asciiTheme="minorHAnsi" w:hAnsiTheme="minorHAnsi" w:cstheme="minorHAnsi"/>
          <w:szCs w:val="22"/>
        </w:rPr>
        <w:t xml:space="preserve"> </w:t>
      </w:r>
      <w:r w:rsidRPr="00100F6D">
        <w:rPr>
          <w:rFonts w:asciiTheme="minorHAnsi" w:hAnsiTheme="minorHAnsi" w:cstheme="minorHAnsi"/>
          <w:szCs w:val="22"/>
        </w:rPr>
        <w:t xml:space="preserve">ne vaut pas </w:t>
      </w:r>
      <w:r w:rsidR="00D00B3A" w:rsidRPr="00100F6D">
        <w:rPr>
          <w:rFonts w:asciiTheme="minorHAnsi" w:hAnsiTheme="minorHAnsi" w:cstheme="minorHAnsi"/>
          <w:szCs w:val="22"/>
        </w:rPr>
        <w:t>réception tacite des prestations</w:t>
      </w:r>
      <w:r w:rsidR="00701BF6" w:rsidRPr="00100F6D">
        <w:rPr>
          <w:rFonts w:asciiTheme="minorHAnsi" w:hAnsiTheme="minorHAnsi" w:cstheme="minorHAnsi"/>
          <w:szCs w:val="22"/>
        </w:rPr>
        <w:t xml:space="preserve"> et des fournitures</w:t>
      </w:r>
      <w:r w:rsidR="00D00B3A" w:rsidRPr="00100F6D">
        <w:rPr>
          <w:rFonts w:asciiTheme="minorHAnsi" w:hAnsiTheme="minorHAnsi" w:cstheme="minorHAnsi"/>
          <w:szCs w:val="22"/>
        </w:rPr>
        <w:t>.</w:t>
      </w:r>
    </w:p>
    <w:p w14:paraId="6E3BF33F" w14:textId="77777777" w:rsidR="002251EE" w:rsidRPr="00100F6D"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100F6D">
        <w:rPr>
          <w:rFonts w:asciiTheme="minorHAnsi" w:hAnsiTheme="minorHAnsi"/>
          <w:b/>
          <w:caps/>
          <w:sz w:val="24"/>
          <w:u w:val="single"/>
        </w:rPr>
        <w:t xml:space="preserve">ModalitÉs spÉcifiques </w:t>
      </w:r>
      <w:r w:rsidR="002251EE" w:rsidRPr="00100F6D">
        <w:rPr>
          <w:rFonts w:asciiTheme="minorHAnsi" w:hAnsiTheme="minorHAnsi"/>
          <w:b/>
          <w:caps/>
          <w:sz w:val="24"/>
          <w:u w:val="single"/>
        </w:rPr>
        <w:t>d’exécution</w:t>
      </w:r>
      <w:bookmarkEnd w:id="36"/>
    </w:p>
    <w:p w14:paraId="0CEF9F11" w14:textId="50EE6466" w:rsidR="000A6914"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100F6D">
        <w:rPr>
          <w:rFonts w:asciiTheme="minorHAnsi" w:hAnsiTheme="minorHAnsi" w:cstheme="minorHAnsi"/>
          <w:sz w:val="22"/>
          <w:szCs w:val="22"/>
        </w:rPr>
        <w:t>Tableau des livrables</w:t>
      </w:r>
      <w:bookmarkEnd w:id="37"/>
    </w:p>
    <w:p w14:paraId="648E7039" w14:textId="77777777" w:rsidR="006C601D" w:rsidRPr="006C601D" w:rsidRDefault="006C601D" w:rsidP="006C601D"/>
    <w:p w14:paraId="2678D464" w14:textId="77777777" w:rsidR="006C601D" w:rsidRDefault="006C601D" w:rsidP="006C601D">
      <w:pPr>
        <w:spacing w:line="240" w:lineRule="auto"/>
        <w:jc w:val="both"/>
        <w:outlineLvl w:val="1"/>
        <w:rPr>
          <w:rFonts w:eastAsia="Times New Roman" w:cs="Arial"/>
        </w:rPr>
      </w:pPr>
      <w:r w:rsidRPr="00343EBF">
        <w:rPr>
          <w:rFonts w:eastAsia="Times New Roman" w:cs="Arial"/>
        </w:rPr>
        <w:t xml:space="preserve">T0 = </w:t>
      </w:r>
      <w:r>
        <w:rPr>
          <w:rFonts w:eastAsia="Times New Roman" w:cs="Arial"/>
        </w:rPr>
        <w:t>1</w:t>
      </w:r>
      <w:r w:rsidRPr="000A0B7A">
        <w:rPr>
          <w:rFonts w:eastAsia="Times New Roman" w:cs="Arial"/>
          <w:vertAlign w:val="superscript"/>
        </w:rPr>
        <w:t>er</w:t>
      </w:r>
      <w:r>
        <w:rPr>
          <w:rFonts w:eastAsia="Times New Roman" w:cs="Arial"/>
        </w:rPr>
        <w:t xml:space="preserve"> septembre 2025 </w:t>
      </w:r>
      <w:r w:rsidRPr="00343EBF">
        <w:rPr>
          <w:rFonts w:eastAsia="Times New Roman" w:cs="Arial"/>
        </w:rPr>
        <w:t>(indicatif)</w:t>
      </w:r>
      <w:r w:rsidRPr="0067016D">
        <w:rPr>
          <w:rFonts w:eastAsia="Times New Roman" w:cs="Arial"/>
        </w:rPr>
        <w:t xml:space="preserve"> </w:t>
      </w:r>
    </w:p>
    <w:p w14:paraId="0478C232" w14:textId="77777777" w:rsidR="006C601D" w:rsidRDefault="006C601D" w:rsidP="006C601D">
      <w:pPr>
        <w:spacing w:line="240" w:lineRule="auto"/>
        <w:jc w:val="both"/>
        <w:outlineLvl w:val="1"/>
        <w:rPr>
          <w:rFonts w:eastAsia="Times New Roman" w:cs="Arial"/>
        </w:rPr>
      </w:pPr>
      <w:r>
        <w:rPr>
          <w:rFonts w:eastAsia="Times New Roman" w:cs="Arial"/>
        </w:rPr>
        <w:t>T1 = janvier 2026 (indicatif)</w:t>
      </w:r>
    </w:p>
    <w:p w14:paraId="27BE9EAE" w14:textId="77777777" w:rsidR="006C601D" w:rsidRDefault="006C601D" w:rsidP="006C601D">
      <w:pPr>
        <w:spacing w:line="240" w:lineRule="auto"/>
        <w:jc w:val="both"/>
        <w:outlineLvl w:val="1"/>
        <w:rPr>
          <w:rFonts w:eastAsia="Times New Roman" w:cs="Arial"/>
        </w:rPr>
      </w:pPr>
      <w:r>
        <w:rPr>
          <w:rFonts w:eastAsia="Times New Roman" w:cs="Arial"/>
        </w:rPr>
        <w:t>T2 = août 2027 (indicatif)</w:t>
      </w:r>
    </w:p>
    <w:tbl>
      <w:tblPr>
        <w:tblW w:w="8916" w:type="dxa"/>
        <w:tblInd w:w="5" w:type="dxa"/>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ayout w:type="fixed"/>
        <w:tblLook w:val="0400" w:firstRow="0" w:lastRow="0" w:firstColumn="0" w:lastColumn="0" w:noHBand="0" w:noVBand="1"/>
      </w:tblPr>
      <w:tblGrid>
        <w:gridCol w:w="978"/>
        <w:gridCol w:w="283"/>
        <w:gridCol w:w="5670"/>
        <w:gridCol w:w="1985"/>
      </w:tblGrid>
      <w:tr w:rsidR="006C601D" w:rsidRPr="0067016D" w14:paraId="75DBE0C0" w14:textId="77777777" w:rsidTr="006552BB">
        <w:trPr>
          <w:trHeight w:val="182"/>
        </w:trPr>
        <w:tc>
          <w:tcPr>
            <w:tcW w:w="1261" w:type="dxa"/>
            <w:gridSpan w:val="2"/>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0F243E"/>
            <w:vAlign w:val="center"/>
          </w:tcPr>
          <w:p w14:paraId="56DA3A9F" w14:textId="77777777" w:rsidR="006C601D" w:rsidRPr="0067016D" w:rsidRDefault="006C601D" w:rsidP="006552BB">
            <w:pPr>
              <w:spacing w:line="240" w:lineRule="auto"/>
              <w:jc w:val="center"/>
              <w:rPr>
                <w:rFonts w:eastAsia="Calibri" w:cs="Arial"/>
                <w:b/>
              </w:rPr>
            </w:pPr>
            <w:r w:rsidRPr="0067016D">
              <w:rPr>
                <w:rFonts w:eastAsia="Calibri" w:cs="Arial"/>
                <w:b/>
              </w:rPr>
              <w:t>Livrables</w:t>
            </w:r>
          </w:p>
        </w:tc>
        <w:tc>
          <w:tcPr>
            <w:tcW w:w="5670"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0F243E"/>
            <w:vAlign w:val="center"/>
          </w:tcPr>
          <w:p w14:paraId="0D07D58F" w14:textId="77777777" w:rsidR="006C601D" w:rsidRPr="0067016D" w:rsidRDefault="006C601D" w:rsidP="006552BB">
            <w:pPr>
              <w:spacing w:line="240" w:lineRule="auto"/>
              <w:rPr>
                <w:rFonts w:eastAsia="Calibri" w:cs="Arial"/>
                <w:b/>
              </w:rPr>
            </w:pPr>
            <w:r w:rsidRPr="0067016D">
              <w:rPr>
                <w:rFonts w:eastAsia="Calibri" w:cs="Arial"/>
                <w:b/>
              </w:rPr>
              <w:t>Intitulé</w:t>
            </w:r>
          </w:p>
        </w:tc>
        <w:tc>
          <w:tcPr>
            <w:tcW w:w="1985"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0F243E"/>
            <w:vAlign w:val="center"/>
          </w:tcPr>
          <w:p w14:paraId="009882BB" w14:textId="77777777" w:rsidR="006C601D" w:rsidRPr="0067016D" w:rsidRDefault="006C601D" w:rsidP="006552BB">
            <w:pPr>
              <w:spacing w:line="240" w:lineRule="auto"/>
              <w:jc w:val="center"/>
              <w:rPr>
                <w:rFonts w:eastAsia="Calibri" w:cs="Arial"/>
                <w:b/>
              </w:rPr>
            </w:pPr>
            <w:r w:rsidRPr="0067016D">
              <w:rPr>
                <w:rFonts w:eastAsia="Calibri" w:cs="Arial"/>
                <w:b/>
              </w:rPr>
              <w:t>Date de remise des livrables (indicatif)</w:t>
            </w:r>
          </w:p>
        </w:tc>
      </w:tr>
      <w:tr w:rsidR="006C601D" w:rsidRPr="0067016D" w14:paraId="51B18E1E" w14:textId="77777777" w:rsidTr="006552BB">
        <w:trPr>
          <w:trHeight w:val="373"/>
        </w:trPr>
        <w:tc>
          <w:tcPr>
            <w:tcW w:w="6931" w:type="dxa"/>
            <w:gridSpan w:val="3"/>
            <w:shd w:val="clear" w:color="auto" w:fill="DBE5F1"/>
            <w:vAlign w:val="center"/>
          </w:tcPr>
          <w:p w14:paraId="0F4A1506" w14:textId="77777777" w:rsidR="006C601D" w:rsidRPr="0067016D" w:rsidRDefault="006C601D" w:rsidP="006C601D">
            <w:pPr>
              <w:pStyle w:val="Paragraphedeliste"/>
              <w:numPr>
                <w:ilvl w:val="0"/>
                <w:numId w:val="25"/>
              </w:numPr>
              <w:spacing w:after="160" w:line="240" w:lineRule="auto"/>
              <w:jc w:val="both"/>
              <w:rPr>
                <w:rFonts w:eastAsia="Calibri" w:cs="Arial"/>
                <w:b/>
              </w:rPr>
            </w:pPr>
            <w:r w:rsidRPr="00903764">
              <w:rPr>
                <w:rFonts w:cs="Arial"/>
                <w:b/>
              </w:rPr>
              <w:t>Préparation des missions d’appui aux</w:t>
            </w:r>
            <w:r>
              <w:rPr>
                <w:rFonts w:cs="Arial"/>
                <w:b/>
              </w:rPr>
              <w:t xml:space="preserve"> institutions financières</w:t>
            </w:r>
          </w:p>
        </w:tc>
        <w:tc>
          <w:tcPr>
            <w:tcW w:w="1985" w:type="dxa"/>
            <w:shd w:val="clear" w:color="auto" w:fill="DBE5F1"/>
            <w:vAlign w:val="center"/>
          </w:tcPr>
          <w:p w14:paraId="28153C28" w14:textId="77777777" w:rsidR="006C601D" w:rsidRPr="0067016D" w:rsidRDefault="006C601D" w:rsidP="006552BB">
            <w:pPr>
              <w:spacing w:line="240" w:lineRule="auto"/>
              <w:jc w:val="center"/>
              <w:rPr>
                <w:rFonts w:eastAsia="Calibri" w:cs="Arial"/>
                <w:b/>
              </w:rPr>
            </w:pPr>
            <w:r w:rsidRPr="0067016D">
              <w:rPr>
                <w:rFonts w:eastAsia="Calibri" w:cs="Arial"/>
                <w:b/>
              </w:rPr>
              <w:t>T0 +</w:t>
            </w:r>
            <w:r>
              <w:rPr>
                <w:rFonts w:eastAsia="Calibri" w:cs="Arial"/>
                <w:b/>
              </w:rPr>
              <w:t xml:space="preserve"> </w:t>
            </w:r>
            <w:r>
              <w:rPr>
                <w:rFonts w:cs="Arial"/>
                <w:b/>
              </w:rPr>
              <w:t>4</w:t>
            </w:r>
            <w:r>
              <w:rPr>
                <w:rFonts w:eastAsia="Calibri" w:cs="Arial"/>
                <w:b/>
              </w:rPr>
              <w:t xml:space="preserve"> mois</w:t>
            </w:r>
          </w:p>
        </w:tc>
      </w:tr>
      <w:tr w:rsidR="006C601D" w:rsidRPr="0067016D" w14:paraId="3E43DCAA" w14:textId="77777777" w:rsidTr="006552BB">
        <w:trPr>
          <w:trHeight w:val="535"/>
        </w:trPr>
        <w:tc>
          <w:tcPr>
            <w:tcW w:w="978" w:type="dxa"/>
            <w:shd w:val="clear" w:color="auto" w:fill="auto"/>
            <w:vAlign w:val="center"/>
          </w:tcPr>
          <w:p w14:paraId="23A5E898" w14:textId="77777777" w:rsidR="006C601D" w:rsidRPr="0067016D" w:rsidRDefault="006C601D" w:rsidP="006552BB">
            <w:pPr>
              <w:spacing w:line="240" w:lineRule="auto"/>
              <w:jc w:val="center"/>
              <w:rPr>
                <w:rFonts w:eastAsia="Calibri" w:cs="Arial"/>
              </w:rPr>
            </w:pPr>
            <w:r w:rsidRPr="0067016D">
              <w:rPr>
                <w:rFonts w:eastAsia="Calibri" w:cs="Arial"/>
              </w:rPr>
              <w:t>L1.1</w:t>
            </w:r>
          </w:p>
        </w:tc>
        <w:tc>
          <w:tcPr>
            <w:tcW w:w="5953" w:type="dxa"/>
            <w:gridSpan w:val="2"/>
            <w:shd w:val="clear" w:color="auto" w:fill="auto"/>
            <w:vAlign w:val="center"/>
          </w:tcPr>
          <w:p w14:paraId="2ED8E4F0" w14:textId="77777777" w:rsidR="006C601D" w:rsidRPr="0067016D" w:rsidRDefault="006C601D" w:rsidP="006552BB">
            <w:pPr>
              <w:spacing w:line="240" w:lineRule="auto"/>
              <w:jc w:val="both"/>
              <w:rPr>
                <w:rFonts w:eastAsia="Calibri" w:cs="Arial"/>
              </w:rPr>
            </w:pPr>
            <w:r>
              <w:rPr>
                <w:rFonts w:cs="Arial"/>
              </w:rPr>
              <w:t xml:space="preserve">Une note de cadrage </w:t>
            </w:r>
          </w:p>
        </w:tc>
        <w:tc>
          <w:tcPr>
            <w:tcW w:w="1985" w:type="dxa"/>
            <w:shd w:val="clear" w:color="auto" w:fill="auto"/>
            <w:vAlign w:val="center"/>
          </w:tcPr>
          <w:p w14:paraId="51D39D3C" w14:textId="77777777" w:rsidR="006C601D" w:rsidRPr="0067016D" w:rsidRDefault="006C601D" w:rsidP="006552BB">
            <w:pPr>
              <w:spacing w:line="240" w:lineRule="auto"/>
              <w:jc w:val="center"/>
              <w:rPr>
                <w:rFonts w:eastAsia="Calibri" w:cs="Arial"/>
              </w:rPr>
            </w:pPr>
            <w:r>
              <w:rPr>
                <w:rFonts w:cs="Arial"/>
              </w:rPr>
              <w:t>T0 + 1 mois</w:t>
            </w:r>
          </w:p>
        </w:tc>
      </w:tr>
      <w:tr w:rsidR="006C601D" w:rsidRPr="0067016D" w14:paraId="13B3B238" w14:textId="77777777" w:rsidTr="006552BB">
        <w:trPr>
          <w:trHeight w:val="535"/>
        </w:trPr>
        <w:tc>
          <w:tcPr>
            <w:tcW w:w="978" w:type="dxa"/>
            <w:shd w:val="clear" w:color="auto" w:fill="auto"/>
            <w:vAlign w:val="center"/>
          </w:tcPr>
          <w:p w14:paraId="4C7545BE" w14:textId="77777777" w:rsidR="006C601D" w:rsidRPr="0067016D" w:rsidRDefault="006C601D" w:rsidP="006552BB">
            <w:pPr>
              <w:spacing w:line="240" w:lineRule="auto"/>
              <w:jc w:val="center"/>
              <w:rPr>
                <w:rFonts w:cs="Arial"/>
              </w:rPr>
            </w:pPr>
            <w:r>
              <w:rPr>
                <w:rFonts w:cs="Arial"/>
              </w:rPr>
              <w:lastRenderedPageBreak/>
              <w:t>L1.2</w:t>
            </w:r>
          </w:p>
        </w:tc>
        <w:tc>
          <w:tcPr>
            <w:tcW w:w="5953" w:type="dxa"/>
            <w:gridSpan w:val="2"/>
            <w:shd w:val="clear" w:color="auto" w:fill="auto"/>
            <w:vAlign w:val="center"/>
          </w:tcPr>
          <w:p w14:paraId="4A0157A6" w14:textId="77777777" w:rsidR="006C601D" w:rsidRDefault="006C601D" w:rsidP="006552BB">
            <w:pPr>
              <w:spacing w:line="240" w:lineRule="auto"/>
              <w:jc w:val="both"/>
              <w:rPr>
                <w:rFonts w:cs="Arial"/>
              </w:rPr>
            </w:pPr>
            <w:r>
              <w:rPr>
                <w:rFonts w:cs="Arial"/>
              </w:rPr>
              <w:t xml:space="preserve">Un rapport de diagnostic, dont le plan de formation (un par institution financière) </w:t>
            </w:r>
          </w:p>
        </w:tc>
        <w:tc>
          <w:tcPr>
            <w:tcW w:w="1985" w:type="dxa"/>
            <w:shd w:val="clear" w:color="auto" w:fill="auto"/>
            <w:vAlign w:val="center"/>
          </w:tcPr>
          <w:p w14:paraId="308C5C0A" w14:textId="77777777" w:rsidR="006C601D" w:rsidRPr="0067016D" w:rsidRDefault="006C601D" w:rsidP="006552BB">
            <w:pPr>
              <w:spacing w:line="240" w:lineRule="auto"/>
              <w:jc w:val="center"/>
              <w:rPr>
                <w:rFonts w:cs="Arial"/>
              </w:rPr>
            </w:pPr>
            <w:r>
              <w:rPr>
                <w:rFonts w:cs="Arial"/>
              </w:rPr>
              <w:t>T0 + 3 mois</w:t>
            </w:r>
          </w:p>
        </w:tc>
      </w:tr>
      <w:tr w:rsidR="006C601D" w:rsidRPr="0067016D" w14:paraId="26B3FFA7" w14:textId="77777777" w:rsidTr="006552BB">
        <w:trPr>
          <w:trHeight w:val="535"/>
        </w:trPr>
        <w:tc>
          <w:tcPr>
            <w:tcW w:w="978" w:type="dxa"/>
            <w:shd w:val="clear" w:color="auto" w:fill="auto"/>
            <w:vAlign w:val="center"/>
          </w:tcPr>
          <w:p w14:paraId="6FC8C5DD" w14:textId="77777777" w:rsidR="006C601D" w:rsidRPr="0067016D" w:rsidRDefault="006C601D" w:rsidP="006552BB">
            <w:pPr>
              <w:spacing w:line="240" w:lineRule="auto"/>
              <w:jc w:val="center"/>
              <w:rPr>
                <w:rFonts w:cs="Arial"/>
              </w:rPr>
            </w:pPr>
            <w:r>
              <w:rPr>
                <w:rFonts w:cs="Arial"/>
              </w:rPr>
              <w:t>L1.3</w:t>
            </w:r>
          </w:p>
        </w:tc>
        <w:tc>
          <w:tcPr>
            <w:tcW w:w="5953" w:type="dxa"/>
            <w:gridSpan w:val="2"/>
            <w:shd w:val="clear" w:color="auto" w:fill="auto"/>
            <w:vAlign w:val="center"/>
          </w:tcPr>
          <w:p w14:paraId="045B9FFB" w14:textId="77777777" w:rsidR="006C601D" w:rsidRDefault="006C601D" w:rsidP="006552BB">
            <w:pPr>
              <w:spacing w:line="240" w:lineRule="auto"/>
              <w:jc w:val="both"/>
              <w:rPr>
                <w:rFonts w:cs="Arial"/>
              </w:rPr>
            </w:pPr>
            <w:r>
              <w:rPr>
                <w:rFonts w:eastAsia="Arial" w:cs="Arial"/>
                <w:color w:val="000000"/>
              </w:rPr>
              <w:t>Les listes des membres des groupes de travail « finance verte » (un par institution financière)</w:t>
            </w:r>
          </w:p>
        </w:tc>
        <w:tc>
          <w:tcPr>
            <w:tcW w:w="1985" w:type="dxa"/>
            <w:shd w:val="clear" w:color="auto" w:fill="auto"/>
            <w:vAlign w:val="center"/>
          </w:tcPr>
          <w:p w14:paraId="4A151ADA" w14:textId="77777777" w:rsidR="006C601D" w:rsidRPr="0067016D" w:rsidRDefault="006C601D" w:rsidP="006552BB">
            <w:pPr>
              <w:spacing w:line="240" w:lineRule="auto"/>
              <w:jc w:val="center"/>
              <w:rPr>
                <w:rFonts w:cs="Arial"/>
              </w:rPr>
            </w:pPr>
            <w:r>
              <w:rPr>
                <w:rFonts w:cs="Arial"/>
              </w:rPr>
              <w:t>T0 + 3 mois</w:t>
            </w:r>
          </w:p>
        </w:tc>
      </w:tr>
      <w:tr w:rsidR="006C601D" w:rsidRPr="0067016D" w14:paraId="59865B7B" w14:textId="77777777" w:rsidTr="006552BB">
        <w:trPr>
          <w:trHeight w:val="535"/>
        </w:trPr>
        <w:tc>
          <w:tcPr>
            <w:tcW w:w="978" w:type="dxa"/>
            <w:shd w:val="clear" w:color="auto" w:fill="auto"/>
            <w:vAlign w:val="center"/>
          </w:tcPr>
          <w:p w14:paraId="62637711" w14:textId="77777777" w:rsidR="006C601D" w:rsidRPr="0067016D" w:rsidRDefault="006C601D" w:rsidP="006552BB">
            <w:pPr>
              <w:spacing w:line="240" w:lineRule="auto"/>
              <w:jc w:val="center"/>
              <w:rPr>
                <w:rFonts w:cs="Arial"/>
              </w:rPr>
            </w:pPr>
            <w:r>
              <w:rPr>
                <w:rFonts w:cs="Arial"/>
              </w:rPr>
              <w:t>L1.4</w:t>
            </w:r>
          </w:p>
        </w:tc>
        <w:tc>
          <w:tcPr>
            <w:tcW w:w="5953" w:type="dxa"/>
            <w:gridSpan w:val="2"/>
            <w:shd w:val="clear" w:color="auto" w:fill="auto"/>
            <w:vAlign w:val="center"/>
          </w:tcPr>
          <w:p w14:paraId="1CDBB95E" w14:textId="77777777" w:rsidR="006C601D" w:rsidRPr="001A0E91" w:rsidRDefault="006C601D" w:rsidP="006552BB">
            <w:pPr>
              <w:spacing w:line="240" w:lineRule="auto"/>
              <w:jc w:val="both"/>
              <w:rPr>
                <w:rFonts w:eastAsia="Arial" w:cs="Arial"/>
                <w:color w:val="000000"/>
              </w:rPr>
            </w:pPr>
            <w:r>
              <w:rPr>
                <w:rFonts w:eastAsia="Arial" w:cs="Arial"/>
                <w:color w:val="000000"/>
              </w:rPr>
              <w:t>Un plan d’action détaillé de la mise en œuvre de l’appui technique (incluant les plans de formation pour chaque IFP) et validés par les institutions financières</w:t>
            </w:r>
          </w:p>
        </w:tc>
        <w:tc>
          <w:tcPr>
            <w:tcW w:w="1985" w:type="dxa"/>
            <w:shd w:val="clear" w:color="auto" w:fill="auto"/>
            <w:vAlign w:val="center"/>
          </w:tcPr>
          <w:p w14:paraId="34631E18" w14:textId="77777777" w:rsidR="006C601D" w:rsidRPr="0067016D" w:rsidRDefault="006C601D" w:rsidP="006552BB">
            <w:pPr>
              <w:spacing w:line="240" w:lineRule="auto"/>
              <w:jc w:val="center"/>
              <w:rPr>
                <w:rFonts w:cs="Arial"/>
              </w:rPr>
            </w:pPr>
            <w:r>
              <w:rPr>
                <w:rFonts w:cs="Arial"/>
              </w:rPr>
              <w:t>T + 4 mois</w:t>
            </w:r>
          </w:p>
        </w:tc>
      </w:tr>
      <w:tr w:rsidR="006C601D" w:rsidRPr="0067016D" w14:paraId="3D79E64D" w14:textId="77777777" w:rsidTr="006552BB">
        <w:trPr>
          <w:trHeight w:val="400"/>
        </w:trPr>
        <w:tc>
          <w:tcPr>
            <w:tcW w:w="6931" w:type="dxa"/>
            <w:gridSpan w:val="3"/>
            <w:shd w:val="clear" w:color="auto" w:fill="DBE5F1"/>
            <w:vAlign w:val="center"/>
          </w:tcPr>
          <w:p w14:paraId="12705295" w14:textId="77777777" w:rsidR="006C601D" w:rsidRPr="0067016D" w:rsidRDefault="006C601D" w:rsidP="006C601D">
            <w:pPr>
              <w:pStyle w:val="Paragraphedeliste"/>
              <w:numPr>
                <w:ilvl w:val="0"/>
                <w:numId w:val="25"/>
              </w:numPr>
              <w:spacing w:after="160" w:line="240" w:lineRule="auto"/>
              <w:jc w:val="both"/>
              <w:rPr>
                <w:rFonts w:eastAsia="Calibri" w:cs="Arial"/>
                <w:b/>
              </w:rPr>
            </w:pPr>
            <w:r w:rsidRPr="00903764">
              <w:rPr>
                <w:rFonts w:cs="Arial"/>
                <w:b/>
              </w:rPr>
              <w:t>Déploiement des missions d’appui technique</w:t>
            </w:r>
          </w:p>
        </w:tc>
        <w:tc>
          <w:tcPr>
            <w:tcW w:w="1985" w:type="dxa"/>
            <w:shd w:val="clear" w:color="auto" w:fill="DBE5F1"/>
            <w:vAlign w:val="center"/>
          </w:tcPr>
          <w:p w14:paraId="7A1CC9E2" w14:textId="77777777" w:rsidR="006C601D" w:rsidRPr="0067016D" w:rsidRDefault="006C601D" w:rsidP="006552BB">
            <w:pPr>
              <w:spacing w:line="240" w:lineRule="auto"/>
              <w:jc w:val="center"/>
              <w:rPr>
                <w:rFonts w:eastAsia="Calibri" w:cs="Arial"/>
                <w:b/>
              </w:rPr>
            </w:pPr>
            <w:r w:rsidRPr="0067016D">
              <w:rPr>
                <w:rFonts w:eastAsia="Calibri" w:cs="Arial"/>
                <w:b/>
              </w:rPr>
              <w:t>T</w:t>
            </w:r>
            <w:r>
              <w:rPr>
                <w:rFonts w:cs="Arial"/>
                <w:b/>
              </w:rPr>
              <w:t>1</w:t>
            </w:r>
            <w:r w:rsidRPr="0067016D">
              <w:rPr>
                <w:rFonts w:eastAsia="Calibri" w:cs="Arial"/>
                <w:b/>
              </w:rPr>
              <w:t xml:space="preserve"> </w:t>
            </w:r>
            <w:r>
              <w:rPr>
                <w:rFonts w:eastAsia="Calibri" w:cs="Arial"/>
                <w:b/>
              </w:rPr>
              <w:t xml:space="preserve">+ </w:t>
            </w:r>
            <w:r>
              <w:rPr>
                <w:rFonts w:cs="Arial"/>
                <w:b/>
              </w:rPr>
              <w:t xml:space="preserve">18 </w:t>
            </w:r>
            <w:r>
              <w:rPr>
                <w:rFonts w:eastAsia="Calibri" w:cs="Arial"/>
                <w:b/>
              </w:rPr>
              <w:t>mois</w:t>
            </w:r>
          </w:p>
        </w:tc>
      </w:tr>
      <w:tr w:rsidR="006C601D" w:rsidRPr="0067016D" w14:paraId="48793A6A" w14:textId="77777777" w:rsidTr="006552BB">
        <w:trPr>
          <w:trHeight w:val="400"/>
        </w:trPr>
        <w:tc>
          <w:tcPr>
            <w:tcW w:w="978" w:type="dxa"/>
            <w:shd w:val="clear" w:color="auto" w:fill="auto"/>
            <w:vAlign w:val="center"/>
          </w:tcPr>
          <w:p w14:paraId="0884F3EA" w14:textId="77777777" w:rsidR="006C601D" w:rsidRPr="0067016D" w:rsidRDefault="006C601D" w:rsidP="006552BB">
            <w:pPr>
              <w:spacing w:line="240" w:lineRule="auto"/>
              <w:jc w:val="center"/>
              <w:rPr>
                <w:rFonts w:cs="Arial"/>
              </w:rPr>
            </w:pPr>
            <w:r>
              <w:rPr>
                <w:rFonts w:cs="Arial"/>
              </w:rPr>
              <w:t>L2.1</w:t>
            </w:r>
          </w:p>
        </w:tc>
        <w:tc>
          <w:tcPr>
            <w:tcW w:w="5953" w:type="dxa"/>
            <w:gridSpan w:val="2"/>
            <w:shd w:val="clear" w:color="auto" w:fill="auto"/>
            <w:vAlign w:val="center"/>
          </w:tcPr>
          <w:p w14:paraId="6F8E069C" w14:textId="77777777" w:rsidR="006C601D" w:rsidRDefault="006C601D" w:rsidP="006552BB">
            <w:pPr>
              <w:spacing w:line="240" w:lineRule="auto"/>
              <w:jc w:val="both"/>
              <w:rPr>
                <w:rFonts w:cs="Arial"/>
              </w:rPr>
            </w:pPr>
            <w:r>
              <w:rPr>
                <w:rFonts w:eastAsia="Arial" w:cs="Arial"/>
                <w:color w:val="000000"/>
              </w:rPr>
              <w:t>Une cartographie des risques (une par institution financière) </w:t>
            </w:r>
          </w:p>
        </w:tc>
        <w:tc>
          <w:tcPr>
            <w:tcW w:w="1985" w:type="dxa"/>
            <w:shd w:val="clear" w:color="auto" w:fill="auto"/>
            <w:vAlign w:val="center"/>
          </w:tcPr>
          <w:p w14:paraId="36A08E20" w14:textId="77777777" w:rsidR="006C601D" w:rsidRPr="0067016D" w:rsidRDefault="006C601D" w:rsidP="006552BB">
            <w:pPr>
              <w:spacing w:line="240" w:lineRule="auto"/>
              <w:jc w:val="center"/>
              <w:rPr>
                <w:rFonts w:cs="Arial"/>
              </w:rPr>
            </w:pPr>
            <w:r>
              <w:rPr>
                <w:rFonts w:cs="Arial"/>
              </w:rPr>
              <w:t>T1 + 1 mois</w:t>
            </w:r>
          </w:p>
        </w:tc>
      </w:tr>
      <w:tr w:rsidR="006C601D" w:rsidRPr="0067016D" w14:paraId="07D1D48F" w14:textId="77777777" w:rsidTr="006552BB">
        <w:trPr>
          <w:trHeight w:val="400"/>
        </w:trPr>
        <w:tc>
          <w:tcPr>
            <w:tcW w:w="978" w:type="dxa"/>
            <w:shd w:val="clear" w:color="auto" w:fill="auto"/>
            <w:vAlign w:val="center"/>
          </w:tcPr>
          <w:p w14:paraId="6DC2D7B6" w14:textId="77777777" w:rsidR="006C601D" w:rsidRDefault="006C601D" w:rsidP="006552BB">
            <w:pPr>
              <w:spacing w:line="240" w:lineRule="auto"/>
              <w:jc w:val="center"/>
              <w:rPr>
                <w:rFonts w:cs="Arial"/>
              </w:rPr>
            </w:pPr>
            <w:r>
              <w:rPr>
                <w:rFonts w:cs="Arial"/>
              </w:rPr>
              <w:t>L2.2</w:t>
            </w:r>
          </w:p>
        </w:tc>
        <w:tc>
          <w:tcPr>
            <w:tcW w:w="5953" w:type="dxa"/>
            <w:gridSpan w:val="2"/>
            <w:shd w:val="clear" w:color="auto" w:fill="auto"/>
            <w:vAlign w:val="center"/>
          </w:tcPr>
          <w:p w14:paraId="66DA4DD6" w14:textId="77777777" w:rsidR="006C601D" w:rsidRDefault="006C601D" w:rsidP="006552BB">
            <w:pPr>
              <w:spacing w:line="240" w:lineRule="auto"/>
              <w:jc w:val="both"/>
              <w:rPr>
                <w:rFonts w:eastAsia="Arial" w:cs="Arial"/>
                <w:color w:val="000000"/>
              </w:rPr>
            </w:pPr>
            <w:r>
              <w:rPr>
                <w:rFonts w:eastAsia="Arial" w:cs="Arial"/>
                <w:color w:val="000000"/>
              </w:rPr>
              <w:t>Un premier rapport d’avancée intermédiaire pour le premier semestre de mise en œuvre de l’assistance technique (un par institution financière)</w:t>
            </w:r>
          </w:p>
        </w:tc>
        <w:tc>
          <w:tcPr>
            <w:tcW w:w="1985" w:type="dxa"/>
            <w:shd w:val="clear" w:color="auto" w:fill="auto"/>
            <w:vAlign w:val="center"/>
          </w:tcPr>
          <w:p w14:paraId="5FE8FA29" w14:textId="77777777" w:rsidR="006C601D" w:rsidRDefault="006C601D" w:rsidP="006552BB">
            <w:pPr>
              <w:spacing w:line="240" w:lineRule="auto"/>
              <w:jc w:val="center"/>
              <w:rPr>
                <w:rFonts w:cs="Arial"/>
              </w:rPr>
            </w:pPr>
            <w:r>
              <w:rPr>
                <w:rFonts w:cs="Arial"/>
              </w:rPr>
              <w:t>T1 + 6 mois</w:t>
            </w:r>
          </w:p>
        </w:tc>
      </w:tr>
      <w:tr w:rsidR="006C601D" w:rsidRPr="0067016D" w14:paraId="55264400" w14:textId="77777777" w:rsidTr="006552BB">
        <w:trPr>
          <w:trHeight w:val="400"/>
        </w:trPr>
        <w:tc>
          <w:tcPr>
            <w:tcW w:w="978" w:type="dxa"/>
            <w:shd w:val="clear" w:color="auto" w:fill="auto"/>
            <w:vAlign w:val="center"/>
          </w:tcPr>
          <w:p w14:paraId="17D42760" w14:textId="77777777" w:rsidR="006C601D" w:rsidRDefault="006C601D" w:rsidP="006552BB">
            <w:pPr>
              <w:spacing w:line="240" w:lineRule="auto"/>
              <w:jc w:val="center"/>
              <w:rPr>
                <w:rFonts w:cs="Arial"/>
              </w:rPr>
            </w:pPr>
            <w:r>
              <w:rPr>
                <w:rFonts w:cs="Arial"/>
              </w:rPr>
              <w:t xml:space="preserve">L.2.3 </w:t>
            </w:r>
          </w:p>
        </w:tc>
        <w:tc>
          <w:tcPr>
            <w:tcW w:w="5953" w:type="dxa"/>
            <w:gridSpan w:val="2"/>
            <w:shd w:val="clear" w:color="auto" w:fill="auto"/>
            <w:vAlign w:val="center"/>
          </w:tcPr>
          <w:p w14:paraId="40F754E8" w14:textId="77777777" w:rsidR="006C601D" w:rsidRDefault="006C601D" w:rsidP="006552BB">
            <w:pPr>
              <w:spacing w:line="240" w:lineRule="auto"/>
              <w:jc w:val="both"/>
              <w:rPr>
                <w:rFonts w:eastAsia="Arial" w:cs="Arial"/>
                <w:color w:val="000000"/>
              </w:rPr>
            </w:pPr>
            <w:r>
              <w:rPr>
                <w:rFonts w:eastAsia="Arial" w:cs="Arial"/>
                <w:color w:val="000000"/>
              </w:rPr>
              <w:t>Un deuxième rapport d’avancée intermédiaire pour le deuxième semestre de mise en œuvre de l’assistance technique (un par institution financière)</w:t>
            </w:r>
          </w:p>
        </w:tc>
        <w:tc>
          <w:tcPr>
            <w:tcW w:w="1985" w:type="dxa"/>
            <w:shd w:val="clear" w:color="auto" w:fill="auto"/>
            <w:vAlign w:val="center"/>
          </w:tcPr>
          <w:p w14:paraId="6B81299C" w14:textId="77777777" w:rsidR="006C601D" w:rsidRDefault="006C601D" w:rsidP="006552BB">
            <w:pPr>
              <w:spacing w:line="240" w:lineRule="auto"/>
              <w:jc w:val="center"/>
              <w:rPr>
                <w:rFonts w:cs="Arial"/>
              </w:rPr>
            </w:pPr>
            <w:r>
              <w:rPr>
                <w:rFonts w:cs="Arial"/>
              </w:rPr>
              <w:t>T1 + 12 mois</w:t>
            </w:r>
          </w:p>
        </w:tc>
      </w:tr>
      <w:tr w:rsidR="006C601D" w:rsidRPr="0067016D" w14:paraId="179412C2" w14:textId="77777777" w:rsidTr="006552BB">
        <w:trPr>
          <w:trHeight w:val="400"/>
        </w:trPr>
        <w:tc>
          <w:tcPr>
            <w:tcW w:w="978" w:type="dxa"/>
            <w:shd w:val="clear" w:color="auto" w:fill="auto"/>
            <w:vAlign w:val="center"/>
          </w:tcPr>
          <w:p w14:paraId="380B976E" w14:textId="77777777" w:rsidR="006C601D" w:rsidRPr="0067016D" w:rsidRDefault="006C601D" w:rsidP="006552BB">
            <w:pPr>
              <w:spacing w:line="240" w:lineRule="auto"/>
              <w:jc w:val="center"/>
              <w:rPr>
                <w:rFonts w:cs="Arial"/>
              </w:rPr>
            </w:pPr>
            <w:r>
              <w:rPr>
                <w:rFonts w:cs="Arial"/>
              </w:rPr>
              <w:t>L2.3</w:t>
            </w:r>
          </w:p>
        </w:tc>
        <w:tc>
          <w:tcPr>
            <w:tcW w:w="5953" w:type="dxa"/>
            <w:gridSpan w:val="2"/>
            <w:shd w:val="clear" w:color="auto" w:fill="auto"/>
            <w:vAlign w:val="center"/>
          </w:tcPr>
          <w:p w14:paraId="2FBD323A" w14:textId="77777777" w:rsidR="006C601D" w:rsidRPr="00033DE6" w:rsidRDefault="006C601D" w:rsidP="006552BB">
            <w:pPr>
              <w:spacing w:line="240" w:lineRule="auto"/>
              <w:jc w:val="both"/>
              <w:rPr>
                <w:rFonts w:cs="Arial"/>
              </w:rPr>
            </w:pPr>
            <w:r>
              <w:rPr>
                <w:rFonts w:eastAsia="Arial" w:cs="Arial"/>
                <w:color w:val="000000"/>
              </w:rPr>
              <w:t xml:space="preserve">Un </w:t>
            </w:r>
            <w:r w:rsidRPr="00033DE6">
              <w:rPr>
                <w:rFonts w:eastAsia="Arial" w:cs="Arial"/>
                <w:color w:val="000000"/>
              </w:rPr>
              <w:t xml:space="preserve">SGES complet, incluant tous les documents et outils cités (un par </w:t>
            </w:r>
            <w:r>
              <w:rPr>
                <w:rFonts w:eastAsia="Arial" w:cs="Arial"/>
                <w:color w:val="000000"/>
              </w:rPr>
              <w:t>institution financière</w:t>
            </w:r>
            <w:r w:rsidRPr="00033DE6">
              <w:rPr>
                <w:rFonts w:eastAsia="Arial" w:cs="Arial"/>
                <w:color w:val="000000"/>
              </w:rPr>
              <w:t>) </w:t>
            </w:r>
          </w:p>
        </w:tc>
        <w:tc>
          <w:tcPr>
            <w:tcW w:w="1985" w:type="dxa"/>
            <w:shd w:val="clear" w:color="auto" w:fill="auto"/>
            <w:vAlign w:val="center"/>
          </w:tcPr>
          <w:p w14:paraId="083C97B1" w14:textId="77777777" w:rsidR="006C601D" w:rsidRPr="0067016D" w:rsidRDefault="006C601D" w:rsidP="006552BB">
            <w:pPr>
              <w:spacing w:line="240" w:lineRule="auto"/>
              <w:jc w:val="center"/>
              <w:rPr>
                <w:rFonts w:cs="Arial"/>
              </w:rPr>
            </w:pPr>
            <w:r>
              <w:rPr>
                <w:rFonts w:cs="Arial"/>
              </w:rPr>
              <w:t>T1 + 14 mois</w:t>
            </w:r>
          </w:p>
        </w:tc>
      </w:tr>
      <w:tr w:rsidR="006C601D" w:rsidRPr="0067016D" w14:paraId="65FE9F46" w14:textId="77777777" w:rsidTr="006552BB">
        <w:trPr>
          <w:trHeight w:val="400"/>
        </w:trPr>
        <w:tc>
          <w:tcPr>
            <w:tcW w:w="978" w:type="dxa"/>
            <w:shd w:val="clear" w:color="auto" w:fill="auto"/>
            <w:vAlign w:val="center"/>
          </w:tcPr>
          <w:p w14:paraId="26A04B75" w14:textId="77777777" w:rsidR="006C601D" w:rsidRPr="0067016D" w:rsidRDefault="006C601D" w:rsidP="006552BB">
            <w:pPr>
              <w:spacing w:line="240" w:lineRule="auto"/>
              <w:jc w:val="center"/>
              <w:rPr>
                <w:rFonts w:cs="Arial"/>
              </w:rPr>
            </w:pPr>
            <w:r>
              <w:rPr>
                <w:rFonts w:cs="Arial"/>
              </w:rPr>
              <w:t>L2.4</w:t>
            </w:r>
          </w:p>
        </w:tc>
        <w:tc>
          <w:tcPr>
            <w:tcW w:w="5953" w:type="dxa"/>
            <w:gridSpan w:val="2"/>
            <w:shd w:val="clear" w:color="auto" w:fill="auto"/>
            <w:vAlign w:val="center"/>
          </w:tcPr>
          <w:p w14:paraId="6E7B9D12" w14:textId="77777777" w:rsidR="006C601D" w:rsidRPr="00033DE6" w:rsidRDefault="006C601D" w:rsidP="006552BB">
            <w:pPr>
              <w:spacing w:line="240" w:lineRule="auto"/>
              <w:jc w:val="both"/>
              <w:rPr>
                <w:rFonts w:eastAsia="Arial" w:cs="Arial"/>
                <w:color w:val="000000"/>
              </w:rPr>
            </w:pPr>
            <w:r w:rsidRPr="00033DE6">
              <w:rPr>
                <w:rFonts w:eastAsia="Arial" w:cs="Arial"/>
                <w:color w:val="000000"/>
              </w:rPr>
              <w:t>Le plan de formation à jour et les supports de formation</w:t>
            </w:r>
            <w:r>
              <w:rPr>
                <w:rFonts w:eastAsia="Arial" w:cs="Arial"/>
                <w:color w:val="000000"/>
              </w:rPr>
              <w:t xml:space="preserve"> </w:t>
            </w:r>
            <w:r w:rsidRPr="00033DE6">
              <w:rPr>
                <w:rFonts w:eastAsia="Arial" w:cs="Arial"/>
                <w:color w:val="000000"/>
              </w:rPr>
              <w:t xml:space="preserve">des personnels (un par </w:t>
            </w:r>
            <w:r>
              <w:rPr>
                <w:rFonts w:eastAsia="Arial" w:cs="Arial"/>
                <w:color w:val="000000"/>
              </w:rPr>
              <w:t>institution financière</w:t>
            </w:r>
            <w:r w:rsidRPr="00033DE6">
              <w:rPr>
                <w:rFonts w:eastAsia="Arial" w:cs="Arial"/>
                <w:color w:val="000000"/>
              </w:rPr>
              <w:t>)</w:t>
            </w:r>
          </w:p>
        </w:tc>
        <w:tc>
          <w:tcPr>
            <w:tcW w:w="1985" w:type="dxa"/>
            <w:shd w:val="clear" w:color="auto" w:fill="auto"/>
            <w:vAlign w:val="center"/>
          </w:tcPr>
          <w:p w14:paraId="1745A604" w14:textId="77777777" w:rsidR="006C601D" w:rsidRPr="0067016D" w:rsidRDefault="006C601D" w:rsidP="006552BB">
            <w:pPr>
              <w:spacing w:line="240" w:lineRule="auto"/>
              <w:jc w:val="center"/>
              <w:rPr>
                <w:rFonts w:cs="Arial"/>
              </w:rPr>
            </w:pPr>
            <w:r>
              <w:rPr>
                <w:rFonts w:cs="Arial"/>
              </w:rPr>
              <w:t>T1 + 16 mois</w:t>
            </w:r>
          </w:p>
        </w:tc>
      </w:tr>
      <w:tr w:rsidR="006C601D" w:rsidRPr="0067016D" w14:paraId="7ABA3846" w14:textId="77777777" w:rsidTr="006552BB">
        <w:trPr>
          <w:trHeight w:val="400"/>
        </w:trPr>
        <w:tc>
          <w:tcPr>
            <w:tcW w:w="978" w:type="dxa"/>
            <w:shd w:val="clear" w:color="auto" w:fill="auto"/>
            <w:vAlign w:val="center"/>
          </w:tcPr>
          <w:p w14:paraId="743126A1" w14:textId="77777777" w:rsidR="006C601D" w:rsidRPr="0067016D" w:rsidRDefault="006C601D" w:rsidP="006552BB">
            <w:pPr>
              <w:spacing w:line="240" w:lineRule="auto"/>
              <w:jc w:val="center"/>
              <w:rPr>
                <w:rFonts w:cs="Arial"/>
              </w:rPr>
            </w:pPr>
            <w:r>
              <w:rPr>
                <w:rFonts w:cs="Arial"/>
              </w:rPr>
              <w:t>L2.5</w:t>
            </w:r>
          </w:p>
        </w:tc>
        <w:tc>
          <w:tcPr>
            <w:tcW w:w="5953" w:type="dxa"/>
            <w:gridSpan w:val="2"/>
            <w:shd w:val="clear" w:color="auto" w:fill="auto"/>
            <w:vAlign w:val="center"/>
          </w:tcPr>
          <w:p w14:paraId="1CA3E567" w14:textId="77777777" w:rsidR="006C601D" w:rsidRDefault="006C601D" w:rsidP="006552BB">
            <w:pPr>
              <w:spacing w:line="240" w:lineRule="auto"/>
              <w:jc w:val="both"/>
              <w:rPr>
                <w:rFonts w:eastAsia="Arial" w:cs="Arial"/>
                <w:color w:val="000000"/>
              </w:rPr>
            </w:pPr>
            <w:r>
              <w:rPr>
                <w:rFonts w:eastAsia="Arial" w:cs="Arial"/>
                <w:color w:val="000000"/>
              </w:rPr>
              <w:t xml:space="preserve">Un </w:t>
            </w:r>
            <w:r>
              <w:rPr>
                <w:rFonts w:eastAsia="Arial" w:cs="Arial"/>
                <w:color w:val="000000" w:themeColor="text1"/>
              </w:rPr>
              <w:t>rapport</w:t>
            </w:r>
            <w:r w:rsidRPr="00544891">
              <w:rPr>
                <w:rFonts w:eastAsia="Arial" w:cs="Arial"/>
                <w:color w:val="000000" w:themeColor="text1"/>
              </w:rPr>
              <w:t xml:space="preserve"> </w:t>
            </w:r>
            <w:r>
              <w:rPr>
                <w:rFonts w:eastAsia="Arial" w:cs="Arial"/>
                <w:color w:val="000000"/>
              </w:rPr>
              <w:t>annuel sur la maîtrise des risques E&amp;S (un par institution financière)</w:t>
            </w:r>
          </w:p>
        </w:tc>
        <w:tc>
          <w:tcPr>
            <w:tcW w:w="1985" w:type="dxa"/>
            <w:shd w:val="clear" w:color="auto" w:fill="auto"/>
            <w:vAlign w:val="center"/>
          </w:tcPr>
          <w:p w14:paraId="56A45E15" w14:textId="77777777" w:rsidR="006C601D" w:rsidRPr="0067016D" w:rsidRDefault="006C601D" w:rsidP="006552BB">
            <w:pPr>
              <w:spacing w:line="240" w:lineRule="auto"/>
              <w:jc w:val="center"/>
              <w:rPr>
                <w:rFonts w:cs="Arial"/>
              </w:rPr>
            </w:pPr>
            <w:r>
              <w:rPr>
                <w:rFonts w:cs="Arial"/>
              </w:rPr>
              <w:t>T1 + 18 mois</w:t>
            </w:r>
          </w:p>
        </w:tc>
      </w:tr>
      <w:tr w:rsidR="006C601D" w:rsidRPr="000009B3" w14:paraId="66D339B5" w14:textId="77777777" w:rsidTr="006552BB">
        <w:trPr>
          <w:trHeight w:val="400"/>
        </w:trPr>
        <w:tc>
          <w:tcPr>
            <w:tcW w:w="6931" w:type="dxa"/>
            <w:gridSpan w:val="3"/>
            <w:shd w:val="clear" w:color="auto" w:fill="auto"/>
            <w:vAlign w:val="center"/>
          </w:tcPr>
          <w:p w14:paraId="550DBDCE" w14:textId="77777777" w:rsidR="006C601D" w:rsidRPr="00E4677D" w:rsidRDefault="006C601D" w:rsidP="006C601D">
            <w:pPr>
              <w:pStyle w:val="Paragraphedeliste"/>
              <w:numPr>
                <w:ilvl w:val="0"/>
                <w:numId w:val="25"/>
              </w:numPr>
              <w:spacing w:after="160" w:line="240" w:lineRule="auto"/>
              <w:jc w:val="both"/>
              <w:rPr>
                <w:rFonts w:cs="Arial"/>
                <w:b/>
              </w:rPr>
            </w:pPr>
            <w:r w:rsidRPr="00E4677D">
              <w:rPr>
                <w:rFonts w:cs="Arial"/>
                <w:b/>
              </w:rPr>
              <w:t>Renforcement des capacités des acteurs institutionnels tunisiens sur des thématiques liées au SGES</w:t>
            </w:r>
          </w:p>
        </w:tc>
        <w:tc>
          <w:tcPr>
            <w:tcW w:w="1985" w:type="dxa"/>
            <w:shd w:val="clear" w:color="auto" w:fill="auto"/>
            <w:vAlign w:val="center"/>
          </w:tcPr>
          <w:p w14:paraId="0B3762BA" w14:textId="77777777" w:rsidR="006C601D" w:rsidRPr="00E4677D" w:rsidRDefault="006C601D" w:rsidP="006552BB">
            <w:pPr>
              <w:pStyle w:val="Paragraphedeliste"/>
              <w:spacing w:line="240" w:lineRule="auto"/>
              <w:ind w:left="360"/>
              <w:jc w:val="both"/>
              <w:rPr>
                <w:rFonts w:cs="Arial"/>
                <w:b/>
              </w:rPr>
            </w:pPr>
            <w:r w:rsidRPr="00E4677D">
              <w:rPr>
                <w:rFonts w:cs="Arial"/>
                <w:b/>
              </w:rPr>
              <w:t>T1 + 6 mois</w:t>
            </w:r>
          </w:p>
        </w:tc>
      </w:tr>
      <w:tr w:rsidR="006C601D" w:rsidRPr="0067016D" w14:paraId="318A16DB" w14:textId="77777777" w:rsidTr="006552BB">
        <w:trPr>
          <w:trHeight w:val="400"/>
        </w:trPr>
        <w:tc>
          <w:tcPr>
            <w:tcW w:w="978" w:type="dxa"/>
            <w:shd w:val="clear" w:color="auto" w:fill="auto"/>
            <w:vAlign w:val="center"/>
          </w:tcPr>
          <w:p w14:paraId="5059C12D" w14:textId="77777777" w:rsidR="006C601D" w:rsidRPr="00E4677D" w:rsidRDefault="006C601D" w:rsidP="006552BB">
            <w:pPr>
              <w:spacing w:line="240" w:lineRule="auto"/>
              <w:jc w:val="center"/>
              <w:rPr>
                <w:rFonts w:cs="Arial"/>
              </w:rPr>
            </w:pPr>
            <w:r>
              <w:rPr>
                <w:rFonts w:cs="Arial"/>
              </w:rPr>
              <w:t>L3.1</w:t>
            </w:r>
          </w:p>
        </w:tc>
        <w:tc>
          <w:tcPr>
            <w:tcW w:w="5953" w:type="dxa"/>
            <w:gridSpan w:val="2"/>
            <w:shd w:val="clear" w:color="auto" w:fill="auto"/>
            <w:vAlign w:val="center"/>
          </w:tcPr>
          <w:p w14:paraId="1E54AED2" w14:textId="77777777" w:rsidR="006C601D" w:rsidRPr="00E4677D" w:rsidRDefault="006C601D" w:rsidP="006552BB">
            <w:pPr>
              <w:pBdr>
                <w:top w:val="nil"/>
                <w:left w:val="nil"/>
                <w:bottom w:val="nil"/>
                <w:right w:val="nil"/>
                <w:between w:val="nil"/>
              </w:pBdr>
              <w:spacing w:before="120" w:after="120" w:line="240" w:lineRule="auto"/>
              <w:jc w:val="both"/>
              <w:rPr>
                <w:rFonts w:eastAsia="Arial" w:cs="Arial"/>
              </w:rPr>
            </w:pPr>
            <w:r w:rsidRPr="00E4677D">
              <w:rPr>
                <w:rFonts w:eastAsia="Arial" w:cs="Arial"/>
              </w:rPr>
              <w:t xml:space="preserve">Un dispositif (par exemple, MOOC) complet, composé de 5 à 6 séances, incluant les supports de formation utilisés ; </w:t>
            </w:r>
          </w:p>
        </w:tc>
        <w:tc>
          <w:tcPr>
            <w:tcW w:w="1985" w:type="dxa"/>
            <w:shd w:val="clear" w:color="auto" w:fill="auto"/>
            <w:vAlign w:val="center"/>
          </w:tcPr>
          <w:p w14:paraId="31C36F1A" w14:textId="77777777" w:rsidR="006C601D" w:rsidRDefault="006C601D" w:rsidP="006552BB">
            <w:pPr>
              <w:spacing w:line="240" w:lineRule="auto"/>
              <w:jc w:val="center"/>
              <w:rPr>
                <w:rFonts w:cs="Arial"/>
              </w:rPr>
            </w:pPr>
            <w:r>
              <w:rPr>
                <w:rFonts w:cs="Arial"/>
              </w:rPr>
              <w:t>T1 + 6 mois</w:t>
            </w:r>
          </w:p>
        </w:tc>
      </w:tr>
      <w:tr w:rsidR="006C601D" w:rsidRPr="0067016D" w14:paraId="569886F5" w14:textId="77777777" w:rsidTr="006552BB">
        <w:trPr>
          <w:trHeight w:val="400"/>
        </w:trPr>
        <w:tc>
          <w:tcPr>
            <w:tcW w:w="978" w:type="dxa"/>
            <w:shd w:val="clear" w:color="auto" w:fill="auto"/>
            <w:vAlign w:val="center"/>
          </w:tcPr>
          <w:p w14:paraId="199BA44E" w14:textId="77777777" w:rsidR="006C601D" w:rsidRDefault="006C601D" w:rsidP="006552BB">
            <w:pPr>
              <w:spacing w:line="240" w:lineRule="auto"/>
              <w:jc w:val="center"/>
              <w:rPr>
                <w:rFonts w:cs="Arial"/>
              </w:rPr>
            </w:pPr>
            <w:r>
              <w:rPr>
                <w:rFonts w:cs="Arial"/>
              </w:rPr>
              <w:t>L3.2</w:t>
            </w:r>
          </w:p>
        </w:tc>
        <w:tc>
          <w:tcPr>
            <w:tcW w:w="5953" w:type="dxa"/>
            <w:gridSpan w:val="2"/>
            <w:shd w:val="clear" w:color="auto" w:fill="auto"/>
            <w:vAlign w:val="center"/>
          </w:tcPr>
          <w:p w14:paraId="02FB0886" w14:textId="77777777" w:rsidR="006C601D" w:rsidRPr="00E4677D" w:rsidRDefault="006C601D" w:rsidP="006552BB">
            <w:pPr>
              <w:pBdr>
                <w:top w:val="nil"/>
                <w:left w:val="nil"/>
                <w:bottom w:val="nil"/>
                <w:right w:val="nil"/>
                <w:between w:val="nil"/>
              </w:pBdr>
              <w:spacing w:before="120" w:after="120" w:line="240" w:lineRule="auto"/>
              <w:jc w:val="both"/>
              <w:rPr>
                <w:rFonts w:eastAsia="Arial" w:cs="Arial"/>
              </w:rPr>
            </w:pPr>
            <w:r w:rsidRPr="00E4677D">
              <w:rPr>
                <w:rFonts w:eastAsia="Arial" w:cs="Arial"/>
              </w:rPr>
              <w:t xml:space="preserve">Un dispositif de suivi-évaluation permettant de mesurer la satisfaction des participant.es et l’impact de la formation. </w:t>
            </w:r>
          </w:p>
          <w:p w14:paraId="7382BB64" w14:textId="77777777" w:rsidR="006C601D" w:rsidRPr="00E4677D" w:rsidRDefault="006C601D" w:rsidP="006552BB">
            <w:pPr>
              <w:pBdr>
                <w:top w:val="nil"/>
                <w:left w:val="nil"/>
                <w:bottom w:val="nil"/>
                <w:right w:val="nil"/>
                <w:between w:val="nil"/>
              </w:pBdr>
              <w:spacing w:before="120" w:after="120" w:line="240" w:lineRule="auto"/>
              <w:jc w:val="both"/>
              <w:rPr>
                <w:rFonts w:eastAsia="Arial" w:cs="Arial"/>
              </w:rPr>
            </w:pPr>
          </w:p>
        </w:tc>
        <w:tc>
          <w:tcPr>
            <w:tcW w:w="1985" w:type="dxa"/>
            <w:shd w:val="clear" w:color="auto" w:fill="auto"/>
            <w:vAlign w:val="center"/>
          </w:tcPr>
          <w:p w14:paraId="795BECCE" w14:textId="77777777" w:rsidR="006C601D" w:rsidRDefault="006C601D" w:rsidP="006552BB">
            <w:pPr>
              <w:spacing w:line="240" w:lineRule="auto"/>
              <w:jc w:val="center"/>
              <w:rPr>
                <w:rFonts w:cs="Arial"/>
              </w:rPr>
            </w:pPr>
            <w:r>
              <w:rPr>
                <w:rFonts w:cs="Arial"/>
              </w:rPr>
              <w:t>T1 + 6 mois</w:t>
            </w:r>
          </w:p>
        </w:tc>
      </w:tr>
      <w:tr w:rsidR="006C601D" w:rsidRPr="0067016D" w14:paraId="7BE88657" w14:textId="77777777" w:rsidTr="006552BB">
        <w:trPr>
          <w:trHeight w:val="400"/>
        </w:trPr>
        <w:tc>
          <w:tcPr>
            <w:tcW w:w="6931" w:type="dxa"/>
            <w:gridSpan w:val="3"/>
            <w:shd w:val="clear" w:color="auto" w:fill="DBE5F1"/>
            <w:vAlign w:val="center"/>
          </w:tcPr>
          <w:p w14:paraId="347E430A" w14:textId="77777777" w:rsidR="006C601D" w:rsidRPr="00E4677D" w:rsidRDefault="006C601D" w:rsidP="006552BB">
            <w:pPr>
              <w:spacing w:line="240" w:lineRule="auto"/>
              <w:rPr>
                <w:rFonts w:eastAsia="Calibri" w:cs="Arial"/>
                <w:b/>
              </w:rPr>
            </w:pPr>
            <w:r>
              <w:rPr>
                <w:rFonts w:cs="Arial"/>
                <w:b/>
              </w:rPr>
              <w:t xml:space="preserve">4. </w:t>
            </w:r>
            <w:r w:rsidRPr="00E4677D">
              <w:rPr>
                <w:rFonts w:cs="Arial"/>
                <w:b/>
              </w:rPr>
              <w:t>Capitalisation et clôture des missions d’appui technique</w:t>
            </w:r>
          </w:p>
        </w:tc>
        <w:tc>
          <w:tcPr>
            <w:tcW w:w="1985" w:type="dxa"/>
            <w:shd w:val="clear" w:color="auto" w:fill="DBE5F1"/>
            <w:vAlign w:val="center"/>
          </w:tcPr>
          <w:p w14:paraId="6ADEAEE5" w14:textId="77777777" w:rsidR="006C601D" w:rsidRPr="0067016D" w:rsidRDefault="006C601D" w:rsidP="006552BB">
            <w:pPr>
              <w:spacing w:line="240" w:lineRule="auto"/>
              <w:jc w:val="center"/>
              <w:rPr>
                <w:rFonts w:eastAsia="Calibri" w:cs="Arial"/>
                <w:b/>
              </w:rPr>
            </w:pPr>
            <w:r w:rsidRPr="0067016D">
              <w:rPr>
                <w:rFonts w:eastAsia="Calibri" w:cs="Arial"/>
                <w:b/>
              </w:rPr>
              <w:t>T</w:t>
            </w:r>
            <w:r>
              <w:rPr>
                <w:rFonts w:cs="Arial"/>
                <w:b/>
              </w:rPr>
              <w:t>2</w:t>
            </w:r>
            <w:r>
              <w:rPr>
                <w:rFonts w:eastAsia="Calibri" w:cs="Arial"/>
                <w:b/>
              </w:rPr>
              <w:t xml:space="preserve"> +  </w:t>
            </w:r>
            <w:r>
              <w:rPr>
                <w:rFonts w:cs="Arial"/>
                <w:b/>
              </w:rPr>
              <w:t>2</w:t>
            </w:r>
            <w:r>
              <w:rPr>
                <w:rFonts w:eastAsia="Calibri" w:cs="Arial"/>
                <w:b/>
              </w:rPr>
              <w:t xml:space="preserve"> mois</w:t>
            </w:r>
          </w:p>
        </w:tc>
      </w:tr>
      <w:tr w:rsidR="006C601D" w:rsidRPr="0067016D" w14:paraId="170AF878" w14:textId="77777777" w:rsidTr="006552BB">
        <w:trPr>
          <w:trHeight w:val="320"/>
        </w:trPr>
        <w:tc>
          <w:tcPr>
            <w:tcW w:w="978" w:type="dxa"/>
            <w:shd w:val="clear" w:color="auto" w:fill="auto"/>
            <w:vAlign w:val="center"/>
          </w:tcPr>
          <w:p w14:paraId="2276C140" w14:textId="77777777" w:rsidR="006C601D" w:rsidRPr="0067016D" w:rsidRDefault="006C601D" w:rsidP="006552BB">
            <w:pPr>
              <w:spacing w:line="240" w:lineRule="auto"/>
              <w:jc w:val="center"/>
              <w:rPr>
                <w:rFonts w:eastAsia="Calibri" w:cs="Arial"/>
              </w:rPr>
            </w:pPr>
            <w:r w:rsidRPr="0067016D">
              <w:rPr>
                <w:rFonts w:eastAsia="Calibri" w:cs="Arial"/>
              </w:rPr>
              <w:t>L</w:t>
            </w:r>
            <w:r>
              <w:rPr>
                <w:rFonts w:eastAsia="Calibri" w:cs="Arial"/>
              </w:rPr>
              <w:t>4</w:t>
            </w:r>
            <w:r w:rsidRPr="0067016D">
              <w:rPr>
                <w:rFonts w:eastAsia="Calibri" w:cs="Arial"/>
              </w:rPr>
              <w:t>.1</w:t>
            </w:r>
          </w:p>
        </w:tc>
        <w:tc>
          <w:tcPr>
            <w:tcW w:w="5953" w:type="dxa"/>
            <w:gridSpan w:val="2"/>
            <w:shd w:val="clear" w:color="auto" w:fill="auto"/>
            <w:vAlign w:val="center"/>
          </w:tcPr>
          <w:p w14:paraId="40E081A7" w14:textId="77777777" w:rsidR="006C601D" w:rsidRDefault="006C601D" w:rsidP="006552BB">
            <w:pPr>
              <w:pBdr>
                <w:top w:val="nil"/>
                <w:left w:val="nil"/>
                <w:bottom w:val="nil"/>
                <w:right w:val="nil"/>
                <w:between w:val="nil"/>
              </w:pBdr>
              <w:spacing w:before="120" w:line="240" w:lineRule="auto"/>
              <w:jc w:val="both"/>
              <w:rPr>
                <w:rFonts w:eastAsia="Arial" w:cs="Arial"/>
                <w:color w:val="000000"/>
              </w:rPr>
            </w:pPr>
            <w:r>
              <w:rPr>
                <w:rFonts w:eastAsia="Arial" w:cs="Arial"/>
                <w:color w:val="000000"/>
              </w:rPr>
              <w:t>Un guide de bonnes pratiques (un par institution financière) </w:t>
            </w:r>
          </w:p>
          <w:p w14:paraId="7FDAAF7E" w14:textId="77777777" w:rsidR="006C601D" w:rsidRPr="0067016D" w:rsidRDefault="006C601D" w:rsidP="006552BB">
            <w:pPr>
              <w:spacing w:line="240" w:lineRule="auto"/>
              <w:jc w:val="both"/>
              <w:rPr>
                <w:rFonts w:eastAsia="Calibri" w:cs="Arial"/>
              </w:rPr>
            </w:pPr>
          </w:p>
        </w:tc>
        <w:tc>
          <w:tcPr>
            <w:tcW w:w="1985" w:type="dxa"/>
            <w:shd w:val="clear" w:color="auto" w:fill="auto"/>
            <w:vAlign w:val="center"/>
          </w:tcPr>
          <w:p w14:paraId="038B6E16" w14:textId="77777777" w:rsidR="006C601D" w:rsidRPr="0067016D" w:rsidRDefault="006C601D" w:rsidP="006552BB">
            <w:pPr>
              <w:widowControl w:val="0"/>
              <w:pBdr>
                <w:top w:val="nil"/>
                <w:left w:val="nil"/>
                <w:bottom w:val="nil"/>
                <w:right w:val="nil"/>
                <w:between w:val="nil"/>
              </w:pBdr>
              <w:spacing w:line="240" w:lineRule="auto"/>
              <w:jc w:val="center"/>
              <w:rPr>
                <w:rFonts w:eastAsia="Calibri" w:cs="Arial"/>
                <w:bCs/>
              </w:rPr>
            </w:pPr>
            <w:r>
              <w:rPr>
                <w:rFonts w:cs="Arial"/>
                <w:bCs/>
              </w:rPr>
              <w:t xml:space="preserve">T2 + 2 mois </w:t>
            </w:r>
            <w:r>
              <w:rPr>
                <w:rFonts w:eastAsia="Calibri" w:cs="Arial"/>
                <w:bCs/>
              </w:rPr>
              <w:t xml:space="preserve"> </w:t>
            </w:r>
          </w:p>
        </w:tc>
      </w:tr>
      <w:tr w:rsidR="006C601D" w:rsidRPr="0067016D" w14:paraId="0D2BA46E" w14:textId="77777777" w:rsidTr="006552BB">
        <w:trPr>
          <w:trHeight w:val="320"/>
        </w:trPr>
        <w:tc>
          <w:tcPr>
            <w:tcW w:w="978" w:type="dxa"/>
            <w:shd w:val="clear" w:color="auto" w:fill="auto"/>
            <w:vAlign w:val="center"/>
          </w:tcPr>
          <w:p w14:paraId="1AEAC918" w14:textId="77777777" w:rsidR="006C601D" w:rsidRPr="0067016D" w:rsidRDefault="006C601D" w:rsidP="006552BB">
            <w:pPr>
              <w:spacing w:line="240" w:lineRule="auto"/>
              <w:jc w:val="center"/>
              <w:rPr>
                <w:rFonts w:cs="Arial"/>
              </w:rPr>
            </w:pPr>
            <w:r>
              <w:rPr>
                <w:rFonts w:cs="Arial"/>
              </w:rPr>
              <w:t>L4.2</w:t>
            </w:r>
          </w:p>
        </w:tc>
        <w:tc>
          <w:tcPr>
            <w:tcW w:w="5953" w:type="dxa"/>
            <w:gridSpan w:val="2"/>
            <w:shd w:val="clear" w:color="auto" w:fill="auto"/>
            <w:vAlign w:val="center"/>
          </w:tcPr>
          <w:p w14:paraId="3C316BB8" w14:textId="77777777" w:rsidR="006C601D" w:rsidRDefault="006C601D" w:rsidP="006552BB">
            <w:pPr>
              <w:spacing w:line="240" w:lineRule="auto"/>
              <w:jc w:val="both"/>
              <w:rPr>
                <w:rFonts w:cs="Arial"/>
              </w:rPr>
            </w:pPr>
            <w:r>
              <w:rPr>
                <w:rFonts w:eastAsia="Times New Roman" w:cs="Arial"/>
              </w:rPr>
              <w:t xml:space="preserve">Un </w:t>
            </w:r>
            <w:r w:rsidRPr="00A63BAA">
              <w:rPr>
                <w:rFonts w:eastAsia="Times New Roman" w:cs="Arial"/>
              </w:rPr>
              <w:t>rapport provisoire de suivi-évaluation et capitalisation </w:t>
            </w:r>
          </w:p>
        </w:tc>
        <w:tc>
          <w:tcPr>
            <w:tcW w:w="1985" w:type="dxa"/>
            <w:shd w:val="clear" w:color="auto" w:fill="auto"/>
            <w:vAlign w:val="center"/>
          </w:tcPr>
          <w:p w14:paraId="4EFE4F0E" w14:textId="77777777" w:rsidR="006C601D" w:rsidRDefault="006C601D" w:rsidP="006552BB">
            <w:pPr>
              <w:widowControl w:val="0"/>
              <w:pBdr>
                <w:top w:val="nil"/>
                <w:left w:val="nil"/>
                <w:bottom w:val="nil"/>
                <w:right w:val="nil"/>
                <w:between w:val="nil"/>
              </w:pBdr>
              <w:spacing w:line="240" w:lineRule="auto"/>
              <w:jc w:val="center"/>
              <w:rPr>
                <w:rFonts w:cs="Arial"/>
                <w:bCs/>
              </w:rPr>
            </w:pPr>
            <w:r>
              <w:rPr>
                <w:rFonts w:cs="Arial"/>
                <w:bCs/>
              </w:rPr>
              <w:t>T2 + 1 mois</w:t>
            </w:r>
          </w:p>
        </w:tc>
      </w:tr>
      <w:tr w:rsidR="006C601D" w:rsidRPr="0067016D" w14:paraId="58484CCE" w14:textId="77777777" w:rsidTr="006552BB">
        <w:trPr>
          <w:trHeight w:val="320"/>
        </w:trPr>
        <w:tc>
          <w:tcPr>
            <w:tcW w:w="978" w:type="dxa"/>
            <w:shd w:val="clear" w:color="auto" w:fill="auto"/>
            <w:vAlign w:val="center"/>
          </w:tcPr>
          <w:p w14:paraId="5E4FC95B" w14:textId="77777777" w:rsidR="006C601D" w:rsidRPr="0067016D" w:rsidRDefault="006C601D" w:rsidP="006552BB">
            <w:pPr>
              <w:spacing w:line="240" w:lineRule="auto"/>
              <w:jc w:val="center"/>
              <w:rPr>
                <w:rFonts w:cs="Arial"/>
              </w:rPr>
            </w:pPr>
            <w:r>
              <w:rPr>
                <w:rFonts w:cs="Arial"/>
              </w:rPr>
              <w:t>L4.3</w:t>
            </w:r>
          </w:p>
        </w:tc>
        <w:tc>
          <w:tcPr>
            <w:tcW w:w="5953" w:type="dxa"/>
            <w:gridSpan w:val="2"/>
            <w:shd w:val="clear" w:color="auto" w:fill="auto"/>
            <w:vAlign w:val="center"/>
          </w:tcPr>
          <w:p w14:paraId="35EC8725" w14:textId="77777777" w:rsidR="006C601D" w:rsidRPr="00A63BAA" w:rsidRDefault="006C601D" w:rsidP="006552BB">
            <w:pPr>
              <w:spacing w:line="240" w:lineRule="auto"/>
              <w:jc w:val="both"/>
              <w:rPr>
                <w:rFonts w:eastAsia="Times New Roman" w:cs="Arial"/>
              </w:rPr>
            </w:pPr>
            <w:r>
              <w:rPr>
                <w:rFonts w:cs="Arial"/>
              </w:rPr>
              <w:t xml:space="preserve">Un événement de restitution interinstitutionnelle </w:t>
            </w:r>
            <w:r w:rsidRPr="00A63BAA">
              <w:rPr>
                <w:rFonts w:cs="Arial"/>
              </w:rPr>
              <w:t>final</w:t>
            </w:r>
            <w:r>
              <w:rPr>
                <w:rFonts w:cs="Arial"/>
              </w:rPr>
              <w:t xml:space="preserve"> </w:t>
            </w:r>
            <w:r w:rsidRPr="00A63BAA">
              <w:rPr>
                <w:rFonts w:cs="Arial"/>
              </w:rPr>
              <w:t>de</w:t>
            </w:r>
            <w:r>
              <w:rPr>
                <w:rFonts w:cs="Arial"/>
              </w:rPr>
              <w:t xml:space="preserve">s résultats et enseignements </w:t>
            </w:r>
          </w:p>
        </w:tc>
        <w:tc>
          <w:tcPr>
            <w:tcW w:w="1985" w:type="dxa"/>
            <w:shd w:val="clear" w:color="auto" w:fill="auto"/>
            <w:vAlign w:val="center"/>
          </w:tcPr>
          <w:p w14:paraId="4E095D2C" w14:textId="77777777" w:rsidR="006C601D" w:rsidRDefault="006C601D" w:rsidP="006552BB">
            <w:pPr>
              <w:widowControl w:val="0"/>
              <w:pBdr>
                <w:top w:val="nil"/>
                <w:left w:val="nil"/>
                <w:bottom w:val="nil"/>
                <w:right w:val="nil"/>
                <w:between w:val="nil"/>
              </w:pBdr>
              <w:spacing w:line="240" w:lineRule="auto"/>
              <w:jc w:val="center"/>
              <w:rPr>
                <w:rFonts w:cs="Arial"/>
                <w:bCs/>
              </w:rPr>
            </w:pPr>
            <w:r>
              <w:rPr>
                <w:rFonts w:cs="Arial"/>
                <w:bCs/>
              </w:rPr>
              <w:t>T2 + 1 mois</w:t>
            </w:r>
          </w:p>
        </w:tc>
      </w:tr>
      <w:tr w:rsidR="006C601D" w:rsidRPr="0067016D" w14:paraId="11B617F8" w14:textId="77777777" w:rsidTr="006552BB">
        <w:trPr>
          <w:trHeight w:val="608"/>
        </w:trPr>
        <w:tc>
          <w:tcPr>
            <w:tcW w:w="978" w:type="dxa"/>
            <w:shd w:val="clear" w:color="auto" w:fill="auto"/>
            <w:vAlign w:val="center"/>
          </w:tcPr>
          <w:p w14:paraId="68B76349" w14:textId="77777777" w:rsidR="006C601D" w:rsidRPr="0067016D" w:rsidRDefault="006C601D" w:rsidP="006552BB">
            <w:pPr>
              <w:spacing w:line="240" w:lineRule="auto"/>
              <w:jc w:val="center"/>
              <w:rPr>
                <w:rFonts w:cs="Arial"/>
              </w:rPr>
            </w:pPr>
            <w:r>
              <w:rPr>
                <w:rFonts w:cs="Arial"/>
              </w:rPr>
              <w:t>L4.4</w:t>
            </w:r>
          </w:p>
        </w:tc>
        <w:tc>
          <w:tcPr>
            <w:tcW w:w="5953" w:type="dxa"/>
            <w:gridSpan w:val="2"/>
            <w:shd w:val="clear" w:color="auto" w:fill="auto"/>
            <w:vAlign w:val="center"/>
          </w:tcPr>
          <w:p w14:paraId="5E68C94D" w14:textId="77777777" w:rsidR="006C601D" w:rsidRPr="009C6D2E" w:rsidRDefault="006C601D" w:rsidP="006552BB">
            <w:pPr>
              <w:pBdr>
                <w:top w:val="nil"/>
                <w:left w:val="nil"/>
                <w:bottom w:val="nil"/>
                <w:right w:val="nil"/>
                <w:between w:val="nil"/>
              </w:pBdr>
              <w:spacing w:before="120" w:line="240" w:lineRule="auto"/>
              <w:jc w:val="both"/>
              <w:rPr>
                <w:rFonts w:eastAsia="Arial" w:cs="Arial"/>
                <w:color w:val="000000"/>
              </w:rPr>
            </w:pPr>
            <w:r>
              <w:rPr>
                <w:rFonts w:eastAsia="Arial" w:cs="Arial"/>
                <w:color w:val="000000"/>
              </w:rPr>
              <w:t xml:space="preserve">Un rapport de suivi-évaluation et capitalisation (rapport final). </w:t>
            </w:r>
          </w:p>
          <w:p w14:paraId="74FF6A62" w14:textId="77777777" w:rsidR="006C601D" w:rsidRPr="00A63BAA" w:rsidRDefault="006C601D" w:rsidP="006552BB">
            <w:pPr>
              <w:spacing w:line="240" w:lineRule="auto"/>
              <w:jc w:val="both"/>
              <w:rPr>
                <w:rFonts w:eastAsia="Times New Roman" w:cs="Arial"/>
              </w:rPr>
            </w:pPr>
          </w:p>
        </w:tc>
        <w:tc>
          <w:tcPr>
            <w:tcW w:w="1985" w:type="dxa"/>
            <w:shd w:val="clear" w:color="auto" w:fill="auto"/>
            <w:vAlign w:val="center"/>
          </w:tcPr>
          <w:p w14:paraId="05A12286" w14:textId="77777777" w:rsidR="006C601D" w:rsidRDefault="006C601D" w:rsidP="006552BB">
            <w:pPr>
              <w:widowControl w:val="0"/>
              <w:pBdr>
                <w:top w:val="nil"/>
                <w:left w:val="nil"/>
                <w:bottom w:val="nil"/>
                <w:right w:val="nil"/>
                <w:between w:val="nil"/>
              </w:pBdr>
              <w:spacing w:line="240" w:lineRule="auto"/>
              <w:jc w:val="center"/>
              <w:rPr>
                <w:rFonts w:cs="Arial"/>
                <w:bCs/>
              </w:rPr>
            </w:pPr>
            <w:r>
              <w:rPr>
                <w:rFonts w:cs="Arial"/>
                <w:bCs/>
              </w:rPr>
              <w:t>T2 + 2 mois</w:t>
            </w:r>
          </w:p>
        </w:tc>
      </w:tr>
    </w:tbl>
    <w:p w14:paraId="7C44BD03" w14:textId="6AE90427" w:rsidR="00AC307B" w:rsidRPr="00100F6D" w:rsidRDefault="00AC307B" w:rsidP="00AC307B"/>
    <w:p w14:paraId="15B70C93" w14:textId="77777777" w:rsidR="00EF653D" w:rsidRPr="00100F6D" w:rsidRDefault="00EF653D" w:rsidP="00EF653D">
      <w:pPr>
        <w:pStyle w:val="Titre2"/>
        <w:spacing w:before="120" w:after="60"/>
        <w:rPr>
          <w:rFonts w:asciiTheme="minorHAnsi" w:hAnsiTheme="minorHAnsi" w:cstheme="minorHAnsi"/>
          <w:sz w:val="22"/>
          <w:szCs w:val="22"/>
        </w:rPr>
      </w:pPr>
      <w:bookmarkStart w:id="39" w:name="_Toc392669642"/>
      <w:bookmarkStart w:id="40" w:name="_Toc126921992"/>
      <w:bookmarkStart w:id="41" w:name="_Toc392669644"/>
      <w:bookmarkEnd w:id="38"/>
      <w:r w:rsidRPr="00100F6D">
        <w:rPr>
          <w:rFonts w:asciiTheme="minorHAnsi" w:hAnsiTheme="minorHAnsi" w:cstheme="minorHAnsi"/>
          <w:sz w:val="22"/>
          <w:szCs w:val="22"/>
        </w:rPr>
        <w:t>Expert en charge de l’exécution de la mission</w:t>
      </w:r>
      <w:bookmarkEnd w:id="39"/>
      <w:bookmarkEnd w:id="40"/>
    </w:p>
    <w:p w14:paraId="2A6A1502" w14:textId="77777777" w:rsidR="00EF653D" w:rsidRPr="00100F6D" w:rsidRDefault="00EF653D" w:rsidP="00A1761D">
      <w:pPr>
        <w:pStyle w:val="v"/>
        <w:widowControl w:val="0"/>
        <w:spacing w:before="120"/>
        <w:ind w:left="556" w:firstLine="0"/>
        <w:rPr>
          <w:rFonts w:asciiTheme="minorHAnsi" w:hAnsiTheme="minorHAnsi" w:cstheme="minorHAnsi"/>
          <w:szCs w:val="22"/>
        </w:rPr>
      </w:pPr>
      <w:r w:rsidRPr="00100F6D">
        <w:rPr>
          <w:rFonts w:asciiTheme="minorHAnsi" w:hAnsiTheme="minorHAnsi" w:cstheme="minorHAnsi"/>
          <w:szCs w:val="22"/>
        </w:rPr>
        <w:t xml:space="preserve">La mission d’expertise doit être assurée par </w:t>
      </w:r>
      <w:r w:rsidR="00725B1A" w:rsidRPr="00100F6D">
        <w:rPr>
          <w:rFonts w:asciiTheme="minorHAnsi" w:hAnsiTheme="minorHAnsi" w:cstheme="minorHAnsi"/>
          <w:szCs w:val="22"/>
        </w:rPr>
        <w:t xml:space="preserve">un (ou plusieurs) </w:t>
      </w:r>
      <w:r w:rsidRPr="00100F6D">
        <w:rPr>
          <w:rFonts w:asciiTheme="minorHAnsi" w:hAnsiTheme="minorHAnsi" w:cstheme="minorHAnsi"/>
          <w:szCs w:val="22"/>
        </w:rPr>
        <w:t>expert</w:t>
      </w:r>
      <w:r w:rsidR="00725B1A" w:rsidRPr="00100F6D">
        <w:rPr>
          <w:rFonts w:asciiTheme="minorHAnsi" w:hAnsiTheme="minorHAnsi" w:cstheme="minorHAnsi"/>
          <w:szCs w:val="22"/>
        </w:rPr>
        <w:t xml:space="preserve">(s) </w:t>
      </w:r>
      <w:r w:rsidRPr="00100F6D">
        <w:rPr>
          <w:rFonts w:asciiTheme="minorHAnsi" w:hAnsiTheme="minorHAnsi" w:cstheme="minorHAnsi"/>
          <w:szCs w:val="22"/>
        </w:rPr>
        <w:t>désigné</w:t>
      </w:r>
      <w:r w:rsidR="00725B1A" w:rsidRPr="00100F6D">
        <w:rPr>
          <w:rFonts w:asciiTheme="minorHAnsi" w:hAnsiTheme="minorHAnsi" w:cstheme="minorHAnsi"/>
          <w:szCs w:val="22"/>
        </w:rPr>
        <w:t xml:space="preserve">(s) </w:t>
      </w:r>
      <w:r w:rsidRPr="00100F6D">
        <w:rPr>
          <w:rFonts w:asciiTheme="minorHAnsi" w:hAnsiTheme="minorHAnsi" w:cstheme="minorHAnsi"/>
          <w:szCs w:val="22"/>
        </w:rPr>
        <w:t xml:space="preserve">dont le CV est annexé au présent </w:t>
      </w:r>
      <w:r w:rsidRPr="00100F6D">
        <w:rPr>
          <w:rFonts w:asciiTheme="minorHAnsi" w:hAnsiTheme="minorHAnsi" w:cstheme="minorHAnsi"/>
          <w:smallCaps/>
          <w:szCs w:val="22"/>
        </w:rPr>
        <w:t>Contrat</w:t>
      </w:r>
      <w:r w:rsidRPr="00100F6D">
        <w:rPr>
          <w:rFonts w:asciiTheme="minorHAnsi" w:hAnsiTheme="minorHAnsi" w:cstheme="minorHAnsi"/>
          <w:szCs w:val="22"/>
        </w:rPr>
        <w:t>.</w:t>
      </w:r>
    </w:p>
    <w:p w14:paraId="42B4AAA5" w14:textId="77777777" w:rsidR="00EF653D" w:rsidRPr="00100F6D" w:rsidRDefault="00EF653D"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En conséquence, le </w:t>
      </w:r>
      <w:r w:rsidR="00825236"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 xml:space="preserve"> ne pourra </w:t>
      </w:r>
      <w:r w:rsidR="00725B1A" w:rsidRPr="00100F6D">
        <w:rPr>
          <w:rFonts w:asciiTheme="minorHAnsi" w:hAnsiTheme="minorHAnsi" w:cstheme="minorHAnsi"/>
          <w:sz w:val="22"/>
          <w:szCs w:val="22"/>
        </w:rPr>
        <w:t>substituer un expert désigné par un autre, sur la mise en œuvre des prestations qui lui étai</w:t>
      </w:r>
      <w:r w:rsidR="00ED37FE" w:rsidRPr="00100F6D">
        <w:rPr>
          <w:rFonts w:asciiTheme="minorHAnsi" w:hAnsiTheme="minorHAnsi" w:cstheme="minorHAnsi"/>
          <w:sz w:val="22"/>
          <w:szCs w:val="22"/>
        </w:rPr>
        <w:t>en</w:t>
      </w:r>
      <w:r w:rsidR="00725B1A" w:rsidRPr="00100F6D">
        <w:rPr>
          <w:rFonts w:asciiTheme="minorHAnsi" w:hAnsiTheme="minorHAnsi" w:cstheme="minorHAnsi"/>
          <w:sz w:val="22"/>
          <w:szCs w:val="22"/>
        </w:rPr>
        <w:t>t attribuée</w:t>
      </w:r>
      <w:r w:rsidR="00ED37FE" w:rsidRPr="00100F6D">
        <w:rPr>
          <w:rFonts w:asciiTheme="minorHAnsi" w:hAnsiTheme="minorHAnsi" w:cstheme="minorHAnsi"/>
          <w:sz w:val="22"/>
          <w:szCs w:val="22"/>
        </w:rPr>
        <w:t>s</w:t>
      </w:r>
      <w:r w:rsidR="00725B1A" w:rsidRPr="00100F6D">
        <w:rPr>
          <w:rFonts w:asciiTheme="minorHAnsi" w:hAnsiTheme="minorHAnsi" w:cstheme="minorHAnsi"/>
          <w:sz w:val="22"/>
          <w:szCs w:val="22"/>
        </w:rPr>
        <w:t xml:space="preserve"> </w:t>
      </w:r>
      <w:r w:rsidRPr="00100F6D">
        <w:rPr>
          <w:rFonts w:asciiTheme="minorHAnsi" w:hAnsiTheme="minorHAnsi" w:cstheme="minorHAnsi"/>
          <w:sz w:val="22"/>
          <w:szCs w:val="22"/>
        </w:rPr>
        <w:t>sans l’accord préalable écrit d’</w:t>
      </w:r>
      <w:r w:rsidR="00CE73DB" w:rsidRPr="00100F6D">
        <w:rPr>
          <w:rFonts w:asciiTheme="minorHAnsi" w:hAnsiTheme="minorHAnsi" w:cstheme="minorHAnsi"/>
          <w:smallCaps/>
          <w:sz w:val="22"/>
          <w:szCs w:val="22"/>
        </w:rPr>
        <w:t>EXPERTISE FRANCE</w:t>
      </w:r>
      <w:r w:rsidRPr="00100F6D">
        <w:rPr>
          <w:rFonts w:asciiTheme="minorHAnsi" w:hAnsiTheme="minorHAnsi" w:cstheme="minorHAnsi"/>
          <w:sz w:val="22"/>
          <w:szCs w:val="22"/>
        </w:rPr>
        <w:t xml:space="preserve">. </w:t>
      </w:r>
    </w:p>
    <w:p w14:paraId="28034945" w14:textId="77777777" w:rsidR="00E25D2D" w:rsidRPr="00100F6D" w:rsidRDefault="00800C6C" w:rsidP="00E25D2D">
      <w:pPr>
        <w:pStyle w:val="Titre2"/>
        <w:spacing w:before="120" w:after="60"/>
        <w:rPr>
          <w:rFonts w:asciiTheme="minorHAnsi" w:hAnsiTheme="minorHAnsi" w:cstheme="minorHAnsi"/>
          <w:sz w:val="22"/>
          <w:szCs w:val="22"/>
        </w:rPr>
      </w:pPr>
      <w:bookmarkStart w:id="42" w:name="_Toc126921993"/>
      <w:r w:rsidRPr="00100F6D">
        <w:rPr>
          <w:rFonts w:asciiTheme="minorHAnsi" w:hAnsiTheme="minorHAnsi" w:cstheme="minorHAnsi"/>
          <w:sz w:val="22"/>
          <w:szCs w:val="22"/>
        </w:rPr>
        <w:lastRenderedPageBreak/>
        <w:t>Lieu d’exécution</w:t>
      </w:r>
      <w:bookmarkEnd w:id="41"/>
      <w:bookmarkEnd w:id="42"/>
    </w:p>
    <w:p w14:paraId="211EA0ED" w14:textId="2A8B5034" w:rsidR="00E25D2D" w:rsidRPr="00100F6D" w:rsidRDefault="005563C9" w:rsidP="00BC28CB">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Les prestations</w:t>
      </w:r>
      <w:r w:rsidR="00E25D2D" w:rsidRPr="00100F6D">
        <w:rPr>
          <w:rFonts w:asciiTheme="minorHAnsi" w:hAnsiTheme="minorHAnsi" w:cstheme="minorHAnsi"/>
          <w:szCs w:val="22"/>
        </w:rPr>
        <w:t xml:space="preserve"> seront </w:t>
      </w:r>
      <w:r w:rsidRPr="00100F6D">
        <w:rPr>
          <w:rFonts w:asciiTheme="minorHAnsi" w:hAnsiTheme="minorHAnsi" w:cstheme="minorHAnsi"/>
          <w:szCs w:val="22"/>
        </w:rPr>
        <w:t>exécutées</w:t>
      </w:r>
      <w:r w:rsidR="00E25D2D" w:rsidRPr="00100F6D">
        <w:rPr>
          <w:rFonts w:asciiTheme="minorHAnsi" w:hAnsiTheme="minorHAnsi" w:cstheme="minorHAnsi"/>
          <w:szCs w:val="22"/>
        </w:rPr>
        <w:t xml:space="preserve"> en</w:t>
      </w:r>
      <w:r w:rsidR="00143F6C" w:rsidRPr="00100F6D">
        <w:rPr>
          <w:rFonts w:asciiTheme="minorHAnsi" w:hAnsiTheme="minorHAnsi" w:cstheme="minorHAnsi"/>
          <w:szCs w:val="22"/>
        </w:rPr>
        <w:t xml:space="preserve"> </w:t>
      </w:r>
      <w:r w:rsidR="00BC28CB" w:rsidRPr="00100F6D">
        <w:rPr>
          <w:rFonts w:asciiTheme="minorHAnsi" w:hAnsiTheme="minorHAnsi" w:cstheme="minorHAnsi"/>
          <w:szCs w:val="22"/>
        </w:rPr>
        <w:t>Tunisie</w:t>
      </w:r>
      <w:r w:rsidR="007221FF" w:rsidRPr="00100F6D">
        <w:rPr>
          <w:rFonts w:asciiTheme="minorHAnsi" w:hAnsiTheme="minorHAnsi" w:cstheme="minorHAnsi"/>
          <w:szCs w:val="22"/>
        </w:rPr>
        <w:t xml:space="preserve"> et/ou à distance</w:t>
      </w:r>
      <w:r w:rsidR="00BC28CB" w:rsidRPr="00100F6D">
        <w:rPr>
          <w:rFonts w:asciiTheme="minorHAnsi" w:hAnsiTheme="minorHAnsi" w:cstheme="minorHAnsi"/>
          <w:szCs w:val="22"/>
        </w:rPr>
        <w:t>.</w:t>
      </w:r>
    </w:p>
    <w:p w14:paraId="090811EF" w14:textId="67DCC38B" w:rsidR="002049D5" w:rsidRPr="00100F6D"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sidRPr="00100F6D">
        <w:rPr>
          <w:rFonts w:asciiTheme="minorHAnsi" w:hAnsiTheme="minorHAnsi" w:cstheme="minorHAnsi"/>
          <w:sz w:val="22"/>
          <w:szCs w:val="22"/>
        </w:rPr>
        <w:t>Langue du contrat</w:t>
      </w:r>
      <w:bookmarkEnd w:id="43"/>
    </w:p>
    <w:p w14:paraId="1B469213" w14:textId="7BCBF916" w:rsidR="002049D5" w:rsidRPr="00100F6D" w:rsidRDefault="002049D5" w:rsidP="00E41C9A">
      <w:pPr>
        <w:ind w:left="567"/>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100F6D" w:rsidRDefault="003A4792" w:rsidP="00A1761D">
      <w:pPr>
        <w:pStyle w:val="Titre2"/>
        <w:spacing w:before="120" w:after="60"/>
        <w:jc w:val="both"/>
        <w:rPr>
          <w:rFonts w:asciiTheme="minorHAnsi" w:hAnsiTheme="minorHAnsi" w:cstheme="minorHAnsi"/>
          <w:sz w:val="22"/>
          <w:szCs w:val="22"/>
        </w:rPr>
      </w:pPr>
      <w:bookmarkStart w:id="45" w:name="_Toc126921997"/>
      <w:r w:rsidRPr="00100F6D">
        <w:rPr>
          <w:rFonts w:asciiTheme="minorHAnsi" w:hAnsiTheme="minorHAnsi" w:cstheme="minorHAnsi"/>
          <w:sz w:val="22"/>
          <w:szCs w:val="22"/>
        </w:rPr>
        <w:t xml:space="preserve">Engagement du </w:t>
      </w:r>
      <w:bookmarkEnd w:id="44"/>
      <w:r w:rsidR="00825236" w:rsidRPr="00100F6D">
        <w:rPr>
          <w:rFonts w:asciiTheme="minorHAnsi" w:hAnsiTheme="minorHAnsi" w:cstheme="minorHAnsi"/>
          <w:smallCaps/>
          <w:sz w:val="22"/>
          <w:szCs w:val="22"/>
        </w:rPr>
        <w:t>Contractant</w:t>
      </w:r>
      <w:bookmarkEnd w:id="45"/>
    </w:p>
    <w:p w14:paraId="52A0C7B3" w14:textId="77777777" w:rsidR="00456853" w:rsidRPr="00100F6D" w:rsidRDefault="00456853" w:rsidP="00A1761D">
      <w:pPr>
        <w:pStyle w:val="u"/>
        <w:widowControl w:val="0"/>
        <w:numPr>
          <w:ilvl w:val="12"/>
          <w:numId w:val="0"/>
        </w:numPr>
        <w:spacing w:before="120"/>
        <w:ind w:left="567"/>
        <w:rPr>
          <w:rFonts w:asciiTheme="minorHAnsi" w:hAnsiTheme="minorHAnsi" w:cstheme="minorHAnsi"/>
          <w:szCs w:val="22"/>
        </w:rPr>
      </w:pPr>
      <w:r w:rsidRPr="00100F6D">
        <w:rPr>
          <w:rFonts w:asciiTheme="minorHAnsi" w:hAnsiTheme="minorHAnsi" w:cstheme="minorHAnsi"/>
          <w:szCs w:val="22"/>
        </w:rPr>
        <w:t xml:space="preserve">Le </w:t>
      </w:r>
      <w:r w:rsidR="00825236" w:rsidRPr="00100F6D">
        <w:rPr>
          <w:rFonts w:asciiTheme="minorHAnsi" w:hAnsiTheme="minorHAnsi" w:cstheme="minorHAnsi"/>
          <w:smallCaps/>
          <w:szCs w:val="22"/>
        </w:rPr>
        <w:t>Contractant</w:t>
      </w:r>
      <w:r w:rsidRPr="00100F6D">
        <w:rPr>
          <w:rFonts w:asciiTheme="minorHAnsi" w:hAnsiTheme="minorHAnsi" w:cstheme="minorHAnsi"/>
          <w:szCs w:val="22"/>
        </w:rPr>
        <w:t xml:space="preserve"> est tenu par une </w:t>
      </w:r>
      <w:r w:rsidRPr="00100F6D">
        <w:rPr>
          <w:rFonts w:asciiTheme="minorHAnsi" w:hAnsiTheme="minorHAnsi" w:cstheme="minorHAnsi"/>
          <w:szCs w:val="22"/>
          <w:u w:val="single"/>
        </w:rPr>
        <w:t>obligation de résultat</w:t>
      </w:r>
      <w:r w:rsidRPr="00100F6D">
        <w:rPr>
          <w:rFonts w:asciiTheme="minorHAnsi" w:hAnsiTheme="minorHAnsi" w:cstheme="minorHAnsi"/>
          <w:szCs w:val="22"/>
        </w:rPr>
        <w:t xml:space="preserve"> et s’engage à :</w:t>
      </w:r>
    </w:p>
    <w:p w14:paraId="7D1A1157"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se conformer au cahier des charges </w:t>
      </w:r>
      <w:r w:rsidRPr="00100F6D">
        <w:rPr>
          <w:rFonts w:asciiTheme="minorHAnsi" w:hAnsiTheme="minorHAnsi" w:cstheme="minorHAnsi"/>
          <w:smallCaps/>
          <w:szCs w:val="22"/>
        </w:rPr>
        <w:t>;</w:t>
      </w:r>
    </w:p>
    <w:p w14:paraId="6C182559"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signaler immédiatement à </w:t>
      </w:r>
      <w:r w:rsidR="00100109" w:rsidRPr="00100F6D">
        <w:rPr>
          <w:rFonts w:asciiTheme="minorHAnsi" w:hAnsiTheme="minorHAnsi" w:cstheme="minorHAnsi"/>
          <w:smallCaps/>
          <w:szCs w:val="22"/>
        </w:rPr>
        <w:t>Expertise France</w:t>
      </w:r>
      <w:r w:rsidR="00100109" w:rsidRPr="00100F6D">
        <w:rPr>
          <w:rFonts w:asciiTheme="minorHAnsi" w:hAnsiTheme="minorHAnsi" w:cstheme="minorHAnsi"/>
          <w:szCs w:val="22"/>
        </w:rPr>
        <w:t xml:space="preserve"> </w:t>
      </w:r>
      <w:r w:rsidRPr="00100F6D">
        <w:rPr>
          <w:rFonts w:asciiTheme="minorHAnsi" w:hAnsiTheme="minorHAnsi" w:cstheme="minorHAnsi"/>
          <w:szCs w:val="22"/>
        </w:rPr>
        <w:t xml:space="preserve">par écrit toute communication ou instruction relative aux prestations qui lui parviendrait du </w:t>
      </w:r>
      <w:r w:rsidRPr="00100F6D">
        <w:rPr>
          <w:rFonts w:asciiTheme="minorHAnsi" w:hAnsiTheme="minorHAnsi" w:cstheme="minorHAnsi"/>
          <w:smallCaps/>
          <w:szCs w:val="22"/>
        </w:rPr>
        <w:t>Client</w:t>
      </w:r>
      <w:r w:rsidRPr="00100F6D">
        <w:rPr>
          <w:rFonts w:asciiTheme="minorHAnsi" w:hAnsiTheme="minorHAnsi" w:cstheme="minorHAnsi"/>
          <w:szCs w:val="22"/>
        </w:rPr>
        <w:t xml:space="preserve"> </w:t>
      </w:r>
      <w:r w:rsidR="00DF5FF7" w:rsidRPr="00100F6D">
        <w:rPr>
          <w:rFonts w:asciiTheme="minorHAnsi" w:hAnsiTheme="minorHAnsi" w:cstheme="minorHAnsi"/>
          <w:szCs w:val="22"/>
        </w:rPr>
        <w:t xml:space="preserve">(pays </w:t>
      </w:r>
      <w:r w:rsidR="006836B1" w:rsidRPr="00100F6D">
        <w:rPr>
          <w:rFonts w:asciiTheme="minorHAnsi" w:hAnsiTheme="minorHAnsi" w:cstheme="minorHAnsi"/>
          <w:szCs w:val="22"/>
        </w:rPr>
        <w:t xml:space="preserve">ou </w:t>
      </w:r>
      <w:r w:rsidR="00DF5FF7" w:rsidRPr="00100F6D">
        <w:rPr>
          <w:rFonts w:asciiTheme="minorHAnsi" w:hAnsiTheme="minorHAnsi" w:cstheme="minorHAnsi"/>
          <w:szCs w:val="22"/>
        </w:rPr>
        <w:t xml:space="preserve">administration bénéficiaire) </w:t>
      </w:r>
      <w:r w:rsidRPr="00100F6D">
        <w:rPr>
          <w:rFonts w:asciiTheme="minorHAnsi" w:hAnsiTheme="minorHAnsi" w:cstheme="minorHAnsi"/>
          <w:szCs w:val="22"/>
        </w:rPr>
        <w:t xml:space="preserve">ou d’un tiers, et à ne se conformer à ladite communication ou instruction qu’après entretien avec </w:t>
      </w:r>
      <w:r w:rsidR="00100109" w:rsidRPr="00100F6D">
        <w:rPr>
          <w:rFonts w:asciiTheme="minorHAnsi" w:hAnsiTheme="minorHAnsi" w:cstheme="minorHAnsi"/>
          <w:smallCaps/>
          <w:szCs w:val="22"/>
        </w:rPr>
        <w:t>Expertise France</w:t>
      </w:r>
      <w:r w:rsidR="00100109" w:rsidRPr="00100F6D">
        <w:rPr>
          <w:rFonts w:asciiTheme="minorHAnsi" w:hAnsiTheme="minorHAnsi" w:cstheme="minorHAnsi"/>
          <w:szCs w:val="22"/>
        </w:rPr>
        <w:t xml:space="preserve"> </w:t>
      </w:r>
      <w:r w:rsidRPr="00100F6D">
        <w:rPr>
          <w:rFonts w:asciiTheme="minorHAnsi" w:hAnsiTheme="minorHAnsi" w:cstheme="minorHAnsi"/>
          <w:szCs w:val="22"/>
        </w:rPr>
        <w:t>et avoir reçu son accord écrit</w:t>
      </w:r>
      <w:r w:rsidR="00C05CC0" w:rsidRPr="00100F6D">
        <w:rPr>
          <w:rFonts w:asciiTheme="minorHAnsi" w:hAnsiTheme="minorHAnsi" w:cstheme="minorHAnsi"/>
          <w:szCs w:val="22"/>
        </w:rPr>
        <w:t xml:space="preserve"> </w:t>
      </w:r>
      <w:r w:rsidRPr="00100F6D">
        <w:rPr>
          <w:rFonts w:asciiTheme="minorHAnsi" w:hAnsiTheme="minorHAnsi" w:cstheme="minorHAnsi"/>
          <w:szCs w:val="22"/>
        </w:rPr>
        <w:t>;</w:t>
      </w:r>
    </w:p>
    <w:p w14:paraId="755DB327"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100F6D">
        <w:rPr>
          <w:rFonts w:asciiTheme="minorHAnsi" w:hAnsiTheme="minorHAnsi" w:cstheme="minorHAnsi"/>
          <w:smallCaps/>
          <w:szCs w:val="22"/>
        </w:rPr>
        <w:t>Contrat</w:t>
      </w:r>
      <w:r w:rsidRPr="00100F6D">
        <w:rPr>
          <w:rFonts w:asciiTheme="minorHAnsi" w:hAnsiTheme="minorHAnsi" w:cstheme="minorHAnsi"/>
          <w:szCs w:val="22"/>
        </w:rPr>
        <w:t> ;</w:t>
      </w:r>
    </w:p>
    <w:p w14:paraId="26AEC7B2"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100F6D">
        <w:rPr>
          <w:rFonts w:asciiTheme="minorHAnsi" w:hAnsiTheme="minorHAnsi" w:cstheme="minorHAnsi"/>
          <w:smallCaps/>
          <w:szCs w:val="22"/>
        </w:rPr>
        <w:t>expertise France</w:t>
      </w:r>
      <w:r w:rsidRPr="00100F6D">
        <w:rPr>
          <w:rFonts w:asciiTheme="minorHAnsi" w:hAnsiTheme="minorHAnsi" w:cstheme="minorHAnsi"/>
          <w:szCs w:val="22"/>
        </w:rPr>
        <w:t>, de sorte qu’</w:t>
      </w:r>
      <w:r w:rsidR="00100109" w:rsidRPr="00100F6D">
        <w:rPr>
          <w:rFonts w:asciiTheme="minorHAnsi" w:hAnsiTheme="minorHAnsi" w:cstheme="minorHAnsi"/>
          <w:smallCaps/>
          <w:szCs w:val="22"/>
        </w:rPr>
        <w:t>expertise France</w:t>
      </w:r>
      <w:r w:rsidR="00100109" w:rsidRPr="00100F6D">
        <w:rPr>
          <w:rFonts w:asciiTheme="minorHAnsi" w:hAnsiTheme="minorHAnsi" w:cstheme="minorHAnsi"/>
          <w:szCs w:val="22"/>
        </w:rPr>
        <w:t xml:space="preserve"> </w:t>
      </w:r>
      <w:r w:rsidRPr="00100F6D">
        <w:rPr>
          <w:rFonts w:asciiTheme="minorHAnsi" w:hAnsiTheme="minorHAnsi" w:cstheme="minorHAnsi"/>
          <w:szCs w:val="22"/>
        </w:rPr>
        <w:t xml:space="preserve">ne soit pas mise en cause à cet égard ni par le </w:t>
      </w:r>
      <w:r w:rsidRPr="00100F6D">
        <w:rPr>
          <w:rFonts w:asciiTheme="minorHAnsi" w:hAnsiTheme="minorHAnsi" w:cstheme="minorHAnsi"/>
          <w:smallCaps/>
          <w:szCs w:val="22"/>
        </w:rPr>
        <w:t>Client</w:t>
      </w:r>
      <w:r w:rsidRPr="00100F6D">
        <w:rPr>
          <w:rFonts w:asciiTheme="minorHAnsi" w:hAnsiTheme="minorHAnsi" w:cstheme="minorHAnsi"/>
          <w:szCs w:val="22"/>
        </w:rPr>
        <w:t>, ni par tout autre interlocuteur désigné par ce dernier ;</w:t>
      </w:r>
    </w:p>
    <w:p w14:paraId="1A2FBA21"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protéger au mieux les intérêts d’</w:t>
      </w:r>
      <w:r w:rsidR="00100109" w:rsidRPr="00100F6D">
        <w:rPr>
          <w:rFonts w:asciiTheme="minorHAnsi" w:hAnsiTheme="minorHAnsi" w:cstheme="minorHAnsi"/>
          <w:smallCaps/>
          <w:szCs w:val="22"/>
        </w:rPr>
        <w:t>expertise France</w:t>
      </w:r>
      <w:r w:rsidRPr="00100F6D">
        <w:rPr>
          <w:rFonts w:asciiTheme="minorHAnsi" w:hAnsiTheme="minorHAnsi" w:cstheme="minorHAnsi"/>
          <w:szCs w:val="22"/>
        </w:rPr>
        <w:t xml:space="preserve"> vis-à-vis du </w:t>
      </w:r>
      <w:r w:rsidRPr="00100F6D">
        <w:rPr>
          <w:rFonts w:asciiTheme="minorHAnsi" w:hAnsiTheme="minorHAnsi" w:cstheme="minorHAnsi"/>
          <w:smallCaps/>
          <w:szCs w:val="22"/>
        </w:rPr>
        <w:t>Client</w:t>
      </w:r>
      <w:r w:rsidRPr="00100F6D">
        <w:rPr>
          <w:rFonts w:asciiTheme="minorHAnsi" w:hAnsiTheme="minorHAnsi" w:cstheme="minorHAnsi"/>
          <w:szCs w:val="22"/>
        </w:rPr>
        <w:t> ;</w:t>
      </w:r>
    </w:p>
    <w:p w14:paraId="34043BE3"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se comporter en conseiller loyal vis-à-vis d’</w:t>
      </w:r>
      <w:r w:rsidR="00524491" w:rsidRPr="00100F6D">
        <w:rPr>
          <w:rFonts w:asciiTheme="minorHAnsi" w:hAnsiTheme="minorHAnsi" w:cstheme="minorHAnsi"/>
          <w:smallCaps/>
          <w:szCs w:val="22"/>
        </w:rPr>
        <w:t>expertise France</w:t>
      </w:r>
      <w:r w:rsidR="00524491" w:rsidRPr="00100F6D">
        <w:rPr>
          <w:rFonts w:asciiTheme="minorHAnsi" w:hAnsiTheme="minorHAnsi" w:cstheme="minorHAnsi"/>
          <w:szCs w:val="22"/>
        </w:rPr>
        <w:t> </w:t>
      </w:r>
      <w:r w:rsidRPr="00100F6D">
        <w:rPr>
          <w:rFonts w:asciiTheme="minorHAnsi" w:hAnsiTheme="minorHAnsi" w:cstheme="minorHAnsi"/>
          <w:szCs w:val="22"/>
        </w:rPr>
        <w:t>;</w:t>
      </w:r>
    </w:p>
    <w:p w14:paraId="217A3A46"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se présenter vis-à-vis du </w:t>
      </w:r>
      <w:r w:rsidRPr="00100F6D">
        <w:rPr>
          <w:rFonts w:asciiTheme="minorHAnsi" w:hAnsiTheme="minorHAnsi" w:cstheme="minorHAnsi"/>
          <w:smallCaps/>
          <w:szCs w:val="22"/>
        </w:rPr>
        <w:t>Client</w:t>
      </w:r>
      <w:r w:rsidRPr="00100F6D">
        <w:rPr>
          <w:rFonts w:asciiTheme="minorHAnsi" w:hAnsiTheme="minorHAnsi" w:cstheme="minorHAnsi"/>
          <w:szCs w:val="22"/>
        </w:rPr>
        <w:t xml:space="preserve">, des partenaires et des autorités locales comme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missionné par </w:t>
      </w:r>
      <w:r w:rsidR="00100109" w:rsidRPr="00100F6D">
        <w:rPr>
          <w:rFonts w:asciiTheme="minorHAnsi" w:hAnsiTheme="minorHAnsi" w:cstheme="minorHAnsi"/>
          <w:smallCaps/>
          <w:szCs w:val="22"/>
        </w:rPr>
        <w:t>Expertise France</w:t>
      </w:r>
      <w:r w:rsidRPr="00100F6D">
        <w:rPr>
          <w:rFonts w:asciiTheme="minorHAnsi" w:hAnsiTheme="minorHAnsi" w:cstheme="minorHAnsi"/>
          <w:szCs w:val="22"/>
        </w:rPr>
        <w:t>.</w:t>
      </w:r>
    </w:p>
    <w:p w14:paraId="691A5BDB" w14:textId="77777777" w:rsidR="00F97562" w:rsidRPr="00100F6D" w:rsidRDefault="00F97562" w:rsidP="006B6C1B">
      <w:pPr>
        <w:pStyle w:val="u"/>
        <w:widowControl w:val="0"/>
        <w:numPr>
          <w:ilvl w:val="0"/>
          <w:numId w:val="8"/>
        </w:numPr>
        <w:spacing w:before="60"/>
        <w:rPr>
          <w:rFonts w:asciiTheme="minorHAnsi" w:hAnsiTheme="minorHAnsi" w:cstheme="minorHAnsi"/>
          <w:szCs w:val="22"/>
        </w:rPr>
      </w:pPr>
      <w:r w:rsidRPr="00100F6D">
        <w:rPr>
          <w:rFonts w:asciiTheme="minorHAnsi" w:hAnsiTheme="minorHAnsi" w:cstheme="minorHAnsi"/>
          <w:szCs w:val="22"/>
        </w:rPr>
        <w:t xml:space="preserve">appliquer les engagements </w:t>
      </w:r>
      <w:r w:rsidR="006C5B6D" w:rsidRPr="00100F6D">
        <w:rPr>
          <w:rFonts w:asciiTheme="minorHAnsi" w:hAnsiTheme="minorHAnsi" w:cstheme="minorHAnsi"/>
          <w:szCs w:val="22"/>
        </w:rPr>
        <w:t>d’</w:t>
      </w:r>
      <w:r w:rsidR="00CE73DB" w:rsidRPr="00100F6D">
        <w:rPr>
          <w:rFonts w:asciiTheme="minorHAnsi" w:hAnsiTheme="minorHAnsi" w:cstheme="minorHAnsi"/>
          <w:smallCaps/>
          <w:szCs w:val="22"/>
        </w:rPr>
        <w:t>Expertise France</w:t>
      </w:r>
      <w:r w:rsidRPr="00100F6D">
        <w:rPr>
          <w:rFonts w:asciiTheme="minorHAnsi" w:hAnsiTheme="minorHAnsi" w:cstheme="minorHAnsi"/>
          <w:smallCaps/>
          <w:szCs w:val="22"/>
        </w:rPr>
        <w:t xml:space="preserve"> </w:t>
      </w:r>
      <w:r w:rsidRPr="00100F6D">
        <w:rPr>
          <w:rFonts w:asciiTheme="minorHAnsi" w:hAnsiTheme="minorHAnsi" w:cstheme="minorHAnsi"/>
          <w:szCs w:val="22"/>
        </w:rPr>
        <w:t xml:space="preserve">exprimés dans sa Charte éthique jointe en annexe 5 du présent </w:t>
      </w:r>
      <w:r w:rsidR="00100109" w:rsidRPr="00100F6D">
        <w:rPr>
          <w:rFonts w:asciiTheme="minorHAnsi" w:hAnsiTheme="minorHAnsi" w:cstheme="minorHAnsi"/>
          <w:smallCaps/>
          <w:szCs w:val="22"/>
        </w:rPr>
        <w:t>Contrat</w:t>
      </w:r>
      <w:r w:rsidRPr="00100F6D">
        <w:rPr>
          <w:rFonts w:asciiTheme="minorHAnsi" w:hAnsiTheme="minorHAnsi" w:cstheme="minorHAnsi"/>
          <w:szCs w:val="22"/>
        </w:rPr>
        <w:t>.</w:t>
      </w:r>
    </w:p>
    <w:p w14:paraId="3342C4E4" w14:textId="77777777" w:rsidR="003A4792" w:rsidRPr="00100F6D" w:rsidRDefault="003A4792" w:rsidP="00A1761D">
      <w:pPr>
        <w:pStyle w:val="u"/>
        <w:widowControl w:val="0"/>
        <w:numPr>
          <w:ilvl w:val="12"/>
          <w:numId w:val="0"/>
        </w:numPr>
        <w:spacing w:before="120"/>
        <w:ind w:left="567"/>
        <w:rPr>
          <w:rFonts w:asciiTheme="minorHAnsi" w:hAnsiTheme="minorHAnsi" w:cstheme="minorHAnsi"/>
          <w:szCs w:val="22"/>
        </w:rPr>
      </w:pPr>
      <w:r w:rsidRPr="00100F6D">
        <w:rPr>
          <w:rFonts w:asciiTheme="minorHAnsi" w:hAnsiTheme="minorHAnsi" w:cstheme="minorHAnsi"/>
          <w:szCs w:val="22"/>
        </w:rPr>
        <w:t xml:space="preserve">Dans le cadre de l’exécution du </w:t>
      </w:r>
      <w:r w:rsidRPr="00100F6D">
        <w:rPr>
          <w:rFonts w:asciiTheme="minorHAnsi" w:hAnsiTheme="minorHAnsi" w:cstheme="minorHAnsi"/>
          <w:smallCaps/>
          <w:szCs w:val="22"/>
        </w:rPr>
        <w:t>Contrat</w:t>
      </w:r>
      <w:r w:rsidRPr="00100F6D">
        <w:rPr>
          <w:rFonts w:asciiTheme="minorHAnsi" w:hAnsiTheme="minorHAnsi" w:cstheme="minorHAnsi"/>
          <w:szCs w:val="22"/>
        </w:rPr>
        <w:t xml:space="preserve">, le </w:t>
      </w:r>
      <w:r w:rsidR="00100109" w:rsidRPr="00100F6D">
        <w:rPr>
          <w:rFonts w:asciiTheme="minorHAnsi" w:hAnsiTheme="minorHAnsi" w:cstheme="minorHAnsi"/>
          <w:smallCaps/>
          <w:szCs w:val="22"/>
        </w:rPr>
        <w:t>Contractant</w:t>
      </w:r>
      <w:r w:rsidR="00D10387" w:rsidRPr="00100F6D">
        <w:rPr>
          <w:rFonts w:asciiTheme="minorHAnsi" w:hAnsiTheme="minorHAnsi" w:cstheme="minorHAnsi"/>
          <w:smallCaps/>
          <w:szCs w:val="22"/>
        </w:rPr>
        <w:t xml:space="preserve"> </w:t>
      </w:r>
      <w:r w:rsidR="00D10387" w:rsidRPr="00100F6D">
        <w:rPr>
          <w:rFonts w:asciiTheme="minorHAnsi" w:hAnsiTheme="minorHAnsi" w:cstheme="minorHAnsi"/>
          <w:szCs w:val="22"/>
        </w:rPr>
        <w:t>s’engage</w:t>
      </w:r>
      <w:r w:rsidR="00D10387" w:rsidRPr="00100F6D">
        <w:rPr>
          <w:rFonts w:asciiTheme="minorHAnsi" w:hAnsiTheme="minorHAnsi" w:cstheme="minorHAnsi"/>
          <w:smallCaps/>
          <w:szCs w:val="22"/>
        </w:rPr>
        <w:t xml:space="preserve"> </w:t>
      </w:r>
      <w:r w:rsidR="00D10387" w:rsidRPr="00100F6D">
        <w:rPr>
          <w:rFonts w:asciiTheme="minorHAnsi" w:hAnsiTheme="minorHAnsi" w:cstheme="minorHAnsi"/>
          <w:szCs w:val="22"/>
        </w:rPr>
        <w:t>à</w:t>
      </w:r>
      <w:r w:rsidR="00143F6C" w:rsidRPr="00100F6D">
        <w:rPr>
          <w:rFonts w:asciiTheme="minorHAnsi" w:hAnsiTheme="minorHAnsi" w:cstheme="minorHAnsi"/>
          <w:smallCaps/>
          <w:szCs w:val="22"/>
        </w:rPr>
        <w:t> </w:t>
      </w:r>
      <w:r w:rsidRPr="00100F6D">
        <w:rPr>
          <w:rFonts w:asciiTheme="minorHAnsi" w:hAnsiTheme="minorHAnsi" w:cstheme="minorHAnsi"/>
          <w:szCs w:val="22"/>
        </w:rPr>
        <w:t>:</w:t>
      </w:r>
    </w:p>
    <w:p w14:paraId="23881A9F" w14:textId="77777777" w:rsidR="003A4792" w:rsidRPr="00100F6D" w:rsidRDefault="003A4792" w:rsidP="006B6C1B">
      <w:pPr>
        <w:pStyle w:val="u"/>
        <w:widowControl w:val="0"/>
        <w:numPr>
          <w:ilvl w:val="0"/>
          <w:numId w:val="8"/>
        </w:numPr>
        <w:spacing w:before="120"/>
        <w:rPr>
          <w:rFonts w:asciiTheme="minorHAnsi" w:hAnsiTheme="minorHAnsi" w:cstheme="minorHAnsi"/>
          <w:szCs w:val="22"/>
        </w:rPr>
      </w:pPr>
      <w:r w:rsidRPr="00100F6D">
        <w:rPr>
          <w:rFonts w:asciiTheme="minorHAnsi" w:hAnsiTheme="minorHAnsi" w:cstheme="minorHAnsi"/>
          <w:szCs w:val="22"/>
        </w:rPr>
        <w:t>réalise</w:t>
      </w:r>
      <w:r w:rsidR="00B04123" w:rsidRPr="00100F6D">
        <w:rPr>
          <w:rFonts w:asciiTheme="minorHAnsi" w:hAnsiTheme="minorHAnsi" w:cstheme="minorHAnsi"/>
          <w:szCs w:val="22"/>
        </w:rPr>
        <w:t>r</w:t>
      </w:r>
      <w:r w:rsidRPr="00100F6D">
        <w:rPr>
          <w:rFonts w:asciiTheme="minorHAnsi" w:hAnsiTheme="minorHAnsi" w:cstheme="minorHAnsi"/>
          <w:szCs w:val="22"/>
        </w:rPr>
        <w:t xml:space="preserve"> les</w:t>
      </w:r>
      <w:r w:rsidR="00C84056" w:rsidRPr="00100F6D">
        <w:rPr>
          <w:rFonts w:asciiTheme="minorHAnsi" w:hAnsiTheme="minorHAnsi" w:cstheme="minorHAnsi"/>
          <w:szCs w:val="22"/>
        </w:rPr>
        <w:t xml:space="preserve"> prestations</w:t>
      </w:r>
      <w:r w:rsidRPr="00100F6D">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100F6D" w:rsidRDefault="003A4792"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utilise</w:t>
      </w:r>
      <w:r w:rsidR="00B04123" w:rsidRPr="00100F6D">
        <w:rPr>
          <w:rFonts w:asciiTheme="minorHAnsi" w:hAnsiTheme="minorHAnsi" w:cstheme="minorHAnsi"/>
          <w:szCs w:val="22"/>
        </w:rPr>
        <w:t>r</w:t>
      </w:r>
      <w:r w:rsidRPr="00100F6D">
        <w:rPr>
          <w:rFonts w:asciiTheme="minorHAnsi" w:hAnsiTheme="minorHAnsi" w:cstheme="minorHAnsi"/>
          <w:szCs w:val="22"/>
        </w:rPr>
        <w:t xml:space="preserve"> des techniques modernes appropriées et procédés sûrs et efficaces</w:t>
      </w:r>
      <w:r w:rsidR="00456853" w:rsidRPr="00100F6D">
        <w:rPr>
          <w:rFonts w:asciiTheme="minorHAnsi" w:hAnsiTheme="minorHAnsi" w:cstheme="minorHAnsi"/>
          <w:szCs w:val="22"/>
        </w:rPr>
        <w:t>.</w:t>
      </w:r>
    </w:p>
    <w:p w14:paraId="2FE86BFB" w14:textId="77777777" w:rsidR="003A4792" w:rsidRPr="00100F6D"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100F6D">
        <w:rPr>
          <w:rFonts w:asciiTheme="minorHAnsi" w:hAnsiTheme="minorHAnsi" w:cstheme="minorHAnsi"/>
          <w:sz w:val="22"/>
          <w:szCs w:val="22"/>
        </w:rPr>
        <w:t>Confidentialité</w:t>
      </w:r>
      <w:bookmarkEnd w:id="46"/>
      <w:bookmarkEnd w:id="47"/>
    </w:p>
    <w:p w14:paraId="02834DA2" w14:textId="77777777" w:rsidR="00C71F4D" w:rsidRPr="00100F6D" w:rsidRDefault="00C71F4D" w:rsidP="00A1761D">
      <w:pPr>
        <w:pStyle w:val="u"/>
        <w:widowControl w:val="0"/>
        <w:spacing w:before="120"/>
        <w:ind w:left="567"/>
        <w:rPr>
          <w:rFonts w:asciiTheme="minorHAnsi" w:hAnsiTheme="minorHAnsi" w:cstheme="minorHAnsi"/>
          <w:szCs w:val="22"/>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00D10387" w:rsidRPr="00100F6D">
        <w:rPr>
          <w:rFonts w:asciiTheme="minorHAnsi" w:hAnsiTheme="minorHAnsi" w:cstheme="minorHAnsi"/>
          <w:smallCaps/>
          <w:szCs w:val="22"/>
        </w:rPr>
        <w:t xml:space="preserve"> </w:t>
      </w:r>
      <w:r w:rsidR="00F92D77" w:rsidRPr="00100F6D">
        <w:rPr>
          <w:rFonts w:asciiTheme="minorHAnsi" w:hAnsiTheme="minorHAnsi" w:cstheme="minorHAnsi"/>
          <w:szCs w:val="22"/>
        </w:rPr>
        <w:t>tiendra</w:t>
      </w:r>
      <w:r w:rsidR="00D10387" w:rsidRPr="00100F6D">
        <w:rPr>
          <w:rFonts w:asciiTheme="minorHAnsi" w:hAnsiTheme="minorHAnsi" w:cstheme="minorHAnsi"/>
          <w:szCs w:val="22"/>
        </w:rPr>
        <w:t xml:space="preserve"> </w:t>
      </w:r>
      <w:r w:rsidRPr="00100F6D">
        <w:rPr>
          <w:rFonts w:asciiTheme="minorHAnsi" w:hAnsiTheme="minorHAnsi" w:cstheme="minorHAnsi"/>
          <w:szCs w:val="22"/>
        </w:rPr>
        <w:t>pour privé et confidentiel tous les documents et inf</w:t>
      </w:r>
      <w:r w:rsidR="005D1EE3" w:rsidRPr="00100F6D">
        <w:rPr>
          <w:rFonts w:asciiTheme="minorHAnsi" w:hAnsiTheme="minorHAnsi" w:cstheme="minorHAnsi"/>
          <w:szCs w:val="22"/>
        </w:rPr>
        <w:t xml:space="preserve">ormations reçus ou portés à </w:t>
      </w:r>
      <w:r w:rsidR="00CF297A" w:rsidRPr="00100F6D">
        <w:rPr>
          <w:rFonts w:asciiTheme="minorHAnsi" w:hAnsiTheme="minorHAnsi" w:cstheme="minorHAnsi"/>
          <w:szCs w:val="22"/>
        </w:rPr>
        <w:t>sa</w:t>
      </w:r>
      <w:r w:rsidR="00D10387" w:rsidRPr="00100F6D">
        <w:rPr>
          <w:rFonts w:asciiTheme="minorHAnsi" w:hAnsiTheme="minorHAnsi" w:cstheme="minorHAnsi"/>
          <w:szCs w:val="22"/>
        </w:rPr>
        <w:t xml:space="preserve"> </w:t>
      </w:r>
      <w:r w:rsidRPr="00100F6D">
        <w:rPr>
          <w:rFonts w:asciiTheme="minorHAnsi" w:hAnsiTheme="minorHAnsi" w:cstheme="minorHAnsi"/>
          <w:szCs w:val="22"/>
        </w:rPr>
        <w:t xml:space="preserve">connaissance dans le cadre du </w:t>
      </w:r>
      <w:r w:rsidRPr="00100F6D">
        <w:rPr>
          <w:rFonts w:asciiTheme="minorHAnsi" w:hAnsiTheme="minorHAnsi" w:cstheme="minorHAnsi"/>
          <w:smallCaps/>
          <w:szCs w:val="22"/>
        </w:rPr>
        <w:t>Projet</w:t>
      </w:r>
      <w:r w:rsidRPr="00100F6D">
        <w:rPr>
          <w:rFonts w:asciiTheme="minorHAnsi" w:hAnsiTheme="minorHAnsi" w:cstheme="minorHAnsi"/>
          <w:szCs w:val="22"/>
        </w:rPr>
        <w:t>. Il</w:t>
      </w:r>
      <w:r w:rsidR="00E56ECB" w:rsidRPr="00100F6D">
        <w:rPr>
          <w:rFonts w:asciiTheme="minorHAnsi" w:hAnsiTheme="minorHAnsi" w:cstheme="minorHAnsi"/>
          <w:szCs w:val="22"/>
        </w:rPr>
        <w:t xml:space="preserve"> conservera leur caractère secret </w:t>
      </w:r>
      <w:r w:rsidRPr="00100F6D">
        <w:rPr>
          <w:rFonts w:asciiTheme="minorHAnsi" w:hAnsiTheme="minorHAnsi" w:cstheme="minorHAnsi"/>
          <w:szCs w:val="22"/>
        </w:rPr>
        <w:t xml:space="preserve"> ne les utiliser</w:t>
      </w:r>
      <w:r w:rsidR="00B55D7E" w:rsidRPr="00100F6D">
        <w:rPr>
          <w:rFonts w:asciiTheme="minorHAnsi" w:hAnsiTheme="minorHAnsi" w:cstheme="minorHAnsi"/>
          <w:szCs w:val="22"/>
        </w:rPr>
        <w:t>a</w:t>
      </w:r>
      <w:r w:rsidR="00D10387" w:rsidRPr="00100F6D">
        <w:rPr>
          <w:rFonts w:asciiTheme="minorHAnsi" w:hAnsiTheme="minorHAnsi" w:cstheme="minorHAnsi"/>
          <w:szCs w:val="22"/>
        </w:rPr>
        <w:t xml:space="preserve"> </w:t>
      </w:r>
      <w:r w:rsidRPr="00100F6D">
        <w:rPr>
          <w:rFonts w:asciiTheme="minorHAnsi" w:hAnsiTheme="minorHAnsi" w:cstheme="minorHAnsi"/>
          <w:szCs w:val="22"/>
        </w:rPr>
        <w:t xml:space="preserve">pas à d’autres fins que l’exécution du </w:t>
      </w:r>
      <w:r w:rsidRPr="00100F6D">
        <w:rPr>
          <w:rFonts w:asciiTheme="minorHAnsi" w:hAnsiTheme="minorHAnsi" w:cstheme="minorHAnsi"/>
          <w:smallCaps/>
          <w:szCs w:val="22"/>
        </w:rPr>
        <w:t>Contrat</w:t>
      </w:r>
      <w:r w:rsidRPr="00100F6D">
        <w:rPr>
          <w:rFonts w:asciiTheme="minorHAnsi" w:hAnsiTheme="minorHAnsi" w:cstheme="minorHAnsi"/>
          <w:szCs w:val="22"/>
        </w:rPr>
        <w:t>.</w:t>
      </w:r>
    </w:p>
    <w:p w14:paraId="02460457" w14:textId="77777777" w:rsidR="00B55D7E" w:rsidRPr="00100F6D" w:rsidRDefault="00B55D7E" w:rsidP="00A1761D">
      <w:pPr>
        <w:ind w:firstLine="567"/>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 xml:space="preserve">A ce titre, le </w:t>
      </w:r>
      <w:r w:rsidR="00100109" w:rsidRPr="00100F6D">
        <w:rPr>
          <w:rFonts w:asciiTheme="minorHAnsi" w:eastAsia="Times New Roman" w:hAnsiTheme="minorHAnsi" w:cstheme="minorHAnsi"/>
          <w:smallCaps/>
          <w:sz w:val="22"/>
          <w:szCs w:val="22"/>
        </w:rPr>
        <w:t>Contractant</w:t>
      </w:r>
      <w:r w:rsidRPr="00100F6D">
        <w:rPr>
          <w:rFonts w:asciiTheme="minorHAnsi" w:eastAsia="Times New Roman" w:hAnsiTheme="minorHAnsi" w:cstheme="minorHAnsi"/>
          <w:sz w:val="22"/>
          <w:szCs w:val="22"/>
        </w:rPr>
        <w:t xml:space="preserve"> s’engage à : </w:t>
      </w:r>
    </w:p>
    <w:p w14:paraId="532131D5"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Protéger et garder comme telles les</w:t>
      </w:r>
      <w:r w:rsidR="0091111F" w:rsidRPr="00100F6D">
        <w:rPr>
          <w:rFonts w:asciiTheme="minorHAnsi" w:hAnsiTheme="minorHAnsi" w:cstheme="minorHAnsi"/>
          <w:szCs w:val="22"/>
        </w:rPr>
        <w:t xml:space="preserve"> i</w:t>
      </w:r>
      <w:r w:rsidRPr="00100F6D">
        <w:rPr>
          <w:rFonts w:asciiTheme="minorHAnsi" w:hAnsiTheme="minorHAnsi" w:cstheme="minorHAnsi"/>
          <w:szCs w:val="22"/>
        </w:rPr>
        <w:t>nformations considérées ou présentées comme confidentielles ;</w:t>
      </w:r>
    </w:p>
    <w:p w14:paraId="3B819A02"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Traiter </w:t>
      </w:r>
      <w:r w:rsidR="0091111F" w:rsidRPr="00100F6D">
        <w:rPr>
          <w:rFonts w:asciiTheme="minorHAnsi" w:hAnsiTheme="minorHAnsi" w:cstheme="minorHAnsi"/>
          <w:szCs w:val="22"/>
        </w:rPr>
        <w:t>les i</w:t>
      </w:r>
      <w:r w:rsidRPr="00100F6D">
        <w:rPr>
          <w:rFonts w:asciiTheme="minorHAnsi" w:hAnsiTheme="minorHAnsi" w:cstheme="minorHAnsi"/>
          <w:szCs w:val="22"/>
        </w:rPr>
        <w:t>nformations confidentielles reçues avec le même degré de précaution et de prot</w:t>
      </w:r>
      <w:r w:rsidR="00E56ECB" w:rsidRPr="00100F6D">
        <w:rPr>
          <w:rFonts w:asciiTheme="minorHAnsi" w:hAnsiTheme="minorHAnsi" w:cstheme="minorHAnsi"/>
          <w:szCs w:val="22"/>
        </w:rPr>
        <w:t>ection que celui accordé à ses</w:t>
      </w:r>
      <w:r w:rsidRPr="00100F6D">
        <w:rPr>
          <w:rFonts w:asciiTheme="minorHAnsi" w:hAnsiTheme="minorHAnsi" w:cstheme="minorHAnsi"/>
          <w:szCs w:val="22"/>
        </w:rPr>
        <w:t xml:space="preserve"> propres informations confidentielles ;</w:t>
      </w:r>
    </w:p>
    <w:p w14:paraId="75FE048F" w14:textId="77777777" w:rsidR="00B55D7E" w:rsidRPr="00100F6D" w:rsidRDefault="0091111F"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ne révéler les i</w:t>
      </w:r>
      <w:r w:rsidR="00B55D7E" w:rsidRPr="00100F6D">
        <w:rPr>
          <w:rFonts w:asciiTheme="minorHAnsi" w:hAnsiTheme="minorHAnsi" w:cstheme="minorHAnsi"/>
          <w:szCs w:val="22"/>
        </w:rPr>
        <w:t xml:space="preserve">nformations confidentielles </w:t>
      </w:r>
      <w:r w:rsidR="00E56ECB" w:rsidRPr="00100F6D">
        <w:rPr>
          <w:rFonts w:asciiTheme="minorHAnsi" w:hAnsiTheme="minorHAnsi" w:cstheme="minorHAnsi"/>
          <w:szCs w:val="22"/>
        </w:rPr>
        <w:t>qu’à son</w:t>
      </w:r>
      <w:r w:rsidR="00B55D7E" w:rsidRPr="00100F6D">
        <w:rPr>
          <w:rFonts w:asciiTheme="minorHAnsi" w:hAnsiTheme="minorHAnsi" w:cstheme="minorHAnsi"/>
          <w:szCs w:val="22"/>
        </w:rPr>
        <w:t xml:space="preserve"> personnel </w:t>
      </w:r>
      <w:r w:rsidR="00E56ECB" w:rsidRPr="00100F6D">
        <w:rPr>
          <w:rFonts w:asciiTheme="minorHAnsi" w:hAnsiTheme="minorHAnsi" w:cstheme="minorHAnsi"/>
          <w:szCs w:val="22"/>
        </w:rPr>
        <w:t xml:space="preserve">et aux tiers </w:t>
      </w:r>
      <w:r w:rsidR="00B55D7E" w:rsidRPr="00100F6D">
        <w:rPr>
          <w:rFonts w:asciiTheme="minorHAnsi" w:hAnsiTheme="minorHAnsi" w:cstheme="minorHAnsi"/>
          <w:szCs w:val="22"/>
        </w:rPr>
        <w:t>impl</w:t>
      </w:r>
      <w:r w:rsidR="00E56ECB" w:rsidRPr="00100F6D">
        <w:rPr>
          <w:rFonts w:asciiTheme="minorHAnsi" w:hAnsiTheme="minorHAnsi" w:cstheme="minorHAnsi"/>
          <w:szCs w:val="22"/>
        </w:rPr>
        <w:t xml:space="preserve">iqués dans </w:t>
      </w:r>
      <w:r w:rsidR="00E56ECB" w:rsidRPr="00100F6D">
        <w:rPr>
          <w:rFonts w:asciiTheme="minorHAnsi" w:hAnsiTheme="minorHAnsi" w:cstheme="minorHAnsi"/>
          <w:szCs w:val="22"/>
        </w:rPr>
        <w:lastRenderedPageBreak/>
        <w:t xml:space="preserve">l’exécution du Contrat </w:t>
      </w:r>
      <w:r w:rsidR="00B55D7E" w:rsidRPr="00100F6D">
        <w:rPr>
          <w:rFonts w:asciiTheme="minorHAnsi" w:hAnsiTheme="minorHAnsi" w:cstheme="minorHAnsi"/>
          <w:szCs w:val="22"/>
        </w:rPr>
        <w:t xml:space="preserve">qu’après avoir sollicité l’accord écrit, exprès et préalable </w:t>
      </w:r>
      <w:r w:rsidR="00A15979" w:rsidRPr="00100F6D">
        <w:rPr>
          <w:rFonts w:asciiTheme="minorHAnsi" w:hAnsiTheme="minorHAnsi" w:cstheme="minorHAnsi"/>
          <w:szCs w:val="22"/>
        </w:rPr>
        <w:t>d’</w:t>
      </w:r>
      <w:r w:rsidR="00CE73DB" w:rsidRPr="00100F6D">
        <w:rPr>
          <w:rFonts w:asciiTheme="minorHAnsi" w:hAnsiTheme="minorHAnsi" w:cstheme="minorHAnsi"/>
          <w:smallCaps/>
          <w:szCs w:val="22"/>
        </w:rPr>
        <w:t>Expertise France</w:t>
      </w:r>
      <w:r w:rsidR="00B55D7E" w:rsidRPr="00100F6D">
        <w:rPr>
          <w:rFonts w:asciiTheme="minorHAnsi" w:hAnsiTheme="minorHAnsi" w:cstheme="minorHAnsi"/>
          <w:smallCaps/>
          <w:szCs w:val="22"/>
        </w:rPr>
        <w:t> </w:t>
      </w:r>
      <w:r w:rsidR="00B55D7E" w:rsidRPr="00100F6D">
        <w:rPr>
          <w:rFonts w:asciiTheme="minorHAnsi" w:hAnsiTheme="minorHAnsi" w:cstheme="minorHAnsi"/>
          <w:szCs w:val="22"/>
        </w:rPr>
        <w:t>;</w:t>
      </w:r>
    </w:p>
    <w:p w14:paraId="2D01C6E1"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prendre toutes les dispositions nécessaires pour que </w:t>
      </w:r>
      <w:r w:rsidR="0091111F" w:rsidRPr="00100F6D">
        <w:rPr>
          <w:rFonts w:asciiTheme="minorHAnsi" w:hAnsiTheme="minorHAnsi" w:cstheme="minorHAnsi"/>
          <w:szCs w:val="22"/>
        </w:rPr>
        <w:t>son personnel et</w:t>
      </w:r>
      <w:r w:rsidRPr="00100F6D">
        <w:rPr>
          <w:rFonts w:asciiTheme="minorHAnsi" w:hAnsiTheme="minorHAnsi" w:cstheme="minorHAnsi"/>
          <w:szCs w:val="22"/>
        </w:rPr>
        <w:t xml:space="preserve"> les tiers impliqués dans l’exécution du </w:t>
      </w:r>
      <w:r w:rsidR="0091111F" w:rsidRPr="00100F6D">
        <w:rPr>
          <w:rFonts w:asciiTheme="minorHAnsi" w:hAnsiTheme="minorHAnsi" w:cstheme="minorHAnsi"/>
          <w:smallCaps/>
          <w:szCs w:val="22"/>
        </w:rPr>
        <w:t>Contrat</w:t>
      </w:r>
      <w:r w:rsidRPr="00100F6D">
        <w:rPr>
          <w:rFonts w:asciiTheme="minorHAnsi" w:hAnsiTheme="minorHAnsi" w:cstheme="minorHAnsi"/>
          <w:szCs w:val="22"/>
        </w:rPr>
        <w:t>, qui auront connaissance</w:t>
      </w:r>
      <w:r w:rsidR="005851B5" w:rsidRPr="00100F6D">
        <w:rPr>
          <w:rFonts w:asciiTheme="minorHAnsi" w:hAnsiTheme="minorHAnsi" w:cstheme="minorHAnsi"/>
          <w:szCs w:val="22"/>
        </w:rPr>
        <w:t xml:space="preserve"> d’i</w:t>
      </w:r>
      <w:r w:rsidRPr="00100F6D">
        <w:rPr>
          <w:rFonts w:asciiTheme="minorHAnsi" w:hAnsiTheme="minorHAnsi" w:cstheme="minorHAnsi"/>
          <w:szCs w:val="22"/>
        </w:rPr>
        <w:t>nformations confiden</w:t>
      </w:r>
      <w:r w:rsidR="0091111F" w:rsidRPr="00100F6D">
        <w:rPr>
          <w:rFonts w:asciiTheme="minorHAnsi" w:hAnsiTheme="minorHAnsi" w:cstheme="minorHAnsi"/>
          <w:szCs w:val="22"/>
        </w:rPr>
        <w:t>tielles, s’engagent à traiter c</w:t>
      </w:r>
      <w:r w:rsidRPr="00100F6D">
        <w:rPr>
          <w:rFonts w:asciiTheme="minorHAnsi" w:hAnsiTheme="minorHAnsi" w:cstheme="minorHAnsi"/>
          <w:szCs w:val="22"/>
        </w:rPr>
        <w:t>es Informations avec le même degré de confidentialité que celui résultant de la présente clause ;</w:t>
      </w:r>
    </w:p>
    <w:p w14:paraId="383772FD"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Rappeler, le cas échéant,</w:t>
      </w:r>
      <w:r w:rsidR="005851B5" w:rsidRPr="00100F6D">
        <w:rPr>
          <w:rFonts w:asciiTheme="minorHAnsi" w:hAnsiTheme="minorHAnsi" w:cstheme="minorHAnsi"/>
          <w:szCs w:val="22"/>
        </w:rPr>
        <w:t xml:space="preserve"> le caractère confidentiel des i</w:t>
      </w:r>
      <w:r w:rsidRPr="00100F6D">
        <w:rPr>
          <w:rFonts w:asciiTheme="minorHAnsi" w:hAnsiTheme="minorHAnsi" w:cstheme="minorHAnsi"/>
          <w:szCs w:val="22"/>
        </w:rPr>
        <w:t xml:space="preserve">nformations confidentielles </w:t>
      </w:r>
      <w:r w:rsidR="0091111F" w:rsidRPr="00100F6D">
        <w:rPr>
          <w:rFonts w:asciiTheme="minorHAnsi" w:hAnsiTheme="minorHAnsi" w:cstheme="minorHAnsi"/>
          <w:szCs w:val="22"/>
        </w:rPr>
        <w:t>à son personnel et aux t</w:t>
      </w:r>
      <w:r w:rsidRPr="00100F6D">
        <w:rPr>
          <w:rFonts w:asciiTheme="minorHAnsi" w:hAnsiTheme="minorHAnsi" w:cstheme="minorHAnsi"/>
          <w:szCs w:val="22"/>
        </w:rPr>
        <w:t>iers impl</w:t>
      </w:r>
      <w:r w:rsidR="0091111F" w:rsidRPr="00100F6D">
        <w:rPr>
          <w:rFonts w:asciiTheme="minorHAnsi" w:hAnsiTheme="minorHAnsi" w:cstheme="minorHAnsi"/>
          <w:szCs w:val="22"/>
        </w:rPr>
        <w:t xml:space="preserve">iqués dans l’exécution du </w:t>
      </w:r>
      <w:r w:rsidR="0091111F" w:rsidRPr="00100F6D">
        <w:rPr>
          <w:rFonts w:asciiTheme="minorHAnsi" w:hAnsiTheme="minorHAnsi" w:cstheme="minorHAnsi"/>
          <w:smallCaps/>
          <w:szCs w:val="22"/>
        </w:rPr>
        <w:t>Contrat</w:t>
      </w:r>
      <w:r w:rsidRPr="00100F6D">
        <w:rPr>
          <w:rFonts w:asciiTheme="minorHAnsi" w:hAnsiTheme="minorHAnsi" w:cstheme="minorHAnsi"/>
          <w:szCs w:val="22"/>
        </w:rPr>
        <w:t>, dès la communication de ces</w:t>
      </w:r>
      <w:r w:rsidR="005851B5" w:rsidRPr="00100F6D">
        <w:rPr>
          <w:rFonts w:asciiTheme="minorHAnsi" w:hAnsiTheme="minorHAnsi" w:cstheme="minorHAnsi"/>
          <w:szCs w:val="22"/>
        </w:rPr>
        <w:t xml:space="preserve"> i</w:t>
      </w:r>
      <w:r w:rsidRPr="00100F6D">
        <w:rPr>
          <w:rFonts w:asciiTheme="minorHAnsi" w:hAnsiTheme="minorHAnsi" w:cstheme="minorHAnsi"/>
          <w:szCs w:val="22"/>
        </w:rPr>
        <w:t>nformations ;</w:t>
      </w:r>
    </w:p>
    <w:p w14:paraId="4243382A"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rappeler</w:t>
      </w:r>
      <w:r w:rsidR="005851B5" w:rsidRPr="00100F6D">
        <w:rPr>
          <w:rFonts w:asciiTheme="minorHAnsi" w:hAnsiTheme="minorHAnsi" w:cstheme="minorHAnsi"/>
          <w:szCs w:val="22"/>
        </w:rPr>
        <w:t xml:space="preserve"> le caractère confidentiel des i</w:t>
      </w:r>
      <w:r w:rsidRPr="00100F6D">
        <w:rPr>
          <w:rFonts w:asciiTheme="minorHAnsi" w:hAnsiTheme="minorHAnsi" w:cstheme="minorHAnsi"/>
          <w:szCs w:val="22"/>
        </w:rPr>
        <w:t>nformations confidentielles avant toute ré</w:t>
      </w:r>
      <w:r w:rsidR="005851B5" w:rsidRPr="00100F6D">
        <w:rPr>
          <w:rFonts w:asciiTheme="minorHAnsi" w:hAnsiTheme="minorHAnsi" w:cstheme="minorHAnsi"/>
          <w:szCs w:val="22"/>
        </w:rPr>
        <w:t>union au cours de laquelle des i</w:t>
      </w:r>
      <w:r w:rsidRPr="00100F6D">
        <w:rPr>
          <w:rFonts w:asciiTheme="minorHAnsi" w:hAnsiTheme="minorHAnsi" w:cstheme="minorHAnsi"/>
          <w:szCs w:val="22"/>
        </w:rPr>
        <w:t>nformations confidentielles seront communiquées.</w:t>
      </w:r>
    </w:p>
    <w:p w14:paraId="27CE7E73" w14:textId="77777777" w:rsidR="00C71F4D" w:rsidRPr="00100F6D" w:rsidRDefault="005D1EE3" w:rsidP="00A1761D">
      <w:pPr>
        <w:pStyle w:val="u"/>
        <w:widowControl w:val="0"/>
        <w:spacing w:before="120"/>
        <w:ind w:left="567"/>
        <w:rPr>
          <w:rFonts w:asciiTheme="minorHAnsi" w:hAnsiTheme="minorHAnsi" w:cstheme="minorHAnsi"/>
          <w:szCs w:val="22"/>
        </w:rPr>
      </w:pPr>
      <w:r w:rsidRPr="00100F6D">
        <w:rPr>
          <w:rFonts w:asciiTheme="minorHAnsi" w:hAnsiTheme="minorHAnsi" w:cstheme="minorHAnsi"/>
          <w:szCs w:val="22"/>
        </w:rPr>
        <w:t>L</w:t>
      </w:r>
      <w:r w:rsidR="00C71F4D" w:rsidRPr="00100F6D">
        <w:rPr>
          <w:rFonts w:asciiTheme="minorHAnsi" w:hAnsiTheme="minorHAnsi" w:cstheme="minorHAnsi"/>
          <w:szCs w:val="22"/>
        </w:rPr>
        <w:t xml:space="preserve">e </w:t>
      </w:r>
      <w:r w:rsidR="00100109" w:rsidRPr="00100F6D">
        <w:rPr>
          <w:rFonts w:asciiTheme="minorHAnsi" w:hAnsiTheme="minorHAnsi" w:cstheme="minorHAnsi"/>
          <w:smallCaps/>
          <w:szCs w:val="22"/>
        </w:rPr>
        <w:t>Contractant</w:t>
      </w:r>
      <w:r w:rsidR="00782242" w:rsidRPr="00100F6D" w:rsidDel="00782242">
        <w:rPr>
          <w:rFonts w:asciiTheme="minorHAnsi" w:hAnsiTheme="minorHAnsi" w:cstheme="minorHAnsi"/>
          <w:smallCaps/>
          <w:szCs w:val="22"/>
        </w:rPr>
        <w:t xml:space="preserve"> </w:t>
      </w:r>
      <w:r w:rsidR="00C71F4D" w:rsidRPr="00100F6D">
        <w:rPr>
          <w:rFonts w:asciiTheme="minorHAnsi" w:hAnsiTheme="minorHAnsi" w:cstheme="minorHAnsi"/>
          <w:szCs w:val="22"/>
        </w:rPr>
        <w:t>ne pourr</w:t>
      </w:r>
      <w:r w:rsidR="00F92D77" w:rsidRPr="00100F6D">
        <w:rPr>
          <w:rFonts w:asciiTheme="minorHAnsi" w:hAnsiTheme="minorHAnsi" w:cstheme="minorHAnsi"/>
          <w:szCs w:val="22"/>
        </w:rPr>
        <w:t>a</w:t>
      </w:r>
      <w:r w:rsidR="00C71F4D" w:rsidRPr="00100F6D">
        <w:rPr>
          <w:rFonts w:asciiTheme="minorHAnsi" w:hAnsiTheme="minorHAnsi" w:cstheme="minorHAnsi"/>
          <w:szCs w:val="22"/>
        </w:rPr>
        <w:t xml:space="preserve">, sauf dans la mesure nécessaire aux fins de la réalisation des </w:t>
      </w:r>
      <w:r w:rsidR="00C84056" w:rsidRPr="00100F6D">
        <w:rPr>
          <w:rFonts w:asciiTheme="minorHAnsi" w:hAnsiTheme="minorHAnsi" w:cstheme="minorHAnsi"/>
          <w:szCs w:val="22"/>
        </w:rPr>
        <w:t>prestations</w:t>
      </w:r>
      <w:r w:rsidR="00C71F4D" w:rsidRPr="00100F6D">
        <w:rPr>
          <w:rFonts w:asciiTheme="minorHAnsi" w:hAnsiTheme="minorHAnsi" w:cstheme="minorHAnsi"/>
          <w:szCs w:val="22"/>
        </w:rPr>
        <w:t xml:space="preserve">, divulguer aucun élément du </w:t>
      </w:r>
      <w:r w:rsidR="00C71F4D" w:rsidRPr="00100F6D">
        <w:rPr>
          <w:rFonts w:asciiTheme="minorHAnsi" w:hAnsiTheme="minorHAnsi" w:cstheme="minorHAnsi"/>
          <w:smallCaps/>
          <w:szCs w:val="22"/>
        </w:rPr>
        <w:t>Contrat</w:t>
      </w:r>
      <w:r w:rsidR="00C71F4D" w:rsidRPr="00100F6D">
        <w:rPr>
          <w:rFonts w:asciiTheme="minorHAnsi" w:hAnsiTheme="minorHAnsi" w:cstheme="minorHAnsi"/>
          <w:szCs w:val="22"/>
        </w:rPr>
        <w:t xml:space="preserve"> sans le consentement écrit préalable de l’autre partie.</w:t>
      </w:r>
    </w:p>
    <w:p w14:paraId="37D5B76D" w14:textId="77777777" w:rsidR="00122959" w:rsidRPr="00100F6D"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100F6D">
        <w:rPr>
          <w:rFonts w:asciiTheme="minorHAnsi" w:hAnsiTheme="minorHAnsi" w:cstheme="minorHAnsi"/>
          <w:sz w:val="22"/>
          <w:szCs w:val="22"/>
        </w:rPr>
        <w:t>Fournitures</w:t>
      </w:r>
      <w:r w:rsidR="00BA76D5" w:rsidRPr="00100F6D">
        <w:rPr>
          <w:rFonts w:asciiTheme="minorHAnsi" w:hAnsiTheme="minorHAnsi" w:cstheme="minorHAnsi"/>
          <w:sz w:val="22"/>
          <w:szCs w:val="22"/>
        </w:rPr>
        <w:t xml:space="preserve"> documents</w:t>
      </w:r>
      <w:bookmarkEnd w:id="48"/>
      <w:bookmarkEnd w:id="49"/>
      <w:r w:rsidR="00BA76D5" w:rsidRPr="00100F6D">
        <w:rPr>
          <w:rFonts w:asciiTheme="minorHAnsi" w:hAnsiTheme="minorHAnsi" w:cstheme="minorHAnsi"/>
          <w:sz w:val="22"/>
          <w:szCs w:val="22"/>
        </w:rPr>
        <w:t xml:space="preserve"> </w:t>
      </w:r>
    </w:p>
    <w:p w14:paraId="1CEAAC8A" w14:textId="77777777" w:rsidR="00122959" w:rsidRPr="00100F6D" w:rsidRDefault="00100109" w:rsidP="00A1761D">
      <w:pPr>
        <w:pStyle w:val="u"/>
        <w:widowControl w:val="0"/>
        <w:numPr>
          <w:ilvl w:val="12"/>
          <w:numId w:val="0"/>
        </w:numPr>
        <w:ind w:left="567"/>
        <w:rPr>
          <w:rFonts w:asciiTheme="minorHAnsi" w:hAnsiTheme="minorHAnsi" w:cstheme="minorHAnsi"/>
          <w:szCs w:val="22"/>
        </w:rPr>
      </w:pPr>
      <w:r w:rsidRPr="00100F6D">
        <w:rPr>
          <w:rFonts w:asciiTheme="minorHAnsi" w:hAnsiTheme="minorHAnsi" w:cstheme="minorHAnsi"/>
          <w:smallCaps/>
          <w:szCs w:val="22"/>
        </w:rPr>
        <w:t>Expertise France</w:t>
      </w:r>
      <w:r w:rsidRPr="00100F6D">
        <w:rPr>
          <w:rFonts w:asciiTheme="minorHAnsi" w:hAnsiTheme="minorHAnsi" w:cstheme="minorHAnsi"/>
          <w:szCs w:val="22"/>
        </w:rPr>
        <w:t xml:space="preserve"> </w:t>
      </w:r>
      <w:r w:rsidR="00122959" w:rsidRPr="00100F6D">
        <w:rPr>
          <w:rFonts w:asciiTheme="minorHAnsi" w:hAnsiTheme="minorHAnsi" w:cstheme="minorHAnsi"/>
          <w:szCs w:val="22"/>
        </w:rPr>
        <w:t>veillera à ce que le</w:t>
      </w:r>
      <w:r w:rsidR="00122959" w:rsidRPr="00100F6D">
        <w:rPr>
          <w:rFonts w:asciiTheme="minorHAnsi" w:hAnsiTheme="minorHAnsi" w:cstheme="minorHAnsi"/>
          <w:smallCaps/>
          <w:szCs w:val="22"/>
        </w:rPr>
        <w:t xml:space="preserve"> </w:t>
      </w:r>
      <w:r w:rsidRPr="00100F6D">
        <w:rPr>
          <w:rFonts w:asciiTheme="minorHAnsi" w:hAnsiTheme="minorHAnsi" w:cstheme="minorHAnsi"/>
          <w:smallCaps/>
          <w:szCs w:val="22"/>
        </w:rPr>
        <w:t>Contractant</w:t>
      </w:r>
      <w:r w:rsidR="00F415F2" w:rsidRPr="00100F6D">
        <w:rPr>
          <w:rFonts w:asciiTheme="minorHAnsi" w:hAnsiTheme="minorHAnsi" w:cstheme="minorHAnsi"/>
          <w:smallCaps/>
          <w:szCs w:val="22"/>
        </w:rPr>
        <w:t xml:space="preserve"> </w:t>
      </w:r>
      <w:r w:rsidR="00122959" w:rsidRPr="00100F6D">
        <w:rPr>
          <w:rFonts w:asciiTheme="minorHAnsi" w:hAnsiTheme="minorHAnsi" w:cstheme="minorHAnsi"/>
          <w:szCs w:val="22"/>
        </w:rPr>
        <w:t>dispose en temps utile des documents (décrit</w:t>
      </w:r>
      <w:r w:rsidR="000455A6" w:rsidRPr="00100F6D">
        <w:rPr>
          <w:rFonts w:asciiTheme="minorHAnsi" w:hAnsiTheme="minorHAnsi" w:cstheme="minorHAnsi"/>
          <w:szCs w:val="22"/>
        </w:rPr>
        <w:t>s</w:t>
      </w:r>
      <w:r w:rsidR="00122959" w:rsidRPr="00100F6D">
        <w:rPr>
          <w:rFonts w:asciiTheme="minorHAnsi" w:hAnsiTheme="minorHAnsi" w:cstheme="minorHAnsi"/>
          <w:szCs w:val="22"/>
        </w:rPr>
        <w:t xml:space="preserve"> ci-dessous) nécessaires à la réalisation des </w:t>
      </w:r>
      <w:r w:rsidR="00C84056" w:rsidRPr="00100F6D">
        <w:rPr>
          <w:rFonts w:asciiTheme="minorHAnsi" w:hAnsiTheme="minorHAnsi" w:cstheme="minorHAnsi"/>
          <w:szCs w:val="22"/>
        </w:rPr>
        <w:t>prestations :</w:t>
      </w:r>
    </w:p>
    <w:p w14:paraId="6616F256" w14:textId="77777777" w:rsidR="00E25860" w:rsidRPr="00100F6D" w:rsidRDefault="00E25860" w:rsidP="006B6C1B">
      <w:pPr>
        <w:pStyle w:val="u"/>
        <w:widowControl w:val="0"/>
        <w:numPr>
          <w:ilvl w:val="0"/>
          <w:numId w:val="10"/>
        </w:numPr>
        <w:rPr>
          <w:rFonts w:asciiTheme="minorHAnsi" w:hAnsiTheme="minorHAnsi" w:cstheme="minorHAnsi"/>
          <w:szCs w:val="22"/>
        </w:rPr>
      </w:pPr>
      <w:r w:rsidRPr="00100F6D">
        <w:rPr>
          <w:rFonts w:asciiTheme="minorHAnsi" w:hAnsiTheme="minorHAnsi" w:cstheme="minorHAnsi"/>
          <w:szCs w:val="22"/>
        </w:rPr>
        <w:t xml:space="preserve">Offre </w:t>
      </w:r>
      <w:r w:rsidR="005C1231" w:rsidRPr="00100F6D">
        <w:rPr>
          <w:rFonts w:asciiTheme="minorHAnsi" w:hAnsiTheme="minorHAnsi" w:cstheme="minorHAnsi"/>
          <w:szCs w:val="22"/>
        </w:rPr>
        <w:t xml:space="preserve">technique </w:t>
      </w:r>
      <w:r w:rsidRPr="00100F6D">
        <w:rPr>
          <w:rFonts w:asciiTheme="minorHAnsi" w:hAnsiTheme="minorHAnsi" w:cstheme="minorHAnsi"/>
          <w:szCs w:val="22"/>
        </w:rPr>
        <w:t xml:space="preserve">du </w:t>
      </w:r>
      <w:r w:rsidRPr="00100F6D">
        <w:rPr>
          <w:rFonts w:asciiTheme="minorHAnsi" w:hAnsiTheme="minorHAnsi" w:cstheme="minorHAnsi"/>
          <w:smallCaps/>
          <w:szCs w:val="22"/>
        </w:rPr>
        <w:t>C</w:t>
      </w:r>
      <w:r w:rsidR="00F415F2" w:rsidRPr="00100F6D">
        <w:rPr>
          <w:rFonts w:asciiTheme="minorHAnsi" w:hAnsiTheme="minorHAnsi" w:cstheme="minorHAnsi"/>
          <w:smallCaps/>
          <w:szCs w:val="22"/>
        </w:rPr>
        <w:t>ontrat principal</w:t>
      </w:r>
    </w:p>
    <w:p w14:paraId="195BB9F7" w14:textId="77777777" w:rsidR="005C1231" w:rsidRPr="00100F6D" w:rsidRDefault="005C1231" w:rsidP="006B6C1B">
      <w:pPr>
        <w:pStyle w:val="u"/>
        <w:widowControl w:val="0"/>
        <w:numPr>
          <w:ilvl w:val="0"/>
          <w:numId w:val="10"/>
        </w:numPr>
        <w:rPr>
          <w:rFonts w:asciiTheme="minorHAnsi" w:hAnsiTheme="minorHAnsi" w:cstheme="minorHAnsi"/>
          <w:szCs w:val="22"/>
        </w:rPr>
      </w:pPr>
      <w:r w:rsidRPr="00100F6D">
        <w:rPr>
          <w:rFonts w:asciiTheme="minorHAnsi" w:hAnsiTheme="minorHAnsi" w:cstheme="minorHAnsi"/>
          <w:szCs w:val="22"/>
        </w:rPr>
        <w:t xml:space="preserve">Cahier des charges du </w:t>
      </w:r>
      <w:r w:rsidR="00AF33C4" w:rsidRPr="00100F6D">
        <w:rPr>
          <w:rFonts w:asciiTheme="minorHAnsi" w:hAnsiTheme="minorHAnsi" w:cstheme="minorHAnsi"/>
          <w:smallCaps/>
          <w:szCs w:val="22"/>
        </w:rPr>
        <w:t>contrat principal</w:t>
      </w:r>
    </w:p>
    <w:p w14:paraId="6EFA01B5" w14:textId="77777777" w:rsidR="00122959" w:rsidRPr="00100F6D"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26922000"/>
      <w:r w:rsidRPr="00100F6D">
        <w:rPr>
          <w:rFonts w:asciiTheme="minorHAnsi" w:hAnsiTheme="minorHAnsi" w:cstheme="minorHAnsi"/>
          <w:sz w:val="22"/>
          <w:szCs w:val="22"/>
        </w:rPr>
        <w:t>Assurance</w:t>
      </w:r>
      <w:bookmarkEnd w:id="50"/>
      <w:bookmarkEnd w:id="51"/>
    </w:p>
    <w:p w14:paraId="082079D0" w14:textId="77777777" w:rsidR="004B5B87" w:rsidRPr="00100F6D" w:rsidRDefault="0071011C" w:rsidP="00A1761D">
      <w:pPr>
        <w:pStyle w:val="u"/>
        <w:widowControl w:val="0"/>
        <w:rPr>
          <w:rFonts w:asciiTheme="minorHAnsi" w:hAnsiTheme="minorHAnsi" w:cstheme="minorHAnsi"/>
          <w:szCs w:val="22"/>
          <w:u w:val="single"/>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100F6D">
        <w:rPr>
          <w:rFonts w:asciiTheme="minorHAnsi" w:hAnsiTheme="minorHAnsi" w:cstheme="minorHAnsi"/>
          <w:szCs w:val="22"/>
        </w:rPr>
        <w:t>de l’exécution de</w:t>
      </w:r>
      <w:r w:rsidR="00390DD2" w:rsidRPr="00100F6D">
        <w:rPr>
          <w:rFonts w:asciiTheme="minorHAnsi" w:hAnsiTheme="minorHAnsi" w:cstheme="minorHAnsi"/>
          <w:szCs w:val="22"/>
        </w:rPr>
        <w:t xml:space="preserve"> se</w:t>
      </w:r>
      <w:r w:rsidR="00714BF4" w:rsidRPr="00100F6D">
        <w:rPr>
          <w:rFonts w:asciiTheme="minorHAnsi" w:hAnsiTheme="minorHAnsi" w:cstheme="minorHAnsi"/>
          <w:szCs w:val="22"/>
        </w:rPr>
        <w:t>s prestations.</w:t>
      </w:r>
      <w:r w:rsidR="004B5B87" w:rsidRPr="00100F6D">
        <w:rPr>
          <w:rFonts w:asciiTheme="minorHAnsi" w:hAnsiTheme="minorHAnsi" w:cstheme="minorHAnsi"/>
          <w:szCs w:val="22"/>
        </w:rPr>
        <w:t xml:space="preserve"> </w:t>
      </w:r>
    </w:p>
    <w:p w14:paraId="60EDDA2E" w14:textId="77777777" w:rsidR="00122959" w:rsidRPr="00100F6D" w:rsidRDefault="00122959" w:rsidP="00A1761D">
      <w:pPr>
        <w:pStyle w:val="u"/>
        <w:widowControl w:val="0"/>
        <w:rPr>
          <w:rFonts w:asciiTheme="minorHAnsi" w:hAnsiTheme="minorHAnsi" w:cstheme="minorHAnsi"/>
          <w:szCs w:val="22"/>
        </w:rPr>
      </w:pPr>
    </w:p>
    <w:p w14:paraId="1FD80AB4" w14:textId="77777777" w:rsidR="004B5B87" w:rsidRPr="00100F6D" w:rsidRDefault="00122959" w:rsidP="00A1761D">
      <w:pPr>
        <w:pStyle w:val="v"/>
        <w:widowControl w:val="0"/>
        <w:numPr>
          <w:ilvl w:val="12"/>
          <w:numId w:val="0"/>
        </w:numPr>
        <w:ind w:left="562"/>
        <w:rPr>
          <w:rFonts w:asciiTheme="minorHAnsi" w:hAnsiTheme="minorHAnsi" w:cstheme="minorHAnsi"/>
          <w:smallCaps/>
          <w:szCs w:val="22"/>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100F6D">
        <w:rPr>
          <w:rFonts w:asciiTheme="minorHAnsi" w:hAnsiTheme="minorHAnsi" w:cstheme="minorHAnsi"/>
          <w:szCs w:val="22"/>
        </w:rPr>
        <w:t>prestations</w:t>
      </w:r>
      <w:r w:rsidRPr="00100F6D">
        <w:rPr>
          <w:rFonts w:asciiTheme="minorHAnsi" w:hAnsiTheme="minorHAnsi" w:cstheme="minorHAnsi"/>
          <w:smallCaps/>
          <w:szCs w:val="22"/>
        </w:rPr>
        <w:t>.</w:t>
      </w:r>
    </w:p>
    <w:p w14:paraId="3E1F55C3" w14:textId="77777777" w:rsidR="004B5B87" w:rsidRPr="00100F6D"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100F6D" w:rsidRDefault="000F17F1" w:rsidP="00A1761D">
      <w:pPr>
        <w:pStyle w:val="v"/>
        <w:widowControl w:val="0"/>
        <w:numPr>
          <w:ilvl w:val="12"/>
          <w:numId w:val="0"/>
        </w:numPr>
        <w:ind w:left="562"/>
        <w:rPr>
          <w:rFonts w:asciiTheme="minorHAnsi" w:hAnsiTheme="minorHAnsi" w:cstheme="minorHAnsi"/>
          <w:smallCaps/>
          <w:szCs w:val="22"/>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doit être </w:t>
      </w:r>
      <w:r w:rsidR="00EF5C0A" w:rsidRPr="00100F6D">
        <w:rPr>
          <w:rFonts w:asciiTheme="minorHAnsi" w:hAnsiTheme="minorHAnsi" w:cstheme="minorHAnsi"/>
          <w:szCs w:val="22"/>
        </w:rPr>
        <w:t xml:space="preserve">en </w:t>
      </w:r>
      <w:r w:rsidRPr="00100F6D">
        <w:rPr>
          <w:rFonts w:asciiTheme="minorHAnsi" w:hAnsiTheme="minorHAnsi" w:cstheme="minorHAnsi"/>
          <w:szCs w:val="22"/>
        </w:rPr>
        <w:t>mesure de fournir à</w:t>
      </w:r>
      <w:r w:rsidR="0023447B" w:rsidRPr="00100F6D">
        <w:rPr>
          <w:rFonts w:asciiTheme="minorHAnsi" w:hAnsiTheme="minorHAnsi" w:cstheme="minorHAnsi"/>
          <w:szCs w:val="22"/>
        </w:rPr>
        <w:t xml:space="preserve"> la</w:t>
      </w:r>
      <w:r w:rsidRPr="00100F6D">
        <w:rPr>
          <w:rFonts w:asciiTheme="minorHAnsi" w:hAnsiTheme="minorHAnsi" w:cstheme="minorHAnsi"/>
          <w:szCs w:val="22"/>
        </w:rPr>
        <w:t xml:space="preserve"> première demande d</w:t>
      </w:r>
      <w:r w:rsidRPr="00100F6D">
        <w:rPr>
          <w:rFonts w:asciiTheme="minorHAnsi" w:hAnsiTheme="minorHAnsi" w:cstheme="minorHAnsi"/>
          <w:smallCaps/>
          <w:szCs w:val="22"/>
        </w:rPr>
        <w:t>’</w:t>
      </w:r>
      <w:r w:rsidR="00CE73DB" w:rsidRPr="00100F6D">
        <w:rPr>
          <w:rFonts w:asciiTheme="minorHAnsi" w:hAnsiTheme="minorHAnsi" w:cstheme="minorHAnsi"/>
          <w:smallCaps/>
          <w:szCs w:val="22"/>
        </w:rPr>
        <w:t>Expertise France</w:t>
      </w:r>
      <w:r w:rsidRPr="00100F6D">
        <w:rPr>
          <w:rFonts w:asciiTheme="minorHAnsi" w:hAnsiTheme="minorHAnsi" w:cstheme="minorHAnsi"/>
          <w:smallCaps/>
          <w:szCs w:val="22"/>
        </w:rPr>
        <w:t xml:space="preserve"> </w:t>
      </w:r>
      <w:r w:rsidRPr="00100F6D">
        <w:rPr>
          <w:rFonts w:asciiTheme="minorHAnsi" w:hAnsiTheme="minorHAnsi" w:cstheme="minorHAnsi"/>
          <w:szCs w:val="22"/>
        </w:rPr>
        <w:t>les attestations prouvant la souscription par ses soins des assurances susmentionnées</w:t>
      </w:r>
      <w:r w:rsidR="00EF1BFA" w:rsidRPr="00100F6D">
        <w:rPr>
          <w:rFonts w:asciiTheme="minorHAnsi" w:hAnsiTheme="minorHAnsi" w:cstheme="minorHAnsi"/>
          <w:smallCaps/>
          <w:szCs w:val="22"/>
        </w:rPr>
        <w:t>.</w:t>
      </w:r>
    </w:p>
    <w:p w14:paraId="08936D20" w14:textId="77777777" w:rsidR="00D07897" w:rsidRPr="00100F6D"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100F6D">
        <w:rPr>
          <w:rFonts w:asciiTheme="minorHAnsi" w:hAnsiTheme="minorHAnsi" w:cstheme="minorHAnsi"/>
          <w:sz w:val="22"/>
          <w:szCs w:val="22"/>
        </w:rPr>
        <w:t>Point de contact et communication</w:t>
      </w:r>
      <w:bookmarkEnd w:id="52"/>
      <w:bookmarkEnd w:id="53"/>
      <w:bookmarkEnd w:id="54"/>
    </w:p>
    <w:p w14:paraId="1ACE0898" w14:textId="77777777" w:rsidR="00D07897" w:rsidRPr="00100F6D" w:rsidRDefault="00D07897" w:rsidP="00D07897">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Tout avis ou communication entre les </w:t>
      </w:r>
      <w:r w:rsidRPr="00100F6D">
        <w:rPr>
          <w:rFonts w:asciiTheme="minorHAnsi" w:hAnsiTheme="minorHAnsi" w:cstheme="minorHAnsi"/>
          <w:smallCaps/>
          <w:szCs w:val="22"/>
        </w:rPr>
        <w:t>Parties</w:t>
      </w:r>
      <w:r w:rsidRPr="00100F6D">
        <w:rPr>
          <w:rFonts w:asciiTheme="minorHAnsi" w:hAnsiTheme="minorHAnsi" w:cstheme="minorHAnsi"/>
          <w:szCs w:val="22"/>
        </w:rPr>
        <w:t xml:space="preserve"> qui interviendra au titre </w:t>
      </w:r>
      <w:r w:rsidRPr="00100F6D">
        <w:rPr>
          <w:rFonts w:asciiTheme="minorHAnsi" w:hAnsiTheme="minorHAnsi" w:cstheme="minorHAnsi"/>
          <w:bCs/>
          <w:szCs w:val="22"/>
        </w:rPr>
        <w:t xml:space="preserve">du </w:t>
      </w:r>
      <w:r w:rsidRPr="00100F6D">
        <w:rPr>
          <w:rFonts w:asciiTheme="minorHAnsi" w:hAnsiTheme="minorHAnsi" w:cstheme="minorHAnsi"/>
          <w:bCs/>
          <w:smallCaps/>
          <w:szCs w:val="22"/>
        </w:rPr>
        <w:t>Contrat</w:t>
      </w:r>
      <w:r w:rsidRPr="00100F6D">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100F6D">
        <w:rPr>
          <w:rFonts w:asciiTheme="minorHAnsi" w:hAnsiTheme="minorHAnsi" w:cstheme="minorHAnsi"/>
          <w:smallCaps/>
          <w:szCs w:val="22"/>
        </w:rPr>
        <w:t>contrat</w:t>
      </w:r>
      <w:r w:rsidRPr="00100F6D">
        <w:rPr>
          <w:rFonts w:asciiTheme="minorHAnsi" w:hAnsiTheme="minorHAnsi" w:cstheme="minorHAnsi"/>
          <w:szCs w:val="22"/>
        </w:rPr>
        <w:t>), et sera réputé valablement fait à compter de sa réception par le destinataire.</w:t>
      </w:r>
    </w:p>
    <w:p w14:paraId="6D2C69E3" w14:textId="77777777" w:rsidR="00D07897" w:rsidRPr="00100F6D" w:rsidRDefault="00D07897" w:rsidP="00D07897">
      <w:pPr>
        <w:pStyle w:val="u"/>
        <w:widowControl w:val="0"/>
        <w:numPr>
          <w:ilvl w:val="12"/>
          <w:numId w:val="0"/>
        </w:numPr>
        <w:spacing w:before="120" w:after="120"/>
        <w:ind w:left="561"/>
        <w:rPr>
          <w:rFonts w:asciiTheme="minorHAnsi" w:hAnsiTheme="minorHAnsi" w:cstheme="minorHAnsi"/>
          <w:szCs w:val="22"/>
        </w:rPr>
      </w:pPr>
      <w:r w:rsidRPr="00100F6D">
        <w:rPr>
          <w:rFonts w:asciiTheme="minorHAnsi" w:hAnsiTheme="minorHAnsi" w:cstheme="minorHAnsi"/>
          <w:szCs w:val="22"/>
        </w:rPr>
        <w:t>Toute la correspondance devra être adressée, tous frais de port payés, aux adresses suivantes :</w:t>
      </w:r>
    </w:p>
    <w:p w14:paraId="49C12A49" w14:textId="77777777" w:rsidR="00CA7460" w:rsidRPr="00100F6D"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100F6D" w14:paraId="335CA6F8" w14:textId="77777777" w:rsidTr="00D07897">
        <w:tc>
          <w:tcPr>
            <w:tcW w:w="4370" w:type="dxa"/>
            <w:vAlign w:val="center"/>
          </w:tcPr>
          <w:p w14:paraId="12800C49" w14:textId="77777777" w:rsidR="00D07897" w:rsidRPr="00100F6D" w:rsidRDefault="00D07897" w:rsidP="00B2733D">
            <w:pPr>
              <w:pStyle w:val="w"/>
              <w:widowControl w:val="0"/>
              <w:spacing w:before="100" w:beforeAutospacing="1" w:after="100" w:afterAutospacing="1"/>
              <w:rPr>
                <w:rFonts w:asciiTheme="minorHAnsi" w:hAnsiTheme="minorHAnsi" w:cstheme="minorHAnsi"/>
                <w:szCs w:val="22"/>
              </w:rPr>
            </w:pPr>
            <w:r w:rsidRPr="00100F6D">
              <w:rPr>
                <w:rFonts w:asciiTheme="minorHAnsi" w:hAnsiTheme="minorHAnsi" w:cstheme="minorHAnsi"/>
                <w:szCs w:val="22"/>
              </w:rPr>
              <w:t xml:space="preserve">Pour </w:t>
            </w:r>
            <w:r w:rsidR="00CE73DB" w:rsidRPr="00100F6D">
              <w:rPr>
                <w:rFonts w:asciiTheme="minorHAnsi" w:hAnsiTheme="minorHAnsi" w:cstheme="minorHAnsi"/>
                <w:smallCaps/>
                <w:szCs w:val="22"/>
              </w:rPr>
              <w:t>Expertise France</w:t>
            </w:r>
            <w:r w:rsidRPr="00100F6D">
              <w:rPr>
                <w:rFonts w:asciiTheme="minorHAnsi" w:hAnsiTheme="minorHAnsi" w:cstheme="minorHAnsi"/>
                <w:smallCaps/>
                <w:szCs w:val="22"/>
              </w:rPr>
              <w:t> </w:t>
            </w:r>
            <w:r w:rsidRPr="00100F6D">
              <w:rPr>
                <w:rFonts w:asciiTheme="minorHAnsi" w:hAnsiTheme="minorHAnsi" w:cstheme="minorHAnsi"/>
                <w:szCs w:val="22"/>
              </w:rPr>
              <w:t>:</w:t>
            </w:r>
          </w:p>
        </w:tc>
        <w:tc>
          <w:tcPr>
            <w:tcW w:w="4374" w:type="dxa"/>
            <w:vAlign w:val="center"/>
          </w:tcPr>
          <w:p w14:paraId="55641739" w14:textId="77777777" w:rsidR="00D07897" w:rsidRPr="00100F6D"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100F6D">
              <w:rPr>
                <w:rFonts w:asciiTheme="minorHAnsi" w:hAnsiTheme="minorHAnsi" w:cstheme="minorHAnsi"/>
                <w:smallCaps/>
                <w:sz w:val="22"/>
                <w:szCs w:val="22"/>
              </w:rPr>
              <w:t>Expertise France</w:t>
            </w:r>
            <w:r w:rsidR="00D07897" w:rsidRPr="00100F6D">
              <w:rPr>
                <w:rFonts w:asciiTheme="minorHAnsi" w:hAnsiTheme="minorHAnsi" w:cstheme="minorHAnsi"/>
                <w:smallCaps/>
                <w:sz w:val="22"/>
                <w:szCs w:val="22"/>
              </w:rPr>
              <w:t xml:space="preserve"> </w:t>
            </w:r>
          </w:p>
          <w:p w14:paraId="34D410C7" w14:textId="77777777" w:rsidR="006C601D" w:rsidRPr="006C601D" w:rsidRDefault="006C601D" w:rsidP="006C601D">
            <w:pPr>
              <w:widowControl w:val="0"/>
              <w:numPr>
                <w:ilvl w:val="12"/>
                <w:numId w:val="0"/>
              </w:numPr>
              <w:spacing w:line="240" w:lineRule="auto"/>
              <w:rPr>
                <w:rFonts w:asciiTheme="minorHAnsi" w:hAnsiTheme="minorHAnsi" w:cstheme="minorHAnsi"/>
                <w:sz w:val="22"/>
                <w:szCs w:val="22"/>
              </w:rPr>
            </w:pPr>
            <w:r w:rsidRPr="006C601D">
              <w:rPr>
                <w:rFonts w:asciiTheme="minorHAnsi" w:hAnsiTheme="minorHAnsi" w:cstheme="minorHAnsi"/>
                <w:sz w:val="22"/>
                <w:szCs w:val="22"/>
              </w:rPr>
              <w:t xml:space="preserve">Camille MARCELLI </w:t>
            </w:r>
          </w:p>
          <w:p w14:paraId="38DD0932" w14:textId="4694814B" w:rsidR="00D07897" w:rsidRPr="00100F6D" w:rsidRDefault="006C601D" w:rsidP="006C601D">
            <w:pPr>
              <w:widowControl w:val="0"/>
              <w:numPr>
                <w:ilvl w:val="12"/>
                <w:numId w:val="0"/>
              </w:numPr>
              <w:spacing w:line="240" w:lineRule="auto"/>
              <w:jc w:val="both"/>
              <w:rPr>
                <w:rFonts w:asciiTheme="minorHAnsi" w:hAnsiTheme="minorHAnsi" w:cstheme="minorHAnsi"/>
                <w:sz w:val="22"/>
                <w:szCs w:val="22"/>
              </w:rPr>
            </w:pPr>
            <w:r w:rsidRPr="006C601D">
              <w:rPr>
                <w:rFonts w:asciiTheme="minorHAnsi" w:hAnsiTheme="minorHAnsi" w:cstheme="minorHAnsi"/>
                <w:sz w:val="22"/>
                <w:szCs w:val="22"/>
              </w:rPr>
              <w:t xml:space="preserve">Chargée appui opérationnel Greenov’i </w:t>
            </w:r>
            <w:bookmarkStart w:id="55" w:name="_GoBack"/>
            <w:bookmarkEnd w:id="55"/>
            <w:r w:rsidR="00D07897" w:rsidRPr="00100F6D">
              <w:rPr>
                <w:rFonts w:asciiTheme="minorHAnsi" w:hAnsiTheme="minorHAnsi" w:cstheme="minorHAnsi"/>
                <w:sz w:val="22"/>
                <w:szCs w:val="22"/>
              </w:rPr>
              <w:t xml:space="preserve">Département </w:t>
            </w:r>
            <w:r w:rsidR="00BC28CB" w:rsidRPr="00100F6D">
              <w:rPr>
                <w:rFonts w:asciiTheme="minorHAnsi" w:hAnsiTheme="minorHAnsi" w:cstheme="minorHAnsi"/>
                <w:sz w:val="22"/>
                <w:szCs w:val="22"/>
              </w:rPr>
              <w:t>EDI</w:t>
            </w:r>
          </w:p>
          <w:p w14:paraId="414E5990" w14:textId="77777777" w:rsidR="00BC28CB" w:rsidRPr="00100F6D" w:rsidRDefault="00BC28CB" w:rsidP="00BC28CB">
            <w:pPr>
              <w:widowControl w:val="0"/>
              <w:numPr>
                <w:ilvl w:val="12"/>
                <w:numId w:val="0"/>
              </w:numPr>
              <w:spacing w:line="240" w:lineRule="auto"/>
              <w:rPr>
                <w:rFonts w:asciiTheme="minorHAnsi" w:hAnsiTheme="minorHAnsi" w:cstheme="minorHAnsi"/>
                <w:sz w:val="22"/>
                <w:szCs w:val="22"/>
              </w:rPr>
            </w:pPr>
            <w:r w:rsidRPr="00100F6D">
              <w:rPr>
                <w:rFonts w:asciiTheme="minorHAnsi" w:hAnsiTheme="minorHAnsi" w:cstheme="minorHAnsi"/>
                <w:sz w:val="22"/>
                <w:szCs w:val="22"/>
              </w:rPr>
              <w:t xml:space="preserve">20 Rue Ibn Nafis – SOPIC Building </w:t>
            </w:r>
          </w:p>
          <w:p w14:paraId="011F9325" w14:textId="562CB622" w:rsidR="00D07897" w:rsidRPr="00100F6D" w:rsidRDefault="00BC28CB" w:rsidP="00BC28CB">
            <w:pPr>
              <w:widowControl w:val="0"/>
              <w:numPr>
                <w:ilvl w:val="12"/>
                <w:numId w:val="0"/>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lastRenderedPageBreak/>
              <w:t>ZI Kheireddine Lac 3, Tunis, Tunisie</w:t>
            </w:r>
          </w:p>
        </w:tc>
      </w:tr>
      <w:tr w:rsidR="00D07897" w:rsidRPr="00100F6D" w14:paraId="2D32B02E" w14:textId="77777777" w:rsidTr="00D07897">
        <w:tc>
          <w:tcPr>
            <w:tcW w:w="4370" w:type="dxa"/>
            <w:vAlign w:val="center"/>
          </w:tcPr>
          <w:p w14:paraId="047E383D" w14:textId="77777777" w:rsidR="00D07897" w:rsidRPr="00100F6D" w:rsidRDefault="00D07897" w:rsidP="00B2733D">
            <w:pPr>
              <w:pStyle w:val="w"/>
              <w:spacing w:before="100" w:beforeAutospacing="1" w:after="100" w:afterAutospacing="1"/>
              <w:rPr>
                <w:rFonts w:asciiTheme="minorHAnsi" w:hAnsiTheme="minorHAnsi" w:cstheme="minorHAnsi"/>
                <w:szCs w:val="22"/>
              </w:rPr>
            </w:pPr>
            <w:r w:rsidRPr="00100F6D">
              <w:rPr>
                <w:rFonts w:asciiTheme="minorHAnsi" w:hAnsiTheme="minorHAnsi" w:cstheme="minorHAnsi"/>
                <w:szCs w:val="22"/>
              </w:rPr>
              <w:lastRenderedPageBreak/>
              <w:t xml:space="preserve">Pour le </w:t>
            </w:r>
            <w:r w:rsidR="00100109" w:rsidRPr="00100F6D">
              <w:rPr>
                <w:rFonts w:asciiTheme="minorHAnsi" w:hAnsiTheme="minorHAnsi" w:cstheme="minorHAnsi"/>
                <w:smallCaps/>
                <w:szCs w:val="22"/>
              </w:rPr>
              <w:t>Contractant</w:t>
            </w:r>
            <w:r w:rsidRPr="00100F6D">
              <w:rPr>
                <w:rFonts w:asciiTheme="minorHAnsi" w:hAnsiTheme="minorHAnsi" w:cstheme="minorHAnsi"/>
                <w:smallCaps/>
                <w:szCs w:val="22"/>
              </w:rPr>
              <w:t> </w:t>
            </w:r>
            <w:r w:rsidRPr="00100F6D">
              <w:rPr>
                <w:rFonts w:asciiTheme="minorHAnsi" w:hAnsiTheme="minorHAnsi" w:cstheme="minorHAnsi"/>
                <w:szCs w:val="22"/>
              </w:rPr>
              <w:t>:</w:t>
            </w:r>
          </w:p>
        </w:tc>
        <w:tc>
          <w:tcPr>
            <w:tcW w:w="4374" w:type="dxa"/>
            <w:vAlign w:val="center"/>
          </w:tcPr>
          <w:p w14:paraId="7940275A" w14:textId="77777777" w:rsidR="00D07897" w:rsidRPr="00100F6D" w:rsidRDefault="00D07897" w:rsidP="00B2733D">
            <w:pPr>
              <w:pStyle w:val="w"/>
              <w:spacing w:before="100" w:beforeAutospacing="1" w:after="100" w:afterAutospacing="1"/>
              <w:rPr>
                <w:rFonts w:asciiTheme="minorHAnsi" w:hAnsiTheme="minorHAnsi" w:cstheme="minorHAnsi"/>
                <w:szCs w:val="22"/>
              </w:rPr>
            </w:pPr>
            <w:r w:rsidRPr="00100F6D">
              <w:rPr>
                <w:rFonts w:asciiTheme="minorHAnsi" w:eastAsia="Calibri" w:hAnsiTheme="minorHAnsi" w:cstheme="minorHAnsi"/>
                <w:szCs w:val="22"/>
              </w:rPr>
              <w:t xml:space="preserve">A renseigner par le </w:t>
            </w:r>
            <w:r w:rsidR="00100109" w:rsidRPr="00100F6D">
              <w:rPr>
                <w:rFonts w:asciiTheme="minorHAnsi" w:eastAsia="Calibri" w:hAnsiTheme="minorHAnsi" w:cstheme="minorHAnsi"/>
                <w:smallCaps/>
                <w:szCs w:val="22"/>
              </w:rPr>
              <w:t>Contractant</w:t>
            </w:r>
          </w:p>
        </w:tc>
      </w:tr>
    </w:tbl>
    <w:p w14:paraId="0C9D95FA" w14:textId="77777777" w:rsidR="00D07897" w:rsidRPr="00100F6D" w:rsidRDefault="00D07897" w:rsidP="00D07897">
      <w:pPr>
        <w:pStyle w:val="v"/>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Chaque </w:t>
      </w:r>
      <w:r w:rsidRPr="00100F6D">
        <w:rPr>
          <w:rFonts w:asciiTheme="minorHAnsi" w:hAnsiTheme="minorHAnsi" w:cstheme="minorHAnsi"/>
          <w:smallCaps/>
          <w:szCs w:val="22"/>
        </w:rPr>
        <w:t>Partie</w:t>
      </w:r>
      <w:r w:rsidRPr="00100F6D">
        <w:rPr>
          <w:rFonts w:asciiTheme="minorHAnsi" w:hAnsiTheme="minorHAnsi" w:cstheme="minorHAnsi"/>
          <w:szCs w:val="22"/>
        </w:rPr>
        <w:t xml:space="preserve"> pourra modifier à tout moment son adresse en informant par écrit l’autre </w:t>
      </w:r>
      <w:r w:rsidRPr="00100F6D">
        <w:rPr>
          <w:rFonts w:asciiTheme="minorHAnsi" w:hAnsiTheme="minorHAnsi" w:cstheme="minorHAnsi"/>
          <w:smallCaps/>
          <w:szCs w:val="22"/>
        </w:rPr>
        <w:t>Partie</w:t>
      </w:r>
      <w:r w:rsidRPr="00100F6D">
        <w:rPr>
          <w:rFonts w:asciiTheme="minorHAnsi" w:hAnsiTheme="minorHAnsi" w:cstheme="minorHAnsi"/>
          <w:szCs w:val="22"/>
        </w:rPr>
        <w:t xml:space="preserve"> de ce changement.</w:t>
      </w:r>
    </w:p>
    <w:p w14:paraId="148F5351" w14:textId="77777777" w:rsidR="005652F9" w:rsidRPr="00100F6D" w:rsidRDefault="005652F9" w:rsidP="005652F9">
      <w:pPr>
        <w:pStyle w:val="Titre2"/>
        <w:spacing w:before="120" w:after="60"/>
        <w:jc w:val="both"/>
        <w:rPr>
          <w:rFonts w:asciiTheme="minorHAnsi" w:hAnsiTheme="minorHAnsi" w:cstheme="minorHAnsi"/>
          <w:sz w:val="22"/>
          <w:szCs w:val="22"/>
        </w:rPr>
      </w:pPr>
      <w:bookmarkStart w:id="56" w:name="_Toc126922002"/>
      <w:r w:rsidRPr="00100F6D">
        <w:rPr>
          <w:rFonts w:asciiTheme="minorHAnsi" w:hAnsiTheme="minorHAnsi" w:cstheme="minorHAnsi"/>
          <w:sz w:val="22"/>
          <w:szCs w:val="22"/>
        </w:rPr>
        <w:t>Engagement contre la déforestation</w:t>
      </w:r>
      <w:bookmarkEnd w:id="56"/>
    </w:p>
    <w:p w14:paraId="597C0671" w14:textId="77777777" w:rsidR="00BB7DD0" w:rsidRPr="00100F6D"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100F6D">
        <w:rPr>
          <w:rFonts w:asciiTheme="minorHAnsi" w:eastAsia="Times New Roman" w:hAnsiTheme="minorHAnsi" w:cstheme="minorHAnsi"/>
          <w:smallCaps/>
          <w:sz w:val="22"/>
        </w:rPr>
        <w:t>Contractant</w:t>
      </w:r>
      <w:r w:rsidRPr="00100F6D">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Pr="00100F6D"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viande ;</w:t>
      </w:r>
    </w:p>
    <w:p w14:paraId="305699C8" w14:textId="77777777" w:rsidR="00BB7DD0" w:rsidRPr="00100F6D"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œufs ;</w:t>
      </w:r>
    </w:p>
    <w:p w14:paraId="0556603B"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produits laitiers ;</w:t>
      </w:r>
    </w:p>
    <w:p w14:paraId="5DB6715A"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plats cuisinés, margarine, pâtes à tartiner ;</w:t>
      </w:r>
    </w:p>
    <w:p w14:paraId="3B277332"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chaussures en cuir ;</w:t>
      </w:r>
    </w:p>
    <w:p w14:paraId="737B1569"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sellerie automobile ;</w:t>
      </w:r>
    </w:p>
    <w:p w14:paraId="53F14B97"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produits de ménage et d’entretien ;</w:t>
      </w:r>
    </w:p>
    <w:p w14:paraId="6AEDAFCD"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agrocarburants ;</w:t>
      </w:r>
    </w:p>
    <w:p w14:paraId="3B7E4468"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bois d’œuvre ;</w:t>
      </w:r>
    </w:p>
    <w:p w14:paraId="76132A36"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mobilier en bois massif ou particules ;</w:t>
      </w:r>
    </w:p>
    <w:p w14:paraId="5847510D"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combustibles ;</w:t>
      </w:r>
    </w:p>
    <w:p w14:paraId="42FD4E3E"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papier ;</w:t>
      </w:r>
    </w:p>
    <w:p w14:paraId="0AAF774B"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carton ;</w:t>
      </w:r>
    </w:p>
    <w:p w14:paraId="088038C3"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textile ;</w:t>
      </w:r>
    </w:p>
    <w:p w14:paraId="3A0E5360"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café, chocolat ;</w:t>
      </w:r>
    </w:p>
    <w:p w14:paraId="52A16F1A"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hAnsiTheme="minorHAnsi"/>
          <w:sz w:val="22"/>
          <w:szCs w:val="22"/>
        </w:rPr>
      </w:pPr>
      <w:r w:rsidRPr="00100F6D">
        <w:rPr>
          <w:rFonts w:asciiTheme="minorHAnsi" w:eastAsia="Calibri" w:hAnsiTheme="minorHAnsi" w:cstheme="minorHAnsi"/>
          <w:sz w:val="22"/>
          <w:szCs w:val="22"/>
          <w:lang w:eastAsia="en-US"/>
        </w:rPr>
        <w:t>fruits exotiques ;</w:t>
      </w:r>
    </w:p>
    <w:p w14:paraId="1630217F" w14:textId="77777777" w:rsidR="00BB7DD0" w:rsidRPr="00100F6D" w:rsidRDefault="00BB7DD0" w:rsidP="006B6C1B">
      <w:pPr>
        <w:pStyle w:val="Paragraphedeliste"/>
        <w:numPr>
          <w:ilvl w:val="0"/>
          <w:numId w:val="23"/>
        </w:numPr>
        <w:spacing w:before="200" w:line="260" w:lineRule="atLeast"/>
        <w:ind w:left="851" w:hanging="284"/>
        <w:jc w:val="both"/>
        <w:rPr>
          <w:rFonts w:asciiTheme="minorHAnsi" w:hAnsiTheme="minorHAnsi"/>
          <w:sz w:val="22"/>
          <w:szCs w:val="22"/>
        </w:rPr>
      </w:pPr>
      <w:r w:rsidRPr="00100F6D">
        <w:rPr>
          <w:rFonts w:asciiTheme="minorHAnsi" w:eastAsia="Calibri" w:hAnsiTheme="minorHAnsi" w:cstheme="minorHAnsi"/>
          <w:sz w:val="22"/>
          <w:szCs w:val="22"/>
          <w:lang w:eastAsia="en-US"/>
        </w:rPr>
        <w:t>électronique.</w:t>
      </w:r>
    </w:p>
    <w:p w14:paraId="4F81D1F0" w14:textId="77777777" w:rsidR="00BB7DD0" w:rsidRPr="00100F6D" w:rsidRDefault="00BB7DD0" w:rsidP="00BB7DD0">
      <w:pPr>
        <w:pStyle w:val="v"/>
        <w:widowControl w:val="0"/>
        <w:numPr>
          <w:ilvl w:val="12"/>
          <w:numId w:val="0"/>
        </w:numPr>
        <w:spacing w:before="120"/>
        <w:ind w:left="561"/>
        <w:rPr>
          <w:rFonts w:asciiTheme="minorHAnsi" w:hAnsiTheme="minorHAnsi" w:cstheme="minorHAnsi"/>
          <w:szCs w:val="22"/>
        </w:rPr>
      </w:pPr>
      <w:r w:rsidRPr="00100F6D">
        <w:rPr>
          <w:rFonts w:asciiTheme="minorHAnsi" w:hAnsiTheme="minorHAnsi"/>
          <w:szCs w:val="22"/>
        </w:rPr>
        <w:t>Pour plus d’informations, le guide </w:t>
      </w:r>
      <w:r w:rsidRPr="00100F6D">
        <w:rPr>
          <w:rFonts w:asciiTheme="minorHAnsi" w:hAnsiTheme="minorHAnsi"/>
          <w:i/>
          <w:szCs w:val="22"/>
        </w:rPr>
        <w:t>S’engager dans une politique d’achat public « Zéro déforestation »</w:t>
      </w:r>
      <w:r w:rsidRPr="00100F6D">
        <w:rPr>
          <w:rFonts w:asciiTheme="minorHAnsi" w:hAnsiTheme="minorHAnsi"/>
          <w:szCs w:val="22"/>
        </w:rPr>
        <w:t xml:space="preserve"> est accessible à l’adresse </w:t>
      </w:r>
      <w:r w:rsidRPr="00100F6D">
        <w:rPr>
          <w:rFonts w:asciiTheme="minorHAnsi" w:hAnsiTheme="minorHAnsi" w:cstheme="minorHAnsi"/>
          <w:szCs w:val="22"/>
        </w:rPr>
        <w:t>électronique</w:t>
      </w:r>
      <w:r w:rsidRPr="00100F6D">
        <w:rPr>
          <w:rFonts w:asciiTheme="minorHAnsi" w:hAnsiTheme="minorHAnsi"/>
          <w:szCs w:val="22"/>
        </w:rPr>
        <w:t> suivante : </w:t>
      </w:r>
      <w:hyperlink r:id="rId16" w:history="1">
        <w:r w:rsidRPr="00100F6D">
          <w:rPr>
            <w:rStyle w:val="Lienhypertexte"/>
            <w:rFonts w:asciiTheme="minorHAnsi" w:hAnsiTheme="minorHAnsi"/>
            <w:szCs w:val="22"/>
          </w:rPr>
          <w:t>https://www.ecologie.gouv.fr/sites/default/files/Guide_politique_achat_public_zero_deforestation.pdf</w:t>
        </w:r>
      </w:hyperlink>
    </w:p>
    <w:p w14:paraId="425FC4FF" w14:textId="77777777" w:rsidR="009766DB" w:rsidRPr="00100F6D" w:rsidRDefault="009766DB"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26922003"/>
      <w:r w:rsidRPr="00100F6D">
        <w:rPr>
          <w:rFonts w:asciiTheme="minorHAnsi" w:hAnsiTheme="minorHAnsi"/>
          <w:b/>
          <w:caps/>
          <w:sz w:val="24"/>
          <w:u w:val="single"/>
        </w:rPr>
        <w:t>Clause de réexamen</w:t>
      </w:r>
      <w:bookmarkEnd w:id="57"/>
    </w:p>
    <w:p w14:paraId="6F15382F" w14:textId="77777777" w:rsidR="009766DB" w:rsidRPr="00100F6D" w:rsidRDefault="009766DB" w:rsidP="00345AEE">
      <w:pPr>
        <w:pStyle w:val="u"/>
        <w:widowControl w:val="0"/>
        <w:numPr>
          <w:ilvl w:val="12"/>
          <w:numId w:val="0"/>
        </w:numPr>
        <w:spacing w:before="120"/>
        <w:ind w:left="561"/>
        <w:rPr>
          <w:rFonts w:asciiTheme="minorHAnsi" w:hAnsiTheme="minorHAnsi" w:cs="Arial"/>
          <w:szCs w:val="22"/>
        </w:rPr>
      </w:pPr>
      <w:r w:rsidRPr="00100F6D">
        <w:rPr>
          <w:rFonts w:asciiTheme="minorHAnsi" w:hAnsiTheme="minorHAnsi" w:cs="Arial"/>
          <w:szCs w:val="22"/>
        </w:rPr>
        <w:t xml:space="preserve">En application des articles R.2194-1 et suivants du code de la commande publique, </w:t>
      </w:r>
      <w:r w:rsidR="00CE73DB" w:rsidRPr="00100F6D">
        <w:rPr>
          <w:rFonts w:asciiTheme="minorHAnsi" w:hAnsiTheme="minorHAnsi" w:cs="Arial"/>
          <w:smallCaps/>
          <w:szCs w:val="22"/>
        </w:rPr>
        <w:t>Expertise France</w:t>
      </w:r>
      <w:r w:rsidRPr="00100F6D">
        <w:rPr>
          <w:rFonts w:asciiTheme="minorHAnsi" w:hAnsiTheme="minorHAnsi" w:cs="Arial"/>
          <w:szCs w:val="22"/>
        </w:rPr>
        <w:t xml:space="preserve"> peut apporter les modifications aux dispositions du présent contrat dans les conditions suivantes : </w:t>
      </w:r>
    </w:p>
    <w:p w14:paraId="1C196334" w14:textId="1E270E30" w:rsidR="009766DB" w:rsidRPr="00100F6D" w:rsidRDefault="009766DB" w:rsidP="006B6C1B">
      <w:pPr>
        <w:pStyle w:val="u"/>
        <w:widowControl w:val="0"/>
        <w:numPr>
          <w:ilvl w:val="0"/>
          <w:numId w:val="16"/>
        </w:numPr>
        <w:spacing w:before="120"/>
        <w:rPr>
          <w:rFonts w:asciiTheme="minorHAnsi" w:hAnsiTheme="minorHAnsi" w:cs="Arial"/>
          <w:szCs w:val="22"/>
        </w:rPr>
      </w:pPr>
      <w:r w:rsidRPr="00100F6D">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100F6D">
        <w:rPr>
          <w:rFonts w:asciiTheme="minorHAnsi" w:hAnsiTheme="minorHAnsi" w:cs="Arial"/>
          <w:smallCaps/>
          <w:szCs w:val="22"/>
        </w:rPr>
        <w:t>Expertise France</w:t>
      </w:r>
      <w:r w:rsidRPr="00100F6D">
        <w:rPr>
          <w:rFonts w:asciiTheme="minorHAnsi" w:hAnsiTheme="minorHAnsi" w:cs="Arial"/>
          <w:szCs w:val="22"/>
        </w:rPr>
        <w:t>;</w:t>
      </w:r>
    </w:p>
    <w:p w14:paraId="14FF8CBF" w14:textId="0566E2EC" w:rsidR="009766DB" w:rsidRPr="00100F6D" w:rsidRDefault="009766DB" w:rsidP="006B6C1B">
      <w:pPr>
        <w:pStyle w:val="u"/>
        <w:widowControl w:val="0"/>
        <w:numPr>
          <w:ilvl w:val="0"/>
          <w:numId w:val="16"/>
        </w:numPr>
        <w:spacing w:before="120"/>
        <w:rPr>
          <w:rFonts w:asciiTheme="minorHAnsi" w:hAnsiTheme="minorHAnsi" w:cs="Arial"/>
          <w:szCs w:val="22"/>
        </w:rPr>
      </w:pPr>
      <w:r w:rsidRPr="00100F6D">
        <w:rPr>
          <w:rFonts w:asciiTheme="minorHAnsi" w:hAnsiTheme="minorHAnsi" w:cs="Arial"/>
          <w:szCs w:val="22"/>
        </w:rPr>
        <w:t>La mise à jour d’éléments techniques (précisions sur les livrables</w:t>
      </w:r>
      <w:r w:rsidR="00BC28CB" w:rsidRPr="00100F6D">
        <w:rPr>
          <w:rFonts w:asciiTheme="minorHAnsi" w:hAnsiTheme="minorHAnsi" w:cs="Arial"/>
          <w:szCs w:val="22"/>
        </w:rPr>
        <w:t xml:space="preserve"> </w:t>
      </w:r>
      <w:r w:rsidRPr="00100F6D">
        <w:rPr>
          <w:rFonts w:asciiTheme="minorHAnsi" w:hAnsiTheme="minorHAnsi" w:cs="Arial"/>
          <w:szCs w:val="22"/>
        </w:rPr>
        <w:t>…).</w:t>
      </w:r>
    </w:p>
    <w:p w14:paraId="2AC74079" w14:textId="073C5363" w:rsidR="006E576B" w:rsidRPr="00100F6D" w:rsidRDefault="009766DB" w:rsidP="00BC28CB">
      <w:pPr>
        <w:pStyle w:val="u"/>
        <w:widowControl w:val="0"/>
        <w:numPr>
          <w:ilvl w:val="12"/>
          <w:numId w:val="0"/>
        </w:numPr>
        <w:spacing w:before="120"/>
        <w:ind w:left="561"/>
        <w:rPr>
          <w:rFonts w:asciiTheme="minorHAnsi" w:hAnsiTheme="minorHAnsi" w:cs="Arial"/>
          <w:szCs w:val="22"/>
        </w:rPr>
      </w:pPr>
      <w:r w:rsidRPr="00100F6D">
        <w:rPr>
          <w:rFonts w:asciiTheme="minorHAnsi" w:hAnsiTheme="minorHAnsi" w:cs="Arial"/>
          <w:szCs w:val="22"/>
        </w:rPr>
        <w:t xml:space="preserve">Ces modifications sont notifiées au </w:t>
      </w:r>
      <w:r w:rsidR="00100109" w:rsidRPr="00100F6D">
        <w:rPr>
          <w:rFonts w:asciiTheme="minorHAnsi" w:hAnsiTheme="minorHAnsi" w:cs="Arial"/>
          <w:smallCaps/>
          <w:szCs w:val="22"/>
        </w:rPr>
        <w:t>Contractant</w:t>
      </w:r>
      <w:r w:rsidRPr="00100F6D">
        <w:rPr>
          <w:rFonts w:asciiTheme="minorHAnsi" w:hAnsiTheme="minorHAnsi" w:cs="Arial"/>
          <w:szCs w:val="22"/>
        </w:rPr>
        <w:t> par la conclusion d’un avenant.</w:t>
      </w:r>
    </w:p>
    <w:p w14:paraId="39012791" w14:textId="77777777" w:rsidR="00C64382" w:rsidRPr="00100F6D" w:rsidRDefault="00C64382"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100F6D">
        <w:rPr>
          <w:rFonts w:asciiTheme="minorHAnsi" w:hAnsiTheme="minorHAnsi"/>
          <w:b/>
          <w:caps/>
          <w:sz w:val="24"/>
          <w:u w:val="single"/>
        </w:rPr>
        <w:lastRenderedPageBreak/>
        <w:t>R</w:t>
      </w:r>
      <w:r w:rsidR="006E576B" w:rsidRPr="00100F6D">
        <w:rPr>
          <w:rFonts w:asciiTheme="minorHAnsi" w:hAnsiTheme="minorHAnsi"/>
          <w:b/>
          <w:caps/>
          <w:sz w:val="24"/>
          <w:u w:val="single"/>
        </w:rPr>
        <w:t>É</w:t>
      </w:r>
      <w:r w:rsidRPr="00100F6D">
        <w:rPr>
          <w:rFonts w:asciiTheme="minorHAnsi" w:hAnsiTheme="minorHAnsi"/>
          <w:b/>
          <w:caps/>
          <w:sz w:val="24"/>
          <w:u w:val="single"/>
        </w:rPr>
        <w:t>alisation de prestations similaires</w:t>
      </w:r>
      <w:bookmarkEnd w:id="58"/>
      <w:bookmarkEnd w:id="59"/>
    </w:p>
    <w:p w14:paraId="7C57B5B2" w14:textId="77777777" w:rsidR="00C64382" w:rsidRPr="00100F6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 xml:space="preserve">En application de l’article R.2122-7 du code de la commande publique, le </w:t>
      </w:r>
      <w:r w:rsidR="00100109" w:rsidRPr="00100F6D">
        <w:rPr>
          <w:rFonts w:asciiTheme="minorHAnsi" w:eastAsia="Times New Roman" w:hAnsiTheme="minorHAnsi" w:cs="Arial"/>
          <w:smallCaps/>
          <w:sz w:val="22"/>
        </w:rPr>
        <w:t>Contractant</w:t>
      </w:r>
      <w:r w:rsidRPr="00100F6D">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100F6D"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26922005"/>
      <w:r w:rsidRPr="00100F6D">
        <w:rPr>
          <w:rFonts w:asciiTheme="minorHAnsi" w:hAnsiTheme="minorHAnsi"/>
          <w:b/>
          <w:caps/>
          <w:sz w:val="24"/>
          <w:u w:val="single"/>
        </w:rPr>
        <w:t>p</w:t>
      </w:r>
      <w:r w:rsidR="006E576B" w:rsidRPr="00100F6D">
        <w:rPr>
          <w:rFonts w:asciiTheme="minorHAnsi" w:hAnsiTheme="minorHAnsi"/>
          <w:b/>
          <w:caps/>
          <w:sz w:val="24"/>
          <w:u w:val="single"/>
        </w:rPr>
        <w:t>É</w:t>
      </w:r>
      <w:r w:rsidRPr="00100F6D">
        <w:rPr>
          <w:rFonts w:asciiTheme="minorHAnsi" w:hAnsiTheme="minorHAnsi"/>
          <w:b/>
          <w:caps/>
          <w:sz w:val="24"/>
          <w:u w:val="single"/>
        </w:rPr>
        <w:t>nalitÉs</w:t>
      </w:r>
      <w:bookmarkEnd w:id="60"/>
    </w:p>
    <w:p w14:paraId="48922FEA" w14:textId="77777777" w:rsidR="005C1231" w:rsidRPr="00100F6D" w:rsidRDefault="005C1231" w:rsidP="00A1761D">
      <w:pPr>
        <w:pStyle w:val="u"/>
        <w:widowControl w:val="0"/>
        <w:rPr>
          <w:rFonts w:asciiTheme="minorHAnsi" w:hAnsiTheme="minorHAnsi" w:cs="Arial"/>
          <w:szCs w:val="22"/>
        </w:rPr>
      </w:pPr>
      <w:r w:rsidRPr="00100F6D">
        <w:rPr>
          <w:rFonts w:asciiTheme="minorHAnsi" w:hAnsiTheme="minorHAnsi" w:cs="Arial"/>
          <w:szCs w:val="22"/>
        </w:rPr>
        <w:t>Le montant des pénalités sera appliqué dans le calcul du solde des versements dus au titre du</w:t>
      </w:r>
      <w:r w:rsidR="00F92D77" w:rsidRPr="00100F6D">
        <w:rPr>
          <w:rFonts w:asciiTheme="minorHAnsi" w:hAnsiTheme="minorHAnsi" w:cs="Arial"/>
          <w:szCs w:val="22"/>
        </w:rPr>
        <w:t xml:space="preserve"> poste ou du</w:t>
      </w:r>
      <w:r w:rsidRPr="00100F6D">
        <w:rPr>
          <w:rFonts w:asciiTheme="minorHAnsi" w:hAnsiTheme="minorHAnsi" w:cs="Arial"/>
          <w:szCs w:val="22"/>
        </w:rPr>
        <w:t xml:space="preserve"> bon de commande concerné.</w:t>
      </w:r>
    </w:p>
    <w:p w14:paraId="2B44EE7D" w14:textId="77777777" w:rsidR="00197CF8" w:rsidRPr="00100F6D" w:rsidRDefault="00197CF8" w:rsidP="00A1761D">
      <w:pPr>
        <w:pStyle w:val="Titre2"/>
        <w:spacing w:before="120" w:after="60"/>
        <w:jc w:val="both"/>
        <w:rPr>
          <w:rFonts w:asciiTheme="minorHAnsi" w:hAnsiTheme="minorHAnsi"/>
          <w:sz w:val="22"/>
          <w:szCs w:val="22"/>
        </w:rPr>
      </w:pPr>
      <w:bookmarkStart w:id="61" w:name="_Toc126922006"/>
      <w:r w:rsidRPr="00100F6D">
        <w:rPr>
          <w:rFonts w:asciiTheme="minorHAnsi" w:hAnsiTheme="minorHAnsi"/>
          <w:sz w:val="22"/>
          <w:szCs w:val="22"/>
        </w:rPr>
        <w:t>Pénalités sur livrables documentaires</w:t>
      </w:r>
      <w:r w:rsidR="005C1231" w:rsidRPr="00100F6D">
        <w:rPr>
          <w:rFonts w:asciiTheme="minorHAnsi" w:hAnsiTheme="minorHAnsi"/>
          <w:sz w:val="22"/>
          <w:szCs w:val="22"/>
        </w:rPr>
        <w:t xml:space="preserve"> périodiques</w:t>
      </w:r>
      <w:bookmarkEnd w:id="61"/>
    </w:p>
    <w:p w14:paraId="0E7DFA05" w14:textId="77777777" w:rsidR="00197CF8" w:rsidRPr="00100F6D" w:rsidRDefault="00197CF8" w:rsidP="00A1761D">
      <w:pPr>
        <w:pStyle w:val="u"/>
        <w:widowControl w:val="0"/>
        <w:numPr>
          <w:ilvl w:val="12"/>
          <w:numId w:val="0"/>
        </w:numPr>
        <w:ind w:left="562"/>
        <w:rPr>
          <w:rFonts w:asciiTheme="minorHAnsi" w:hAnsiTheme="minorHAnsi" w:cs="Arial"/>
          <w:szCs w:val="22"/>
        </w:rPr>
      </w:pPr>
      <w:r w:rsidRPr="00100F6D">
        <w:rPr>
          <w:rFonts w:asciiTheme="minorHAnsi" w:hAnsiTheme="minorHAnsi" w:cs="Arial"/>
          <w:szCs w:val="22"/>
        </w:rPr>
        <w:t xml:space="preserve">Par dérogation </w:t>
      </w:r>
      <w:r w:rsidR="00F17624" w:rsidRPr="00100F6D">
        <w:rPr>
          <w:rFonts w:asciiTheme="minorHAnsi" w:hAnsiTheme="minorHAnsi" w:cs="Arial"/>
          <w:szCs w:val="22"/>
        </w:rPr>
        <w:t xml:space="preserve">au </w:t>
      </w:r>
      <w:r w:rsidRPr="00100F6D">
        <w:rPr>
          <w:rFonts w:asciiTheme="minorHAnsi" w:hAnsiTheme="minorHAnsi" w:cs="Arial"/>
          <w:szCs w:val="22"/>
        </w:rPr>
        <w:t xml:space="preserve">CCAG, les pénalités sont fixées forfaitairement à </w:t>
      </w:r>
      <w:r w:rsidR="005C1231" w:rsidRPr="00100F6D">
        <w:rPr>
          <w:rFonts w:asciiTheme="minorHAnsi" w:hAnsiTheme="minorHAnsi" w:cs="Arial"/>
          <w:szCs w:val="22"/>
        </w:rPr>
        <w:t>50</w:t>
      </w:r>
      <w:r w:rsidRPr="00100F6D">
        <w:rPr>
          <w:rFonts w:asciiTheme="minorHAnsi" w:hAnsiTheme="minorHAnsi" w:cs="Arial"/>
          <w:szCs w:val="22"/>
        </w:rPr>
        <w:t xml:space="preserve">€ net par jour de retard </w:t>
      </w:r>
      <w:r w:rsidR="00AC711D" w:rsidRPr="00100F6D">
        <w:rPr>
          <w:rFonts w:asciiTheme="minorHAnsi" w:hAnsiTheme="minorHAnsi" w:cs="Arial"/>
          <w:szCs w:val="22"/>
        </w:rPr>
        <w:t xml:space="preserve">de remise </w:t>
      </w:r>
      <w:r w:rsidRPr="00100F6D">
        <w:rPr>
          <w:rFonts w:asciiTheme="minorHAnsi" w:hAnsiTheme="minorHAnsi" w:cs="Arial"/>
          <w:szCs w:val="22"/>
        </w:rPr>
        <w:t xml:space="preserve">des livrables </w:t>
      </w:r>
      <w:r w:rsidR="005C1231" w:rsidRPr="00100F6D">
        <w:rPr>
          <w:rFonts w:asciiTheme="minorHAnsi" w:hAnsiTheme="minorHAnsi" w:cs="Arial"/>
          <w:szCs w:val="22"/>
        </w:rPr>
        <w:t xml:space="preserve">périodiques </w:t>
      </w:r>
      <w:r w:rsidRPr="00100F6D">
        <w:rPr>
          <w:rFonts w:asciiTheme="minorHAnsi" w:hAnsiTheme="minorHAnsi" w:cs="Arial"/>
          <w:szCs w:val="22"/>
        </w:rPr>
        <w:t xml:space="preserve">attendus </w:t>
      </w:r>
      <w:r w:rsidR="00AC711D" w:rsidRPr="00100F6D">
        <w:rPr>
          <w:rFonts w:asciiTheme="minorHAnsi" w:hAnsiTheme="minorHAnsi" w:cs="Arial"/>
          <w:szCs w:val="22"/>
        </w:rPr>
        <w:t>désigné</w:t>
      </w:r>
      <w:r w:rsidR="00737DB4" w:rsidRPr="00100F6D">
        <w:rPr>
          <w:rFonts w:asciiTheme="minorHAnsi" w:hAnsiTheme="minorHAnsi" w:cs="Arial"/>
          <w:szCs w:val="22"/>
        </w:rPr>
        <w:t>s</w:t>
      </w:r>
      <w:r w:rsidR="00AC711D" w:rsidRPr="00100F6D">
        <w:rPr>
          <w:rFonts w:asciiTheme="minorHAnsi" w:hAnsiTheme="minorHAnsi" w:cs="Arial"/>
          <w:szCs w:val="22"/>
        </w:rPr>
        <w:t xml:space="preserve"> à l’article 6 « tableau des livrables » du présent </w:t>
      </w:r>
      <w:r w:rsidR="00037915" w:rsidRPr="00100F6D">
        <w:rPr>
          <w:rFonts w:asciiTheme="minorHAnsi" w:hAnsiTheme="minorHAnsi" w:cs="Arial"/>
          <w:smallCaps/>
          <w:szCs w:val="22"/>
        </w:rPr>
        <w:t>Contrat</w:t>
      </w:r>
      <w:r w:rsidR="00AC711D" w:rsidRPr="00100F6D">
        <w:rPr>
          <w:rFonts w:asciiTheme="minorHAnsi" w:hAnsiTheme="minorHAnsi" w:cs="Arial"/>
          <w:szCs w:val="22"/>
        </w:rPr>
        <w:t>.</w:t>
      </w:r>
    </w:p>
    <w:p w14:paraId="11ED45AC" w14:textId="77777777" w:rsidR="00197CF8" w:rsidRPr="00100F6D" w:rsidRDefault="00197CF8" w:rsidP="00A1761D">
      <w:pPr>
        <w:pStyle w:val="Titre2"/>
        <w:spacing w:before="120" w:after="60"/>
        <w:jc w:val="both"/>
        <w:rPr>
          <w:rFonts w:asciiTheme="minorHAnsi" w:hAnsiTheme="minorHAnsi"/>
          <w:sz w:val="22"/>
          <w:szCs w:val="22"/>
        </w:rPr>
      </w:pPr>
      <w:bookmarkStart w:id="62" w:name="_Toc126922007"/>
      <w:r w:rsidRPr="00100F6D">
        <w:rPr>
          <w:rFonts w:asciiTheme="minorHAnsi" w:hAnsiTheme="minorHAnsi"/>
          <w:sz w:val="22"/>
          <w:szCs w:val="22"/>
        </w:rPr>
        <w:t>Pénalités sur remise d’un livrable</w:t>
      </w:r>
      <w:r w:rsidR="005C1231" w:rsidRPr="00100F6D">
        <w:rPr>
          <w:rFonts w:asciiTheme="minorHAnsi" w:hAnsiTheme="minorHAnsi"/>
          <w:sz w:val="22"/>
          <w:szCs w:val="22"/>
        </w:rPr>
        <w:t xml:space="preserve"> final</w:t>
      </w:r>
      <w:bookmarkEnd w:id="62"/>
    </w:p>
    <w:p w14:paraId="56967F45" w14:textId="77777777" w:rsidR="00197CF8" w:rsidRPr="00100F6D" w:rsidRDefault="00197CF8" w:rsidP="00A1761D">
      <w:pPr>
        <w:pStyle w:val="u"/>
        <w:widowControl w:val="0"/>
        <w:numPr>
          <w:ilvl w:val="12"/>
          <w:numId w:val="0"/>
        </w:numPr>
        <w:ind w:left="562"/>
        <w:rPr>
          <w:rFonts w:asciiTheme="minorHAnsi" w:hAnsiTheme="minorHAnsi" w:cs="Arial"/>
          <w:szCs w:val="22"/>
        </w:rPr>
      </w:pPr>
      <w:r w:rsidRPr="00100F6D">
        <w:rPr>
          <w:rFonts w:asciiTheme="minorHAnsi" w:hAnsiTheme="minorHAnsi" w:cs="Arial"/>
          <w:szCs w:val="22"/>
        </w:rPr>
        <w:t xml:space="preserve">Par dérogation </w:t>
      </w:r>
      <w:r w:rsidR="00F17624" w:rsidRPr="00100F6D">
        <w:rPr>
          <w:rFonts w:asciiTheme="minorHAnsi" w:hAnsiTheme="minorHAnsi" w:cs="Arial"/>
          <w:szCs w:val="22"/>
        </w:rPr>
        <w:t xml:space="preserve">au </w:t>
      </w:r>
      <w:r w:rsidRPr="00100F6D">
        <w:rPr>
          <w:rFonts w:asciiTheme="minorHAnsi" w:hAnsiTheme="minorHAnsi" w:cs="Arial"/>
          <w:szCs w:val="22"/>
        </w:rPr>
        <w:t>CCAG,</w:t>
      </w:r>
      <w:r w:rsidR="00B813FE" w:rsidRPr="00100F6D">
        <w:rPr>
          <w:rFonts w:asciiTheme="minorHAnsi" w:hAnsiTheme="minorHAnsi" w:cs="Arial"/>
          <w:szCs w:val="22"/>
        </w:rPr>
        <w:t xml:space="preserve"> </w:t>
      </w:r>
      <w:r w:rsidRPr="00100F6D">
        <w:rPr>
          <w:rFonts w:asciiTheme="minorHAnsi" w:hAnsiTheme="minorHAnsi" w:cs="Arial"/>
          <w:szCs w:val="22"/>
        </w:rPr>
        <w:t xml:space="preserve">les pénalités sont fixées forfaitairement à </w:t>
      </w:r>
      <w:r w:rsidR="005C1231" w:rsidRPr="00100F6D">
        <w:rPr>
          <w:rFonts w:asciiTheme="minorHAnsi" w:hAnsiTheme="minorHAnsi" w:cs="Arial"/>
          <w:szCs w:val="22"/>
        </w:rPr>
        <w:t>10</w:t>
      </w:r>
      <w:r w:rsidRPr="00100F6D">
        <w:rPr>
          <w:rFonts w:asciiTheme="minorHAnsi" w:hAnsiTheme="minorHAnsi" w:cs="Arial"/>
          <w:szCs w:val="22"/>
        </w:rPr>
        <w:t xml:space="preserve">0€ net par jour de retard </w:t>
      </w:r>
      <w:r w:rsidR="00AC711D" w:rsidRPr="00100F6D">
        <w:rPr>
          <w:rFonts w:asciiTheme="minorHAnsi" w:hAnsiTheme="minorHAnsi" w:cs="Arial"/>
          <w:szCs w:val="22"/>
        </w:rPr>
        <w:t xml:space="preserve">de remise </w:t>
      </w:r>
      <w:r w:rsidRPr="00100F6D">
        <w:rPr>
          <w:rFonts w:asciiTheme="minorHAnsi" w:hAnsiTheme="minorHAnsi" w:cs="Arial"/>
          <w:szCs w:val="22"/>
        </w:rPr>
        <w:t xml:space="preserve">des livrables </w:t>
      </w:r>
      <w:r w:rsidR="005C1231" w:rsidRPr="00100F6D">
        <w:rPr>
          <w:rFonts w:asciiTheme="minorHAnsi" w:hAnsiTheme="minorHAnsi" w:cs="Arial"/>
          <w:szCs w:val="22"/>
        </w:rPr>
        <w:t xml:space="preserve">finaux </w:t>
      </w:r>
      <w:r w:rsidRPr="00100F6D">
        <w:rPr>
          <w:rFonts w:asciiTheme="minorHAnsi" w:hAnsiTheme="minorHAnsi" w:cs="Arial"/>
          <w:szCs w:val="22"/>
        </w:rPr>
        <w:t xml:space="preserve">attendus </w:t>
      </w:r>
      <w:r w:rsidR="00AC711D" w:rsidRPr="00100F6D">
        <w:rPr>
          <w:rFonts w:asciiTheme="minorHAnsi" w:hAnsiTheme="minorHAnsi" w:cs="Arial"/>
          <w:szCs w:val="22"/>
        </w:rPr>
        <w:t>désigné</w:t>
      </w:r>
      <w:r w:rsidR="00737DB4" w:rsidRPr="00100F6D">
        <w:rPr>
          <w:rFonts w:asciiTheme="minorHAnsi" w:hAnsiTheme="minorHAnsi" w:cs="Arial"/>
          <w:szCs w:val="22"/>
        </w:rPr>
        <w:t>s</w:t>
      </w:r>
      <w:r w:rsidR="00AC711D" w:rsidRPr="00100F6D">
        <w:rPr>
          <w:rFonts w:asciiTheme="minorHAnsi" w:hAnsiTheme="minorHAnsi" w:cs="Arial"/>
          <w:szCs w:val="22"/>
        </w:rPr>
        <w:t xml:space="preserve"> à l’article 6 « tableau des livrables » du présent </w:t>
      </w:r>
      <w:r w:rsidR="00037915" w:rsidRPr="00100F6D">
        <w:rPr>
          <w:rFonts w:asciiTheme="minorHAnsi" w:hAnsiTheme="minorHAnsi" w:cs="Arial"/>
          <w:smallCaps/>
          <w:szCs w:val="22"/>
        </w:rPr>
        <w:t>Contrat</w:t>
      </w:r>
      <w:r w:rsidR="00AC711D" w:rsidRPr="00100F6D">
        <w:rPr>
          <w:rFonts w:asciiTheme="minorHAnsi" w:hAnsiTheme="minorHAnsi" w:cs="Arial"/>
          <w:szCs w:val="22"/>
        </w:rPr>
        <w:t>.</w:t>
      </w:r>
    </w:p>
    <w:p w14:paraId="32CD4477" w14:textId="77777777" w:rsidR="00783DE8" w:rsidRPr="00100F6D"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100F6D" w:rsidRDefault="00265A08" w:rsidP="006B6C1B">
      <w:pPr>
        <w:pStyle w:val="v"/>
        <w:widowControl w:val="0"/>
        <w:numPr>
          <w:ilvl w:val="0"/>
          <w:numId w:val="6"/>
        </w:numPr>
        <w:spacing w:before="600" w:after="240"/>
        <w:ind w:left="357" w:hanging="357"/>
        <w:outlineLvl w:val="0"/>
        <w:rPr>
          <w:rFonts w:asciiTheme="minorHAnsi" w:hAnsiTheme="minorHAnsi"/>
          <w:b/>
          <w:caps/>
          <w:sz w:val="24"/>
          <w:u w:val="single"/>
        </w:rPr>
      </w:pPr>
      <w:bookmarkStart w:id="63" w:name="_Toc126922008"/>
      <w:r w:rsidRPr="00100F6D">
        <w:rPr>
          <w:rFonts w:asciiTheme="minorHAnsi" w:hAnsiTheme="minorHAnsi"/>
          <w:b/>
          <w:caps/>
          <w:sz w:val="24"/>
          <w:u w:val="single"/>
        </w:rPr>
        <w:t>propriÉt</w:t>
      </w:r>
      <w:r w:rsidR="006E576B" w:rsidRPr="00100F6D">
        <w:rPr>
          <w:rFonts w:asciiTheme="minorHAnsi" w:hAnsiTheme="minorHAnsi"/>
          <w:b/>
          <w:caps/>
          <w:sz w:val="24"/>
          <w:u w:val="single"/>
        </w:rPr>
        <w:t>É</w:t>
      </w:r>
      <w:r w:rsidRPr="00100F6D">
        <w:rPr>
          <w:rFonts w:asciiTheme="minorHAnsi" w:hAnsiTheme="minorHAnsi"/>
          <w:b/>
          <w:caps/>
          <w:sz w:val="24"/>
          <w:u w:val="single"/>
        </w:rPr>
        <w:t xml:space="preserve"> </w:t>
      </w:r>
      <w:r w:rsidR="00C71F4D" w:rsidRPr="00100F6D">
        <w:rPr>
          <w:rFonts w:asciiTheme="minorHAnsi" w:hAnsiTheme="minorHAnsi"/>
          <w:b/>
          <w:caps/>
          <w:sz w:val="24"/>
          <w:u w:val="single"/>
        </w:rPr>
        <w:t>intellectuelle</w:t>
      </w:r>
      <w:bookmarkEnd w:id="63"/>
    </w:p>
    <w:p w14:paraId="3F40BF14" w14:textId="77777777" w:rsidR="00C54C14" w:rsidRPr="00100F6D"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100F6D">
        <w:rPr>
          <w:rFonts w:asciiTheme="minorHAnsi" w:hAnsiTheme="minorHAnsi"/>
          <w:sz w:val="22"/>
          <w:szCs w:val="22"/>
        </w:rPr>
        <w:t>Définitions</w:t>
      </w:r>
      <w:bookmarkEnd w:id="64"/>
    </w:p>
    <w:p w14:paraId="31EF42C6" w14:textId="77777777" w:rsidR="00897529" w:rsidRPr="00100F6D" w:rsidRDefault="00DE2129" w:rsidP="00A1761D">
      <w:pPr>
        <w:spacing w:after="120"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La Cession prévue par le présent Article implique de définir les termes suivant</w:t>
      </w:r>
      <w:r w:rsidR="002352A4" w:rsidRPr="00100F6D">
        <w:rPr>
          <w:rFonts w:asciiTheme="minorHAnsi" w:eastAsia="Times New Roman" w:hAnsiTheme="minorHAnsi" w:cs="Arial"/>
          <w:sz w:val="22"/>
          <w:szCs w:val="22"/>
        </w:rPr>
        <w:t>s :</w:t>
      </w:r>
      <w:r w:rsidRPr="00100F6D">
        <w:rPr>
          <w:rFonts w:asciiTheme="minorHAnsi" w:eastAsia="Times New Roman" w:hAnsiTheme="minorHAnsi" w:cs="Arial"/>
          <w:sz w:val="22"/>
          <w:szCs w:val="22"/>
        </w:rPr>
        <w:t xml:space="preserve"> </w:t>
      </w:r>
    </w:p>
    <w:p w14:paraId="42E17DF8" w14:textId="77777777" w:rsidR="00897529" w:rsidRPr="00100F6D" w:rsidRDefault="00897529"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on entend </w:t>
      </w:r>
      <w:r w:rsidR="0003445A" w:rsidRPr="00100F6D">
        <w:rPr>
          <w:rFonts w:asciiTheme="minorHAnsi" w:eastAsia="Times New Roman" w:hAnsiTheme="minorHAnsi" w:cs="Arial"/>
          <w:sz w:val="22"/>
          <w:szCs w:val="22"/>
        </w:rPr>
        <w:t>par «R</w:t>
      </w:r>
      <w:r w:rsidRPr="00100F6D">
        <w:rPr>
          <w:rFonts w:asciiTheme="minorHAnsi" w:eastAsia="Times New Roman" w:hAnsiTheme="minorHAnsi" w:cs="Arial"/>
          <w:sz w:val="22"/>
          <w:szCs w:val="22"/>
        </w:rPr>
        <w:t>ésultats» tout pro</w:t>
      </w:r>
      <w:r w:rsidR="00C54C14" w:rsidRPr="00100F6D">
        <w:rPr>
          <w:rFonts w:asciiTheme="minorHAnsi" w:eastAsia="Times New Roman" w:hAnsiTheme="minorHAnsi" w:cs="Arial"/>
          <w:sz w:val="22"/>
          <w:szCs w:val="22"/>
        </w:rPr>
        <w:t xml:space="preserve">duit escompté de l'exécution du présent </w:t>
      </w:r>
      <w:r w:rsidR="00C54C14" w:rsidRPr="00100F6D">
        <w:rPr>
          <w:rFonts w:asciiTheme="minorHAnsi" w:eastAsia="Times New Roman" w:hAnsiTheme="minorHAnsi" w:cs="Arial"/>
          <w:smallCaps/>
          <w:sz w:val="22"/>
          <w:szCs w:val="22"/>
        </w:rPr>
        <w:t>Contrat</w:t>
      </w:r>
      <w:r w:rsidR="00C54C14" w:rsidRPr="00100F6D">
        <w:rPr>
          <w:rFonts w:asciiTheme="minorHAnsi" w:eastAsia="Times New Roman" w:hAnsiTheme="minorHAnsi" w:cs="Arial"/>
          <w:sz w:val="22"/>
          <w:szCs w:val="22"/>
        </w:rPr>
        <w:t xml:space="preserve"> </w:t>
      </w:r>
      <w:r w:rsidRPr="00100F6D">
        <w:rPr>
          <w:rFonts w:asciiTheme="minorHAnsi" w:eastAsia="Times New Roman" w:hAnsiTheme="minorHAnsi" w:cs="Arial"/>
          <w:sz w:val="22"/>
          <w:szCs w:val="22"/>
        </w:rPr>
        <w:t xml:space="preserve">qui est livré et qui fait l'objet d'une acceptation définitive de la part </w:t>
      </w:r>
      <w:r w:rsidR="00C54C14" w:rsidRPr="00100F6D">
        <w:rPr>
          <w:rFonts w:asciiTheme="minorHAnsi" w:eastAsia="Times New Roman" w:hAnsiTheme="minorHAnsi" w:cs="Arial"/>
          <w:sz w:val="22"/>
          <w:szCs w:val="22"/>
        </w:rPr>
        <w:t>d’</w:t>
      </w:r>
      <w:r w:rsidR="00CE73DB" w:rsidRPr="00100F6D">
        <w:rPr>
          <w:rFonts w:asciiTheme="minorHAnsi" w:eastAsia="Times New Roman" w:hAnsiTheme="minorHAnsi" w:cs="Arial"/>
          <w:smallCaps/>
          <w:sz w:val="22"/>
          <w:szCs w:val="22"/>
        </w:rPr>
        <w:t>Expertise France</w:t>
      </w:r>
      <w:r w:rsidR="006F6849" w:rsidRPr="00100F6D">
        <w:rPr>
          <w:rFonts w:asciiTheme="minorHAnsi" w:eastAsia="Times New Roman" w:hAnsiTheme="minorHAnsi" w:cs="Arial"/>
          <w:smallCaps/>
          <w:sz w:val="22"/>
          <w:szCs w:val="22"/>
        </w:rPr>
        <w:t xml:space="preserve"> </w:t>
      </w:r>
      <w:r w:rsidRPr="00100F6D">
        <w:rPr>
          <w:rFonts w:asciiTheme="minorHAnsi" w:eastAsia="Times New Roman" w:hAnsiTheme="minorHAnsi" w:cs="Arial"/>
          <w:sz w:val="22"/>
          <w:szCs w:val="22"/>
        </w:rPr>
        <w:t xml:space="preserve">; </w:t>
      </w:r>
    </w:p>
    <w:p w14:paraId="5FAA7D57" w14:textId="77777777" w:rsidR="005F639C" w:rsidRPr="00100F6D"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on entend par «A</w:t>
      </w:r>
      <w:r w:rsidR="00897529" w:rsidRPr="00100F6D">
        <w:rPr>
          <w:rFonts w:asciiTheme="minorHAnsi" w:eastAsia="Times New Roman" w:hAnsiTheme="minorHAnsi" w:cs="Arial"/>
          <w:sz w:val="22"/>
          <w:szCs w:val="22"/>
        </w:rPr>
        <w:t>uteur» toute personne physique qui a contrib</w:t>
      </w:r>
      <w:r w:rsidR="00794721" w:rsidRPr="00100F6D">
        <w:rPr>
          <w:rFonts w:asciiTheme="minorHAnsi" w:eastAsia="Times New Roman" w:hAnsiTheme="minorHAnsi" w:cs="Arial"/>
          <w:sz w:val="22"/>
          <w:szCs w:val="22"/>
        </w:rPr>
        <w:t>ué à la pro</w:t>
      </w:r>
      <w:r w:rsidR="00521CF4" w:rsidRPr="00100F6D">
        <w:rPr>
          <w:rFonts w:asciiTheme="minorHAnsi" w:eastAsia="Times New Roman" w:hAnsiTheme="minorHAnsi" w:cs="Arial"/>
          <w:sz w:val="22"/>
          <w:szCs w:val="22"/>
        </w:rPr>
        <w:t>duction du R</w:t>
      </w:r>
      <w:r w:rsidR="00794721" w:rsidRPr="00100F6D">
        <w:rPr>
          <w:rFonts w:asciiTheme="minorHAnsi" w:eastAsia="Times New Roman" w:hAnsiTheme="minorHAnsi" w:cs="Arial"/>
          <w:sz w:val="22"/>
          <w:szCs w:val="22"/>
        </w:rPr>
        <w:t>ésultat ;</w:t>
      </w:r>
    </w:p>
    <w:p w14:paraId="2A97622D" w14:textId="77777777" w:rsidR="00615984" w:rsidRPr="00100F6D"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on entend par «D</w:t>
      </w:r>
      <w:r w:rsidR="00521CF4" w:rsidRPr="00100F6D">
        <w:rPr>
          <w:rFonts w:asciiTheme="minorHAnsi" w:eastAsia="Times New Roman" w:hAnsiTheme="minorHAnsi" w:cs="Arial"/>
          <w:sz w:val="22"/>
          <w:szCs w:val="22"/>
        </w:rPr>
        <w:t>roits P</w:t>
      </w:r>
      <w:r w:rsidR="00897529" w:rsidRPr="00100F6D">
        <w:rPr>
          <w:rFonts w:asciiTheme="minorHAnsi" w:eastAsia="Times New Roman" w:hAnsiTheme="minorHAnsi" w:cs="Arial"/>
          <w:sz w:val="22"/>
          <w:szCs w:val="22"/>
        </w:rPr>
        <w:t>réexistants» tout droit de propriét</w:t>
      </w:r>
      <w:r w:rsidR="001708DC" w:rsidRPr="00100F6D">
        <w:rPr>
          <w:rFonts w:asciiTheme="minorHAnsi" w:eastAsia="Times New Roman" w:hAnsiTheme="minorHAnsi" w:cs="Arial"/>
          <w:sz w:val="22"/>
          <w:szCs w:val="22"/>
        </w:rPr>
        <w:t>é intellectuelle</w:t>
      </w:r>
      <w:r w:rsidR="00897529" w:rsidRPr="00100F6D">
        <w:rPr>
          <w:rFonts w:asciiTheme="minorHAnsi" w:eastAsia="Times New Roman" w:hAnsiTheme="minorHAnsi" w:cs="Arial"/>
          <w:sz w:val="22"/>
          <w:szCs w:val="22"/>
        </w:rPr>
        <w:t>, y compris</w:t>
      </w:r>
      <w:r w:rsidR="001708DC" w:rsidRPr="00100F6D">
        <w:rPr>
          <w:rFonts w:asciiTheme="minorHAnsi" w:eastAsia="Times New Roman" w:hAnsiTheme="minorHAnsi" w:cs="Arial"/>
          <w:sz w:val="22"/>
          <w:szCs w:val="22"/>
        </w:rPr>
        <w:t xml:space="preserve"> les technologies préexistantes détenu</w:t>
      </w:r>
      <w:r w:rsidR="001D4CA1" w:rsidRPr="00100F6D">
        <w:rPr>
          <w:rFonts w:asciiTheme="minorHAnsi" w:eastAsia="Times New Roman" w:hAnsiTheme="minorHAnsi" w:cs="Arial"/>
          <w:sz w:val="22"/>
          <w:szCs w:val="22"/>
        </w:rPr>
        <w:t>e</w:t>
      </w:r>
      <w:r w:rsidR="002F0361" w:rsidRPr="00100F6D">
        <w:rPr>
          <w:rFonts w:asciiTheme="minorHAnsi" w:eastAsia="Times New Roman" w:hAnsiTheme="minorHAnsi" w:cs="Arial"/>
          <w:sz w:val="22"/>
          <w:szCs w:val="22"/>
        </w:rPr>
        <w:t>s</w:t>
      </w:r>
      <w:r w:rsidR="001708DC" w:rsidRPr="00100F6D">
        <w:rPr>
          <w:rFonts w:asciiTheme="minorHAnsi" w:eastAsia="Times New Roman" w:hAnsiTheme="minorHAnsi" w:cs="Arial"/>
          <w:sz w:val="22"/>
          <w:szCs w:val="22"/>
        </w:rPr>
        <w:t xml:space="preserve"> par </w:t>
      </w:r>
      <w:r w:rsidR="00CE73DB" w:rsidRPr="00100F6D">
        <w:rPr>
          <w:rFonts w:asciiTheme="minorHAnsi" w:eastAsia="Times New Roman" w:hAnsiTheme="minorHAnsi" w:cs="Arial"/>
          <w:smallCaps/>
          <w:sz w:val="22"/>
          <w:szCs w:val="22"/>
        </w:rPr>
        <w:t>Expertise France</w:t>
      </w:r>
      <w:r w:rsidR="009A4D19" w:rsidRPr="00100F6D">
        <w:rPr>
          <w:rFonts w:asciiTheme="minorHAnsi" w:eastAsia="Times New Roman" w:hAnsiTheme="minorHAnsi" w:cs="Arial"/>
          <w:sz w:val="22"/>
          <w:szCs w:val="22"/>
        </w:rPr>
        <w:t xml:space="preserve">, le </w:t>
      </w:r>
      <w:r w:rsidR="00100109" w:rsidRPr="00100F6D">
        <w:rPr>
          <w:rFonts w:asciiTheme="minorHAnsi" w:eastAsia="Times New Roman" w:hAnsiTheme="minorHAnsi" w:cs="Arial"/>
          <w:smallCaps/>
          <w:sz w:val="22"/>
          <w:szCs w:val="22"/>
        </w:rPr>
        <w:t>Contractant</w:t>
      </w:r>
      <w:r w:rsidR="001708DC" w:rsidRPr="00100F6D">
        <w:rPr>
          <w:rFonts w:asciiTheme="minorHAnsi" w:eastAsia="Times New Roman" w:hAnsiTheme="minorHAnsi" w:cs="Arial"/>
          <w:sz w:val="22"/>
          <w:szCs w:val="22"/>
        </w:rPr>
        <w:t xml:space="preserve"> </w:t>
      </w:r>
      <w:r w:rsidR="009A4D19" w:rsidRPr="00100F6D">
        <w:rPr>
          <w:rFonts w:asciiTheme="minorHAnsi" w:eastAsia="Times New Roman" w:hAnsiTheme="minorHAnsi" w:cs="Arial"/>
          <w:sz w:val="22"/>
          <w:szCs w:val="22"/>
        </w:rPr>
        <w:t xml:space="preserve">ou tout tiers intéressé </w:t>
      </w:r>
      <w:r w:rsidR="00615984" w:rsidRPr="00100F6D">
        <w:rPr>
          <w:rFonts w:asciiTheme="minorHAnsi" w:eastAsia="Times New Roman" w:hAnsiTheme="minorHAnsi" w:cs="Arial"/>
          <w:sz w:val="22"/>
          <w:szCs w:val="22"/>
        </w:rPr>
        <w:t>antérieurement à la commande dont l’exécution est prévue p</w:t>
      </w:r>
      <w:r w:rsidR="002F0361" w:rsidRPr="00100F6D">
        <w:rPr>
          <w:rFonts w:asciiTheme="minorHAnsi" w:eastAsia="Times New Roman" w:hAnsiTheme="minorHAnsi" w:cs="Arial"/>
          <w:sz w:val="22"/>
          <w:szCs w:val="22"/>
        </w:rPr>
        <w:t xml:space="preserve">ar les dispositions du présent </w:t>
      </w:r>
      <w:r w:rsidR="002F0361" w:rsidRPr="00100F6D">
        <w:rPr>
          <w:rFonts w:asciiTheme="minorHAnsi" w:eastAsia="Times New Roman" w:hAnsiTheme="minorHAnsi" w:cs="Arial"/>
          <w:smallCaps/>
          <w:sz w:val="22"/>
          <w:szCs w:val="22"/>
        </w:rPr>
        <w:t>C</w:t>
      </w:r>
      <w:r w:rsidR="00615984" w:rsidRPr="00100F6D">
        <w:rPr>
          <w:rFonts w:asciiTheme="minorHAnsi" w:eastAsia="Times New Roman" w:hAnsiTheme="minorHAnsi" w:cs="Arial"/>
          <w:smallCaps/>
          <w:sz w:val="22"/>
          <w:szCs w:val="22"/>
        </w:rPr>
        <w:t>ontrat</w:t>
      </w:r>
      <w:r w:rsidR="00615984" w:rsidRPr="00100F6D">
        <w:rPr>
          <w:rFonts w:asciiTheme="minorHAnsi" w:eastAsia="Times New Roman" w:hAnsiTheme="minorHAnsi" w:cs="Arial"/>
          <w:sz w:val="22"/>
          <w:szCs w:val="22"/>
        </w:rPr>
        <w:t xml:space="preserve">. </w:t>
      </w:r>
    </w:p>
    <w:p w14:paraId="0C9E1D96" w14:textId="77777777" w:rsidR="007654E9" w:rsidRPr="00100F6D" w:rsidRDefault="00897529" w:rsidP="00A1761D">
      <w:pPr>
        <w:pStyle w:val="Titre2"/>
        <w:spacing w:before="120" w:after="60"/>
        <w:jc w:val="both"/>
        <w:rPr>
          <w:rFonts w:asciiTheme="minorHAnsi" w:hAnsiTheme="minorHAnsi"/>
          <w:sz w:val="22"/>
          <w:szCs w:val="22"/>
        </w:rPr>
      </w:pPr>
      <w:bookmarkStart w:id="66" w:name="_Toc126922010"/>
      <w:r w:rsidRPr="00100F6D">
        <w:rPr>
          <w:rFonts w:asciiTheme="minorHAnsi" w:hAnsiTheme="minorHAnsi"/>
          <w:sz w:val="22"/>
          <w:szCs w:val="22"/>
        </w:rPr>
        <w:t>Propriété des résultats</w:t>
      </w:r>
      <w:bookmarkEnd w:id="66"/>
    </w:p>
    <w:p w14:paraId="28E1B0AD" w14:textId="77777777" w:rsidR="00171C9E" w:rsidRPr="00100F6D" w:rsidRDefault="005F639C"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La propriété des R</w:t>
      </w:r>
      <w:r w:rsidR="00897529" w:rsidRPr="00100F6D">
        <w:rPr>
          <w:rFonts w:asciiTheme="minorHAnsi" w:eastAsia="Times New Roman" w:hAnsiTheme="minorHAnsi" w:cs="Arial"/>
          <w:sz w:val="22"/>
          <w:szCs w:val="22"/>
        </w:rPr>
        <w:t>ésultats</w:t>
      </w:r>
      <w:r w:rsidR="0052206A" w:rsidRPr="00100F6D">
        <w:rPr>
          <w:rFonts w:asciiTheme="minorHAnsi" w:eastAsia="Times New Roman" w:hAnsiTheme="minorHAnsi" w:cs="Arial"/>
          <w:sz w:val="22"/>
          <w:szCs w:val="22"/>
        </w:rPr>
        <w:t xml:space="preserve">, </w:t>
      </w:r>
      <w:r w:rsidRPr="00100F6D">
        <w:rPr>
          <w:rFonts w:asciiTheme="minorHAnsi" w:eastAsia="Times New Roman" w:hAnsiTheme="minorHAnsi" w:cs="Arial"/>
          <w:sz w:val="22"/>
          <w:szCs w:val="22"/>
        </w:rPr>
        <w:t>la titularité des d</w:t>
      </w:r>
      <w:r w:rsidR="006F295F" w:rsidRPr="00100F6D">
        <w:rPr>
          <w:rFonts w:asciiTheme="minorHAnsi" w:eastAsia="Times New Roman" w:hAnsiTheme="minorHAnsi" w:cs="Arial"/>
          <w:sz w:val="22"/>
          <w:szCs w:val="22"/>
        </w:rPr>
        <w:t>roits</w:t>
      </w:r>
      <w:r w:rsidR="00347846" w:rsidRPr="00100F6D">
        <w:rPr>
          <w:rFonts w:asciiTheme="minorHAnsi" w:eastAsia="Times New Roman" w:hAnsiTheme="minorHAnsi" w:cs="Arial"/>
          <w:sz w:val="22"/>
          <w:szCs w:val="22"/>
        </w:rPr>
        <w:t xml:space="preserve"> </w:t>
      </w:r>
      <w:r w:rsidR="0052206A" w:rsidRPr="00100F6D">
        <w:rPr>
          <w:rFonts w:asciiTheme="minorHAnsi" w:eastAsia="Times New Roman" w:hAnsiTheme="minorHAnsi" w:cs="Arial"/>
          <w:sz w:val="22"/>
          <w:szCs w:val="22"/>
        </w:rPr>
        <w:t xml:space="preserve">de Propriété intellectuelle et industrielle </w:t>
      </w:r>
      <w:r w:rsidR="00347846" w:rsidRPr="00100F6D">
        <w:rPr>
          <w:rFonts w:asciiTheme="minorHAnsi" w:eastAsia="Times New Roman" w:hAnsiTheme="minorHAnsi" w:cs="Arial"/>
          <w:sz w:val="22"/>
          <w:szCs w:val="22"/>
        </w:rPr>
        <w:t>qui y sont rattachés</w:t>
      </w:r>
      <w:r w:rsidR="00521CF4" w:rsidRPr="00100F6D">
        <w:rPr>
          <w:rFonts w:asciiTheme="minorHAnsi" w:eastAsia="Times New Roman" w:hAnsiTheme="minorHAnsi" w:cs="Arial"/>
          <w:sz w:val="22"/>
          <w:szCs w:val="22"/>
        </w:rPr>
        <w:t xml:space="preserve"> et les solutions et</w:t>
      </w:r>
      <w:r w:rsidR="0052206A" w:rsidRPr="00100F6D">
        <w:rPr>
          <w:rFonts w:asciiTheme="minorHAnsi" w:eastAsia="Times New Roman" w:hAnsiTheme="minorHAnsi" w:cs="Arial"/>
          <w:sz w:val="22"/>
          <w:szCs w:val="22"/>
        </w:rPr>
        <w:t xml:space="preserve"> informations techniques contenu</w:t>
      </w:r>
      <w:r w:rsidR="002F0361" w:rsidRPr="00100F6D">
        <w:rPr>
          <w:rFonts w:asciiTheme="minorHAnsi" w:eastAsia="Times New Roman" w:hAnsiTheme="minorHAnsi" w:cs="Arial"/>
          <w:sz w:val="22"/>
          <w:szCs w:val="22"/>
        </w:rPr>
        <w:t>e</w:t>
      </w:r>
      <w:r w:rsidR="0052206A" w:rsidRPr="00100F6D">
        <w:rPr>
          <w:rFonts w:asciiTheme="minorHAnsi" w:eastAsia="Times New Roman" w:hAnsiTheme="minorHAnsi" w:cs="Arial"/>
          <w:sz w:val="22"/>
          <w:szCs w:val="22"/>
        </w:rPr>
        <w:t>s dans ces derniers</w:t>
      </w:r>
      <w:r w:rsidR="00897529" w:rsidRPr="00100F6D">
        <w:rPr>
          <w:rFonts w:asciiTheme="minorHAnsi" w:eastAsia="Times New Roman" w:hAnsiTheme="minorHAnsi" w:cs="Arial"/>
          <w:sz w:val="22"/>
          <w:szCs w:val="22"/>
        </w:rPr>
        <w:t xml:space="preserve"> </w:t>
      </w:r>
      <w:r w:rsidR="006F295F" w:rsidRPr="00100F6D">
        <w:rPr>
          <w:rFonts w:asciiTheme="minorHAnsi" w:eastAsia="Times New Roman" w:hAnsiTheme="minorHAnsi" w:cs="Arial"/>
          <w:sz w:val="22"/>
          <w:szCs w:val="22"/>
        </w:rPr>
        <w:t>sont</w:t>
      </w:r>
      <w:r w:rsidR="00897529" w:rsidRPr="00100F6D">
        <w:rPr>
          <w:rFonts w:asciiTheme="minorHAnsi" w:eastAsia="Times New Roman" w:hAnsiTheme="minorHAnsi" w:cs="Arial"/>
          <w:sz w:val="22"/>
          <w:szCs w:val="22"/>
        </w:rPr>
        <w:t xml:space="preserve"> intégralement et irrévocablement </w:t>
      </w:r>
      <w:r w:rsidR="006F295F" w:rsidRPr="00100F6D">
        <w:rPr>
          <w:rFonts w:asciiTheme="minorHAnsi" w:eastAsia="Times New Roman" w:hAnsiTheme="minorHAnsi" w:cs="Arial"/>
          <w:sz w:val="22"/>
          <w:szCs w:val="22"/>
        </w:rPr>
        <w:t xml:space="preserve">transférées à </w:t>
      </w:r>
      <w:r w:rsidR="00CE73DB"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 xml:space="preserve"> en vertu du présent</w:t>
      </w:r>
      <w:r w:rsidR="006F295F" w:rsidRPr="00100F6D">
        <w:rPr>
          <w:rFonts w:asciiTheme="minorHAnsi" w:eastAsia="Times New Roman" w:hAnsiTheme="minorHAnsi" w:cs="Arial"/>
          <w:sz w:val="22"/>
          <w:szCs w:val="22"/>
        </w:rPr>
        <w:t xml:space="preserve"> </w:t>
      </w:r>
      <w:r w:rsidR="006F295F" w:rsidRPr="00100F6D">
        <w:rPr>
          <w:rFonts w:asciiTheme="minorHAnsi" w:eastAsia="Times New Roman" w:hAnsiTheme="minorHAnsi" w:cs="Arial"/>
          <w:smallCaps/>
          <w:sz w:val="22"/>
          <w:szCs w:val="22"/>
        </w:rPr>
        <w:t>Contrat</w:t>
      </w:r>
      <w:r w:rsidR="006F295F" w:rsidRPr="00100F6D">
        <w:rPr>
          <w:rFonts w:asciiTheme="minorHAnsi" w:eastAsia="Times New Roman" w:hAnsiTheme="minorHAnsi" w:cs="Arial"/>
          <w:sz w:val="22"/>
          <w:szCs w:val="22"/>
        </w:rPr>
        <w:t xml:space="preserve">. </w:t>
      </w:r>
      <w:r w:rsidR="00521CF4" w:rsidRPr="00100F6D">
        <w:rPr>
          <w:rFonts w:asciiTheme="minorHAnsi" w:eastAsia="Times New Roman" w:hAnsiTheme="minorHAnsi" w:cs="Arial"/>
          <w:sz w:val="22"/>
          <w:szCs w:val="22"/>
        </w:rPr>
        <w:t>La présente C</w:t>
      </w:r>
      <w:r w:rsidR="008714FA" w:rsidRPr="00100F6D">
        <w:rPr>
          <w:rFonts w:asciiTheme="minorHAnsi" w:eastAsia="Times New Roman" w:hAnsiTheme="minorHAnsi" w:cs="Arial"/>
          <w:sz w:val="22"/>
          <w:szCs w:val="22"/>
        </w:rPr>
        <w:t>ession</w:t>
      </w:r>
      <w:r w:rsidR="00E956EE" w:rsidRPr="00100F6D">
        <w:rPr>
          <w:rFonts w:asciiTheme="minorHAnsi" w:eastAsia="Times New Roman" w:hAnsiTheme="minorHAnsi" w:cs="Arial"/>
          <w:sz w:val="22"/>
          <w:szCs w:val="22"/>
        </w:rPr>
        <w:t xml:space="preserve"> ne recouvre</w:t>
      </w:r>
      <w:r w:rsidR="008714FA" w:rsidRPr="00100F6D">
        <w:rPr>
          <w:rFonts w:asciiTheme="minorHAnsi" w:eastAsia="Times New Roman" w:hAnsiTheme="minorHAnsi" w:cs="Arial"/>
          <w:sz w:val="22"/>
          <w:szCs w:val="22"/>
        </w:rPr>
        <w:t xml:space="preserve"> que les droits d’auteurs dit patrimoniaux et ce, dans les conditions prévues à l</w:t>
      </w:r>
      <w:r w:rsidR="002F0361" w:rsidRPr="00100F6D">
        <w:rPr>
          <w:rFonts w:asciiTheme="minorHAnsi" w:eastAsia="Times New Roman" w:hAnsiTheme="minorHAnsi" w:cs="Arial"/>
          <w:sz w:val="22"/>
          <w:szCs w:val="22"/>
        </w:rPr>
        <w:t>’article 8.3 du présent</w:t>
      </w:r>
      <w:r w:rsidR="008714FA" w:rsidRPr="00100F6D">
        <w:rPr>
          <w:rFonts w:asciiTheme="minorHAnsi" w:eastAsia="Times New Roman" w:hAnsiTheme="minorHAnsi" w:cs="Arial"/>
          <w:sz w:val="22"/>
          <w:szCs w:val="22"/>
        </w:rPr>
        <w:t xml:space="preserve"> </w:t>
      </w:r>
      <w:r w:rsidR="008714FA" w:rsidRPr="00100F6D">
        <w:rPr>
          <w:rFonts w:asciiTheme="minorHAnsi" w:eastAsia="Times New Roman" w:hAnsiTheme="minorHAnsi" w:cs="Arial"/>
          <w:smallCaps/>
          <w:sz w:val="22"/>
          <w:szCs w:val="22"/>
        </w:rPr>
        <w:t>contrat</w:t>
      </w:r>
      <w:r w:rsidR="008714FA" w:rsidRPr="00100F6D">
        <w:rPr>
          <w:rFonts w:asciiTheme="minorHAnsi" w:eastAsia="Times New Roman" w:hAnsiTheme="minorHAnsi" w:cs="Arial"/>
          <w:sz w:val="22"/>
          <w:szCs w:val="22"/>
        </w:rPr>
        <w:t>. Les droits d’auteurs dit</w:t>
      </w:r>
      <w:r w:rsidR="000C0B75" w:rsidRPr="00100F6D">
        <w:rPr>
          <w:rFonts w:asciiTheme="minorHAnsi" w:eastAsia="Times New Roman" w:hAnsiTheme="minorHAnsi" w:cs="Arial"/>
          <w:sz w:val="22"/>
          <w:szCs w:val="22"/>
        </w:rPr>
        <w:t>s</w:t>
      </w:r>
      <w:r w:rsidR="008714FA" w:rsidRPr="00100F6D">
        <w:rPr>
          <w:rFonts w:asciiTheme="minorHAnsi" w:eastAsia="Times New Roman" w:hAnsiTheme="minorHAnsi" w:cs="Arial"/>
          <w:sz w:val="22"/>
          <w:szCs w:val="22"/>
        </w:rPr>
        <w:t xml:space="preserve"> moraux en sont exclus. </w:t>
      </w:r>
      <w:r w:rsidR="001D7448" w:rsidRPr="00100F6D">
        <w:rPr>
          <w:rFonts w:asciiTheme="minorHAnsi" w:eastAsia="Times New Roman" w:hAnsiTheme="minorHAnsi" w:cs="Arial"/>
          <w:sz w:val="22"/>
          <w:szCs w:val="22"/>
        </w:rPr>
        <w:t>Ces droits</w:t>
      </w:r>
      <w:r w:rsidR="00521CF4" w:rsidRPr="00100F6D">
        <w:rPr>
          <w:rFonts w:asciiTheme="minorHAnsi" w:eastAsia="Times New Roman" w:hAnsiTheme="minorHAnsi" w:cs="Arial"/>
          <w:sz w:val="22"/>
          <w:szCs w:val="22"/>
        </w:rPr>
        <w:t xml:space="preserve"> moraux</w:t>
      </w:r>
      <w:r w:rsidR="001D7448" w:rsidRPr="00100F6D">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100F6D">
        <w:rPr>
          <w:rFonts w:asciiTheme="minorHAnsi" w:eastAsia="Times New Roman" w:hAnsiTheme="minorHAnsi" w:cs="Arial"/>
          <w:sz w:val="22"/>
          <w:szCs w:val="22"/>
        </w:rPr>
        <w:t>.</w:t>
      </w:r>
    </w:p>
    <w:p w14:paraId="7543A4A0" w14:textId="77777777" w:rsidR="00897529" w:rsidRPr="00100F6D" w:rsidRDefault="00521CF4"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Les élé</w:t>
      </w:r>
      <w:r w:rsidR="000C0B75" w:rsidRPr="00100F6D">
        <w:rPr>
          <w:rFonts w:asciiTheme="minorHAnsi" w:eastAsia="Times New Roman" w:hAnsiTheme="minorHAnsi" w:cs="Arial"/>
          <w:sz w:val="22"/>
          <w:szCs w:val="22"/>
        </w:rPr>
        <w:t xml:space="preserve">ments susmentionnés sont réputés être cédés de manière effective </w:t>
      </w:r>
      <w:r w:rsidR="00171C9E" w:rsidRPr="00100F6D">
        <w:rPr>
          <w:rFonts w:asciiTheme="minorHAnsi" w:eastAsia="Times New Roman" w:hAnsiTheme="minorHAnsi" w:cs="Arial"/>
          <w:sz w:val="22"/>
          <w:szCs w:val="22"/>
        </w:rPr>
        <w:t xml:space="preserve">à </w:t>
      </w:r>
      <w:r w:rsidR="00CE73DB"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 xml:space="preserve"> </w:t>
      </w:r>
      <w:r w:rsidR="00DF2C4A" w:rsidRPr="00100F6D">
        <w:rPr>
          <w:rFonts w:asciiTheme="minorHAnsi" w:eastAsia="Times New Roman" w:hAnsiTheme="minorHAnsi" w:cs="Arial"/>
          <w:sz w:val="22"/>
          <w:szCs w:val="22"/>
        </w:rPr>
        <w:t xml:space="preserve">après acceptation de sa part des résultats </w:t>
      </w:r>
      <w:r w:rsidR="00393970" w:rsidRPr="00100F6D">
        <w:rPr>
          <w:rFonts w:asciiTheme="minorHAnsi" w:eastAsia="Times New Roman" w:hAnsiTheme="minorHAnsi" w:cs="Arial"/>
          <w:sz w:val="22"/>
          <w:szCs w:val="22"/>
        </w:rPr>
        <w:t xml:space="preserve">que lui a livrés le </w:t>
      </w:r>
      <w:r w:rsidR="00100109" w:rsidRPr="00100F6D">
        <w:rPr>
          <w:rFonts w:asciiTheme="minorHAnsi" w:eastAsia="Times New Roman" w:hAnsiTheme="minorHAnsi" w:cs="Arial"/>
          <w:smallCaps/>
          <w:sz w:val="22"/>
          <w:szCs w:val="22"/>
        </w:rPr>
        <w:t>Contractant</w:t>
      </w:r>
      <w:r w:rsidR="00897529" w:rsidRPr="00100F6D">
        <w:rPr>
          <w:rFonts w:asciiTheme="minorHAnsi" w:eastAsia="Times New Roman" w:hAnsiTheme="minorHAnsi" w:cs="Arial"/>
          <w:sz w:val="22"/>
          <w:szCs w:val="22"/>
        </w:rPr>
        <w:t xml:space="preserve">. </w:t>
      </w:r>
    </w:p>
    <w:p w14:paraId="3F0F8EC7" w14:textId="77777777" w:rsidR="00F42E94" w:rsidRPr="00100F6D" w:rsidRDefault="00897529" w:rsidP="00A1761D">
      <w:pPr>
        <w:spacing w:line="240" w:lineRule="auto"/>
        <w:ind w:left="567"/>
        <w:jc w:val="both"/>
        <w:rPr>
          <w:rFonts w:cs="Arial"/>
          <w:sz w:val="22"/>
          <w:szCs w:val="22"/>
        </w:rPr>
      </w:pPr>
      <w:r w:rsidRPr="00100F6D">
        <w:rPr>
          <w:rFonts w:asciiTheme="minorHAnsi" w:eastAsia="Times New Roman" w:hAnsiTheme="minorHAnsi" w:cs="Arial"/>
          <w:sz w:val="22"/>
          <w:szCs w:val="22"/>
        </w:rPr>
        <w:lastRenderedPageBreak/>
        <w:t xml:space="preserve">Le paiement du prix </w:t>
      </w:r>
      <w:r w:rsidR="00B42FD0" w:rsidRPr="00100F6D">
        <w:rPr>
          <w:rFonts w:asciiTheme="minorHAnsi" w:eastAsia="Times New Roman" w:hAnsiTheme="minorHAnsi" w:cs="Arial"/>
          <w:sz w:val="22"/>
          <w:szCs w:val="22"/>
        </w:rPr>
        <w:t xml:space="preserve">versé au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est réputé inclure toutes les rémunérations </w:t>
      </w:r>
      <w:r w:rsidR="00CA568F" w:rsidRPr="00100F6D">
        <w:rPr>
          <w:rFonts w:asciiTheme="minorHAnsi" w:eastAsia="Times New Roman" w:hAnsiTheme="minorHAnsi" w:cs="Arial"/>
          <w:sz w:val="22"/>
          <w:szCs w:val="22"/>
        </w:rPr>
        <w:t xml:space="preserve">qui lui sont </w:t>
      </w:r>
      <w:r w:rsidRPr="00100F6D">
        <w:rPr>
          <w:rFonts w:asciiTheme="minorHAnsi" w:eastAsia="Times New Roman" w:hAnsiTheme="minorHAnsi" w:cs="Arial"/>
          <w:sz w:val="22"/>
          <w:szCs w:val="22"/>
        </w:rPr>
        <w:t xml:space="preserve">dues au titre de l'acquisition de droits par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notamment toutes les formes d'exploitation des résultats.</w:t>
      </w:r>
      <w:r w:rsidR="00B42FD0" w:rsidRPr="00100F6D">
        <w:rPr>
          <w:rFonts w:asciiTheme="minorHAnsi" w:eastAsia="Times New Roman" w:hAnsiTheme="minorHAnsi" w:cs="Arial"/>
          <w:sz w:val="22"/>
          <w:szCs w:val="22"/>
        </w:rPr>
        <w:t xml:space="preserve"> </w:t>
      </w:r>
      <w:r w:rsidRPr="00100F6D">
        <w:rPr>
          <w:rFonts w:asciiTheme="minorHAnsi" w:eastAsia="Times New Roman" w:hAnsiTheme="minorHAnsi" w:cs="Arial"/>
          <w:sz w:val="22"/>
          <w:szCs w:val="22"/>
        </w:rPr>
        <w:t>L'acquisition de</w:t>
      </w:r>
      <w:r w:rsidR="00B42FD0" w:rsidRPr="00100F6D">
        <w:rPr>
          <w:rFonts w:asciiTheme="minorHAnsi" w:eastAsia="Times New Roman" w:hAnsiTheme="minorHAnsi" w:cs="Arial"/>
          <w:sz w:val="22"/>
          <w:szCs w:val="22"/>
        </w:rPr>
        <w:t xml:space="preserve"> ces</w:t>
      </w:r>
      <w:r w:rsidRPr="00100F6D">
        <w:rPr>
          <w:rFonts w:asciiTheme="minorHAnsi" w:eastAsia="Times New Roman" w:hAnsiTheme="minorHAnsi" w:cs="Arial"/>
          <w:sz w:val="22"/>
          <w:szCs w:val="22"/>
        </w:rPr>
        <w:t xml:space="preserve"> droits est valable pour le monde entier. </w:t>
      </w:r>
    </w:p>
    <w:p w14:paraId="52E53D7C" w14:textId="77777777" w:rsidR="00B42FD0" w:rsidRPr="00100F6D" w:rsidRDefault="00F42E94" w:rsidP="00A1761D">
      <w:pPr>
        <w:pStyle w:val="Titre2"/>
        <w:spacing w:before="120" w:after="60"/>
        <w:jc w:val="both"/>
        <w:rPr>
          <w:rFonts w:asciiTheme="minorHAnsi" w:hAnsiTheme="minorHAnsi"/>
          <w:sz w:val="22"/>
          <w:szCs w:val="22"/>
        </w:rPr>
      </w:pPr>
      <w:bookmarkStart w:id="67" w:name="_Toc126922011"/>
      <w:r w:rsidRPr="00100F6D">
        <w:rPr>
          <w:rFonts w:asciiTheme="minorHAnsi" w:hAnsiTheme="minorHAnsi"/>
          <w:sz w:val="22"/>
          <w:szCs w:val="22"/>
        </w:rPr>
        <w:t>Exploitation des résultats</w:t>
      </w:r>
      <w:bookmarkEnd w:id="67"/>
      <w:r w:rsidRPr="00100F6D">
        <w:rPr>
          <w:rFonts w:asciiTheme="minorHAnsi" w:hAnsiTheme="minorHAnsi"/>
          <w:sz w:val="22"/>
          <w:szCs w:val="22"/>
        </w:rPr>
        <w:t xml:space="preserve"> </w:t>
      </w:r>
    </w:p>
    <w:p w14:paraId="3F74AC0B" w14:textId="77777777" w:rsidR="00F42E94" w:rsidRPr="00100F6D" w:rsidRDefault="00F42E94"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En acquérant la propriété des résultats développés par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devient titulaire </w:t>
      </w:r>
      <w:r w:rsidR="00521CF4" w:rsidRPr="00100F6D">
        <w:rPr>
          <w:rFonts w:asciiTheme="minorHAnsi" w:eastAsia="Times New Roman" w:hAnsiTheme="minorHAnsi" w:cs="Arial"/>
          <w:sz w:val="22"/>
          <w:szCs w:val="22"/>
        </w:rPr>
        <w:t xml:space="preserve">de l’ensemble </w:t>
      </w:r>
      <w:r w:rsidRPr="00100F6D">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est susceptible d’exploiter ces résultats aux fins suivantes : </w:t>
      </w:r>
    </w:p>
    <w:p w14:paraId="79F8EE58" w14:textId="77777777" w:rsidR="00F42E94" w:rsidRPr="00100F6D" w:rsidRDefault="00F42E9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exploitation à des fins internes</w:t>
      </w:r>
      <w:r w:rsidR="00521CF4" w:rsidRPr="00100F6D">
        <w:rPr>
          <w:rFonts w:asciiTheme="minorHAnsi" w:eastAsia="Times New Roman" w:hAnsiTheme="minorHAnsi" w:cs="Arial"/>
          <w:sz w:val="22"/>
          <w:szCs w:val="22"/>
        </w:rPr>
        <w:t> :</w:t>
      </w:r>
    </w:p>
    <w:p w14:paraId="5DDCA9B1"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communication auprès </w:t>
      </w:r>
      <w:r w:rsidR="002F0361" w:rsidRPr="00100F6D">
        <w:rPr>
          <w:rFonts w:asciiTheme="minorHAnsi" w:eastAsia="Times New Roman" w:hAnsiTheme="minorHAnsi" w:cs="Arial"/>
          <w:sz w:val="22"/>
          <w:szCs w:val="22"/>
        </w:rPr>
        <w:t>de son personnel</w:t>
      </w:r>
      <w:r w:rsidRPr="00100F6D">
        <w:rPr>
          <w:rFonts w:asciiTheme="minorHAnsi" w:eastAsia="Times New Roman" w:hAnsiTheme="minorHAnsi" w:cs="Arial"/>
          <w:sz w:val="22"/>
          <w:szCs w:val="22"/>
        </w:rPr>
        <w:t xml:space="preserve"> </w:t>
      </w:r>
    </w:p>
    <w:p w14:paraId="7566D1BA"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communication auprès des personnes et des organismes qui travaillent pour </w:t>
      </w:r>
      <w:r w:rsidR="00CE73DB" w:rsidRPr="00100F6D">
        <w:rPr>
          <w:rFonts w:asciiTheme="minorHAnsi" w:eastAsia="Times New Roman" w:hAnsiTheme="minorHAnsi" w:cs="Arial"/>
          <w:smallCaps/>
          <w:sz w:val="22"/>
          <w:szCs w:val="22"/>
        </w:rPr>
        <w:t>Expertise France</w:t>
      </w:r>
      <w:r w:rsidR="00D307D0" w:rsidRPr="00100F6D">
        <w:rPr>
          <w:rFonts w:asciiTheme="minorHAnsi" w:eastAsia="Times New Roman" w:hAnsiTheme="minorHAnsi" w:cs="Arial"/>
          <w:sz w:val="22"/>
          <w:szCs w:val="22"/>
        </w:rPr>
        <w:t xml:space="preserve"> ou collaborent avec elle</w:t>
      </w:r>
      <w:r w:rsidRPr="00100F6D">
        <w:rPr>
          <w:rFonts w:asciiTheme="minorHAnsi" w:eastAsia="Times New Roman" w:hAnsiTheme="minorHAnsi" w:cs="Arial"/>
          <w:sz w:val="22"/>
          <w:szCs w:val="22"/>
        </w:rPr>
        <w:t xml:space="preserve">, dont les </w:t>
      </w:r>
      <w:r w:rsidR="00100109" w:rsidRPr="00100F6D">
        <w:rPr>
          <w:rFonts w:asciiTheme="minorHAnsi" w:eastAsia="Times New Roman" w:hAnsiTheme="minorHAnsi" w:cs="Arial"/>
          <w:smallCaps/>
          <w:sz w:val="22"/>
          <w:szCs w:val="22"/>
        </w:rPr>
        <w:t>Contractan</w:t>
      </w:r>
      <w:r w:rsidR="00100109" w:rsidRPr="00100F6D">
        <w:rPr>
          <w:rFonts w:asciiTheme="minorHAnsi" w:eastAsia="Times New Roman" w:hAnsiTheme="minorHAnsi" w:cs="Arial"/>
          <w:sz w:val="22"/>
          <w:szCs w:val="22"/>
        </w:rPr>
        <w:t>ts</w:t>
      </w:r>
      <w:r w:rsidRPr="00100F6D">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100F6D" w:rsidRDefault="00521CF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diffusion publique :</w:t>
      </w:r>
    </w:p>
    <w:p w14:paraId="41F9971C"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sous format papier, électronique ou numérique</w:t>
      </w:r>
    </w:p>
    <w:p w14:paraId="1F26E6DD"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sur internet sous la forme de fichiers, téléchargeables ou non </w:t>
      </w:r>
    </w:p>
    <w:p w14:paraId="32737006"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autre diffusion publique sous toute forme et par tout moyen </w:t>
      </w:r>
    </w:p>
    <w:p w14:paraId="5B4A7640" w14:textId="77777777" w:rsidR="00F42E94" w:rsidRPr="00100F6D" w:rsidRDefault="00F42E94" w:rsidP="006B6C1B">
      <w:pPr>
        <w:pStyle w:val="Paragraphedeliste"/>
        <w:numPr>
          <w:ilvl w:val="0"/>
          <w:numId w:val="12"/>
        </w:numPr>
        <w:spacing w:line="240" w:lineRule="auto"/>
        <w:ind w:left="993"/>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modifications :</w:t>
      </w:r>
    </w:p>
    <w:p w14:paraId="52A76E69"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modification au niveau contenu, formel et technique </w:t>
      </w:r>
    </w:p>
    <w:p w14:paraId="7C4380F7"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ajout de nouveaux éléments de contenu et de forme</w:t>
      </w:r>
    </w:p>
    <w:p w14:paraId="44B7873B"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adaptation par le biais de nouveaux supports</w:t>
      </w:r>
    </w:p>
    <w:p w14:paraId="4FCBB3E1"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traduction en plusieurs langues</w:t>
      </w:r>
    </w:p>
    <w:p w14:paraId="54C0A996"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Numérisation et traitement informatique</w:t>
      </w:r>
    </w:p>
    <w:p w14:paraId="7E36BA14" w14:textId="77777777" w:rsidR="00F42E94" w:rsidRPr="00100F6D" w:rsidRDefault="00062C21" w:rsidP="00A1761D">
      <w:pPr>
        <w:pStyle w:val="Titre2"/>
        <w:spacing w:before="120" w:after="60"/>
        <w:jc w:val="both"/>
        <w:rPr>
          <w:rFonts w:asciiTheme="minorHAnsi" w:hAnsiTheme="minorHAnsi"/>
          <w:sz w:val="22"/>
          <w:szCs w:val="22"/>
        </w:rPr>
      </w:pPr>
      <w:bookmarkStart w:id="68" w:name="_Toc126922012"/>
      <w:r w:rsidRPr="00100F6D">
        <w:rPr>
          <w:rFonts w:asciiTheme="minorHAnsi" w:hAnsiTheme="minorHAnsi"/>
          <w:sz w:val="22"/>
          <w:szCs w:val="22"/>
        </w:rPr>
        <w:t>Licence sur les Droits P</w:t>
      </w:r>
      <w:r w:rsidR="00F42E94" w:rsidRPr="00100F6D">
        <w:rPr>
          <w:rFonts w:asciiTheme="minorHAnsi" w:hAnsiTheme="minorHAnsi"/>
          <w:sz w:val="22"/>
          <w:szCs w:val="22"/>
        </w:rPr>
        <w:t>réexi</w:t>
      </w:r>
      <w:r w:rsidR="0018750E" w:rsidRPr="00100F6D">
        <w:rPr>
          <w:rFonts w:asciiTheme="minorHAnsi" w:hAnsiTheme="minorHAnsi"/>
          <w:sz w:val="22"/>
          <w:szCs w:val="22"/>
        </w:rPr>
        <w:t>s</w:t>
      </w:r>
      <w:r w:rsidR="00F42E94" w:rsidRPr="00100F6D">
        <w:rPr>
          <w:rFonts w:asciiTheme="minorHAnsi" w:hAnsiTheme="minorHAnsi"/>
          <w:sz w:val="22"/>
          <w:szCs w:val="22"/>
        </w:rPr>
        <w:t>tants</w:t>
      </w:r>
      <w:bookmarkEnd w:id="68"/>
      <w:r w:rsidR="00F42E94" w:rsidRPr="00100F6D">
        <w:rPr>
          <w:rFonts w:asciiTheme="minorHAnsi" w:hAnsiTheme="minorHAnsi"/>
          <w:sz w:val="22"/>
          <w:szCs w:val="22"/>
        </w:rPr>
        <w:t xml:space="preserve"> </w:t>
      </w:r>
    </w:p>
    <w:p w14:paraId="148D8243" w14:textId="77777777" w:rsidR="00710801" w:rsidRPr="00100F6D" w:rsidRDefault="00CE73DB" w:rsidP="00A16442">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 xml:space="preserve"> n'acquiert pas la pro</w:t>
      </w:r>
      <w:r w:rsidR="00062C21" w:rsidRPr="00100F6D">
        <w:rPr>
          <w:rFonts w:asciiTheme="minorHAnsi" w:eastAsia="Times New Roman" w:hAnsiTheme="minorHAnsi" w:cs="Arial"/>
          <w:sz w:val="22"/>
          <w:szCs w:val="22"/>
        </w:rPr>
        <w:t>priété des Droits P</w:t>
      </w:r>
      <w:r w:rsidR="00174613" w:rsidRPr="00100F6D">
        <w:rPr>
          <w:rFonts w:asciiTheme="minorHAnsi" w:eastAsia="Times New Roman" w:hAnsiTheme="minorHAnsi" w:cs="Arial"/>
          <w:sz w:val="22"/>
          <w:szCs w:val="22"/>
        </w:rPr>
        <w:t>réexistants.</w:t>
      </w:r>
      <w:r w:rsidR="00A16442" w:rsidRPr="00100F6D">
        <w:rPr>
          <w:rFonts w:asciiTheme="minorHAnsi" w:eastAsia="Times New Roman" w:hAnsiTheme="minorHAnsi" w:cs="Arial"/>
          <w:sz w:val="22"/>
          <w:szCs w:val="22"/>
        </w:rPr>
        <w:t xml:space="preserve"> </w:t>
      </w:r>
      <w:r w:rsidR="00174613" w:rsidRPr="00100F6D">
        <w:rPr>
          <w:rFonts w:asciiTheme="minorHAnsi" w:eastAsia="Times New Roman" w:hAnsiTheme="minorHAnsi" w:cs="Arial"/>
          <w:sz w:val="22"/>
          <w:szCs w:val="22"/>
        </w:rPr>
        <w:t xml:space="preserve">Le </w:t>
      </w:r>
      <w:r w:rsidR="00100109" w:rsidRPr="00100F6D">
        <w:rPr>
          <w:rFonts w:asciiTheme="minorHAnsi" w:eastAsia="Times New Roman" w:hAnsiTheme="minorHAnsi" w:cs="Arial"/>
          <w:smallCaps/>
          <w:sz w:val="22"/>
          <w:szCs w:val="22"/>
        </w:rPr>
        <w:t>Contractant</w:t>
      </w:r>
      <w:r w:rsidR="00897529" w:rsidRPr="00100F6D">
        <w:rPr>
          <w:rFonts w:asciiTheme="minorHAnsi" w:eastAsia="Times New Roman" w:hAnsiTheme="minorHAnsi" w:cs="Arial"/>
          <w:sz w:val="22"/>
          <w:szCs w:val="22"/>
        </w:rPr>
        <w:t xml:space="preserve"> accorde </w:t>
      </w:r>
      <w:r w:rsidR="00174613" w:rsidRPr="00100F6D">
        <w:rPr>
          <w:rFonts w:asciiTheme="minorHAnsi" w:eastAsia="Times New Roman" w:hAnsiTheme="minorHAnsi" w:cs="Arial"/>
          <w:sz w:val="22"/>
          <w:szCs w:val="22"/>
        </w:rPr>
        <w:t xml:space="preserve">à </w:t>
      </w:r>
      <w:r w:rsidRPr="00100F6D">
        <w:rPr>
          <w:rFonts w:asciiTheme="minorHAnsi" w:eastAsia="Times New Roman" w:hAnsiTheme="minorHAnsi" w:cs="Arial"/>
          <w:smallCaps/>
          <w:sz w:val="22"/>
          <w:szCs w:val="22"/>
        </w:rPr>
        <w:t>Expertise France</w:t>
      </w:r>
      <w:r w:rsidR="00174613"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une licence libre de redevance, non ex</w:t>
      </w:r>
      <w:r w:rsidR="00062C21" w:rsidRPr="00100F6D">
        <w:rPr>
          <w:rFonts w:asciiTheme="minorHAnsi" w:eastAsia="Times New Roman" w:hAnsiTheme="minorHAnsi" w:cs="Arial"/>
          <w:sz w:val="22"/>
          <w:szCs w:val="22"/>
        </w:rPr>
        <w:t>clusive et irrévocable sur les Droits P</w:t>
      </w:r>
      <w:r w:rsidR="005C2FC9" w:rsidRPr="00100F6D">
        <w:rPr>
          <w:rFonts w:asciiTheme="minorHAnsi" w:eastAsia="Times New Roman" w:hAnsiTheme="minorHAnsi" w:cs="Arial"/>
          <w:sz w:val="22"/>
          <w:szCs w:val="22"/>
        </w:rPr>
        <w:t xml:space="preserve">réexistants, autorisant celui-ci à exploiter ces droits dans les termes prévus </w:t>
      </w:r>
      <w:r w:rsidR="00897529" w:rsidRPr="00100F6D">
        <w:rPr>
          <w:rFonts w:asciiTheme="minorHAnsi" w:eastAsia="Times New Roman" w:hAnsiTheme="minorHAnsi" w:cs="Arial"/>
          <w:sz w:val="22"/>
          <w:szCs w:val="22"/>
        </w:rPr>
        <w:t>à l'artic</w:t>
      </w:r>
      <w:r w:rsidR="0065109D" w:rsidRPr="00100F6D">
        <w:rPr>
          <w:rFonts w:asciiTheme="minorHAnsi" w:eastAsia="Times New Roman" w:hAnsiTheme="minorHAnsi" w:cs="Arial"/>
          <w:sz w:val="22"/>
          <w:szCs w:val="22"/>
        </w:rPr>
        <w:t>le 8.3. Cette licence devient effective</w:t>
      </w:r>
      <w:r w:rsidR="00062C21" w:rsidRPr="00100F6D">
        <w:rPr>
          <w:rFonts w:asciiTheme="minorHAnsi" w:eastAsia="Times New Roman" w:hAnsiTheme="minorHAnsi" w:cs="Arial"/>
          <w:sz w:val="22"/>
          <w:szCs w:val="22"/>
        </w:rPr>
        <w:t xml:space="preserve"> à compter de la livraison des R</w:t>
      </w:r>
      <w:r w:rsidR="0065109D" w:rsidRPr="00100F6D">
        <w:rPr>
          <w:rFonts w:asciiTheme="minorHAnsi" w:eastAsia="Times New Roman" w:hAnsiTheme="minorHAnsi" w:cs="Arial"/>
          <w:sz w:val="22"/>
          <w:szCs w:val="22"/>
        </w:rPr>
        <w:t>ésult</w:t>
      </w:r>
      <w:r w:rsidR="00062C21" w:rsidRPr="00100F6D">
        <w:rPr>
          <w:rFonts w:asciiTheme="minorHAnsi" w:eastAsia="Times New Roman" w:hAnsiTheme="minorHAnsi" w:cs="Arial"/>
          <w:sz w:val="22"/>
          <w:szCs w:val="22"/>
        </w:rPr>
        <w:t xml:space="preserve">ats par le </w:t>
      </w:r>
      <w:r w:rsidR="00100109" w:rsidRPr="00100F6D">
        <w:rPr>
          <w:rFonts w:asciiTheme="minorHAnsi" w:eastAsia="Times New Roman" w:hAnsiTheme="minorHAnsi" w:cs="Arial"/>
          <w:smallCaps/>
          <w:sz w:val="22"/>
          <w:szCs w:val="22"/>
        </w:rPr>
        <w:t>Contractant</w:t>
      </w:r>
      <w:r w:rsidR="00062C21" w:rsidRPr="00100F6D">
        <w:rPr>
          <w:rFonts w:asciiTheme="minorHAnsi" w:eastAsia="Times New Roman" w:hAnsiTheme="minorHAnsi" w:cs="Arial"/>
          <w:sz w:val="22"/>
          <w:szCs w:val="22"/>
        </w:rPr>
        <w:t xml:space="preserve"> et de leur</w:t>
      </w:r>
      <w:r w:rsidR="0065109D" w:rsidRPr="00100F6D">
        <w:rPr>
          <w:rFonts w:asciiTheme="minorHAnsi" w:eastAsia="Times New Roman" w:hAnsiTheme="minorHAnsi" w:cs="Arial"/>
          <w:sz w:val="22"/>
          <w:szCs w:val="22"/>
        </w:rPr>
        <w:t xml:space="preserve"> acceptation par </w:t>
      </w:r>
      <w:r w:rsidRPr="00100F6D">
        <w:rPr>
          <w:rFonts w:asciiTheme="minorHAnsi" w:eastAsia="Times New Roman" w:hAnsiTheme="minorHAnsi" w:cs="Arial"/>
          <w:smallCaps/>
          <w:sz w:val="22"/>
          <w:szCs w:val="22"/>
        </w:rPr>
        <w:t>Expertise France</w:t>
      </w:r>
      <w:r w:rsidR="0065109D" w:rsidRPr="00100F6D">
        <w:rPr>
          <w:rFonts w:asciiTheme="minorHAnsi" w:eastAsia="Times New Roman" w:hAnsiTheme="minorHAnsi" w:cs="Arial"/>
          <w:sz w:val="22"/>
          <w:szCs w:val="22"/>
        </w:rPr>
        <w:t xml:space="preserve">. </w:t>
      </w:r>
      <w:r w:rsidR="001E2FD5" w:rsidRPr="00100F6D">
        <w:rPr>
          <w:rFonts w:asciiTheme="minorHAnsi" w:eastAsia="Times New Roman" w:hAnsiTheme="minorHAnsi" w:cs="Arial"/>
          <w:sz w:val="22"/>
          <w:szCs w:val="22"/>
        </w:rPr>
        <w:t>Lors de la livraison des Résult</w:t>
      </w:r>
      <w:r w:rsidR="00651254" w:rsidRPr="00100F6D">
        <w:rPr>
          <w:rFonts w:asciiTheme="minorHAnsi" w:eastAsia="Times New Roman" w:hAnsiTheme="minorHAnsi" w:cs="Arial"/>
          <w:sz w:val="22"/>
          <w:szCs w:val="22"/>
        </w:rPr>
        <w:t xml:space="preserve">ats, </w:t>
      </w:r>
      <w:r w:rsidR="00CC625E" w:rsidRPr="00100F6D">
        <w:rPr>
          <w:rFonts w:asciiTheme="minorHAnsi" w:eastAsia="Times New Roman" w:hAnsiTheme="minorHAnsi" w:cs="Arial"/>
          <w:sz w:val="22"/>
          <w:szCs w:val="22"/>
        </w:rPr>
        <w:t xml:space="preserve">le </w:t>
      </w:r>
      <w:r w:rsidR="00100109" w:rsidRPr="00100F6D">
        <w:rPr>
          <w:rFonts w:asciiTheme="minorHAnsi" w:eastAsia="Times New Roman" w:hAnsiTheme="minorHAnsi" w:cs="Arial"/>
          <w:smallCaps/>
          <w:sz w:val="22"/>
          <w:szCs w:val="22"/>
        </w:rPr>
        <w:t>Contractant</w:t>
      </w:r>
      <w:r w:rsidR="00CE4EA4" w:rsidRPr="00100F6D">
        <w:rPr>
          <w:rFonts w:asciiTheme="minorHAnsi" w:eastAsia="Times New Roman" w:hAnsiTheme="minorHAnsi" w:cs="Arial"/>
          <w:sz w:val="22"/>
          <w:szCs w:val="22"/>
        </w:rPr>
        <w:t xml:space="preserve"> peut</w:t>
      </w:r>
      <w:r w:rsidR="001E2FD5" w:rsidRPr="00100F6D">
        <w:rPr>
          <w:rFonts w:asciiTheme="minorHAnsi" w:eastAsia="Times New Roman" w:hAnsiTheme="minorHAnsi" w:cs="Arial"/>
          <w:sz w:val="22"/>
          <w:szCs w:val="22"/>
        </w:rPr>
        <w:t>, au besoin,</w:t>
      </w:r>
      <w:r w:rsidR="00CE4EA4"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fourni</w:t>
      </w:r>
      <w:r w:rsidR="00CE4EA4" w:rsidRPr="00100F6D">
        <w:rPr>
          <w:rFonts w:asciiTheme="minorHAnsi" w:eastAsia="Times New Roman" w:hAnsiTheme="minorHAnsi" w:cs="Arial"/>
          <w:sz w:val="22"/>
          <w:szCs w:val="22"/>
        </w:rPr>
        <w:t>r</w:t>
      </w:r>
      <w:r w:rsidR="00CC625E" w:rsidRPr="00100F6D">
        <w:rPr>
          <w:rFonts w:asciiTheme="minorHAnsi" w:eastAsia="Times New Roman" w:hAnsiTheme="minorHAnsi" w:cs="Arial"/>
          <w:sz w:val="22"/>
          <w:szCs w:val="22"/>
        </w:rPr>
        <w:t xml:space="preserve"> à </w:t>
      </w:r>
      <w:r w:rsidRPr="00100F6D">
        <w:rPr>
          <w:rFonts w:asciiTheme="minorHAnsi" w:eastAsia="Times New Roman" w:hAnsiTheme="minorHAnsi" w:cs="Arial"/>
          <w:smallCaps/>
          <w:sz w:val="22"/>
          <w:szCs w:val="22"/>
        </w:rPr>
        <w:t>Expertise France</w:t>
      </w:r>
      <w:r w:rsidR="00CC625E" w:rsidRPr="00100F6D">
        <w:rPr>
          <w:rFonts w:asciiTheme="minorHAnsi" w:eastAsia="Times New Roman" w:hAnsiTheme="minorHAnsi" w:cs="Arial"/>
          <w:sz w:val="22"/>
          <w:szCs w:val="22"/>
        </w:rPr>
        <w:t xml:space="preserve"> </w:t>
      </w:r>
      <w:r w:rsidR="00CE4EA4" w:rsidRPr="00100F6D">
        <w:rPr>
          <w:rFonts w:asciiTheme="minorHAnsi" w:eastAsia="Times New Roman" w:hAnsiTheme="minorHAnsi" w:cs="Arial"/>
          <w:sz w:val="22"/>
          <w:szCs w:val="22"/>
        </w:rPr>
        <w:t>une liste des Droits P</w:t>
      </w:r>
      <w:r w:rsidR="00897529" w:rsidRPr="00100F6D">
        <w:rPr>
          <w:rFonts w:asciiTheme="minorHAnsi" w:eastAsia="Times New Roman" w:hAnsiTheme="minorHAnsi" w:cs="Arial"/>
          <w:sz w:val="22"/>
          <w:szCs w:val="22"/>
        </w:rPr>
        <w:t>réexistants</w:t>
      </w:r>
      <w:r w:rsidR="001E2FD5"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et des droits de tiers, y compris ceux de son personnel, d'auteurs ou</w:t>
      </w:r>
      <w:r w:rsidR="001E2FD5" w:rsidRPr="00100F6D">
        <w:rPr>
          <w:rFonts w:asciiTheme="minorHAnsi" w:eastAsia="Times New Roman" w:hAnsiTheme="minorHAnsi" w:cs="Arial"/>
          <w:sz w:val="22"/>
          <w:szCs w:val="22"/>
        </w:rPr>
        <w:t xml:space="preserve"> d'autres détenteurs de droits.</w:t>
      </w:r>
      <w:r w:rsidR="00710801"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L</w:t>
      </w:r>
      <w:r w:rsidR="00A27720" w:rsidRPr="00100F6D">
        <w:rPr>
          <w:rFonts w:asciiTheme="minorHAnsi" w:eastAsia="Times New Roman" w:hAnsiTheme="minorHAnsi" w:cs="Arial"/>
          <w:sz w:val="22"/>
          <w:szCs w:val="22"/>
        </w:rPr>
        <w:t xml:space="preserve">a licence </w:t>
      </w:r>
      <w:r w:rsidR="00897529" w:rsidRPr="00100F6D">
        <w:rPr>
          <w:rFonts w:asciiTheme="minorHAnsi" w:eastAsia="Times New Roman" w:hAnsiTheme="minorHAnsi" w:cs="Arial"/>
          <w:sz w:val="22"/>
          <w:szCs w:val="22"/>
        </w:rPr>
        <w:t>sur les droits préexistants</w:t>
      </w:r>
      <w:r w:rsidR="00A27720" w:rsidRPr="00100F6D">
        <w:rPr>
          <w:rFonts w:asciiTheme="minorHAnsi" w:eastAsia="Times New Roman" w:hAnsiTheme="minorHAnsi" w:cs="Arial"/>
          <w:sz w:val="22"/>
          <w:szCs w:val="22"/>
        </w:rPr>
        <w:t xml:space="preserve"> octroyés </w:t>
      </w:r>
      <w:r w:rsidR="00710801" w:rsidRPr="00100F6D">
        <w:rPr>
          <w:rFonts w:asciiTheme="minorHAnsi" w:eastAsia="Times New Roman" w:hAnsiTheme="minorHAnsi" w:cs="Arial"/>
          <w:sz w:val="22"/>
          <w:szCs w:val="22"/>
        </w:rPr>
        <w:t xml:space="preserve">à </w:t>
      </w:r>
      <w:r w:rsidRPr="00100F6D">
        <w:rPr>
          <w:rFonts w:asciiTheme="minorHAnsi" w:eastAsia="Times New Roman" w:hAnsiTheme="minorHAnsi" w:cs="Arial"/>
          <w:smallCaps/>
          <w:sz w:val="22"/>
          <w:szCs w:val="22"/>
        </w:rPr>
        <w:t>Expertise France</w:t>
      </w:r>
      <w:r w:rsidR="00710801" w:rsidRPr="00100F6D">
        <w:rPr>
          <w:rFonts w:asciiTheme="minorHAnsi" w:eastAsia="Times New Roman" w:hAnsiTheme="minorHAnsi" w:cs="Arial"/>
          <w:sz w:val="22"/>
          <w:szCs w:val="22"/>
        </w:rPr>
        <w:t xml:space="preserve"> </w:t>
      </w:r>
      <w:r w:rsidR="00A27720" w:rsidRPr="00100F6D">
        <w:rPr>
          <w:rFonts w:asciiTheme="minorHAnsi" w:eastAsia="Times New Roman" w:hAnsiTheme="minorHAnsi" w:cs="Arial"/>
          <w:sz w:val="22"/>
          <w:szCs w:val="22"/>
        </w:rPr>
        <w:t>au titre du présent</w:t>
      </w:r>
      <w:r w:rsidR="00D307D0" w:rsidRPr="00100F6D">
        <w:rPr>
          <w:rFonts w:asciiTheme="minorHAnsi" w:eastAsia="Times New Roman" w:hAnsiTheme="minorHAnsi" w:cs="Arial"/>
          <w:sz w:val="22"/>
          <w:szCs w:val="22"/>
        </w:rPr>
        <w:t xml:space="preserve"> </w:t>
      </w:r>
      <w:r w:rsidR="00D307D0" w:rsidRPr="00100F6D">
        <w:rPr>
          <w:rFonts w:asciiTheme="minorHAnsi" w:eastAsia="Times New Roman" w:hAnsiTheme="minorHAnsi" w:cs="Arial"/>
          <w:smallCaps/>
          <w:sz w:val="22"/>
          <w:szCs w:val="22"/>
        </w:rPr>
        <w:t>Contrat</w:t>
      </w:r>
      <w:r w:rsidR="00A27720"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100F6D" w:rsidRDefault="00710801" w:rsidP="00A1761D">
      <w:pPr>
        <w:pStyle w:val="Titre2"/>
        <w:spacing w:before="120" w:after="60"/>
        <w:jc w:val="both"/>
        <w:rPr>
          <w:rFonts w:asciiTheme="minorHAnsi" w:hAnsiTheme="minorHAnsi"/>
          <w:sz w:val="22"/>
          <w:szCs w:val="22"/>
        </w:rPr>
      </w:pPr>
      <w:bookmarkStart w:id="69" w:name="_Toc126922013"/>
      <w:r w:rsidRPr="00100F6D">
        <w:rPr>
          <w:rFonts w:asciiTheme="minorHAnsi" w:hAnsiTheme="minorHAnsi"/>
          <w:sz w:val="22"/>
          <w:szCs w:val="22"/>
        </w:rPr>
        <w:t>Garanties</w:t>
      </w:r>
      <w:bookmarkEnd w:id="69"/>
      <w:r w:rsidRPr="00100F6D">
        <w:rPr>
          <w:rFonts w:asciiTheme="minorHAnsi" w:hAnsiTheme="minorHAnsi"/>
          <w:sz w:val="22"/>
          <w:szCs w:val="22"/>
        </w:rPr>
        <w:t xml:space="preserve"> </w:t>
      </w:r>
    </w:p>
    <w:p w14:paraId="6C136449" w14:textId="77777777" w:rsidR="00897529" w:rsidRPr="00100F6D" w:rsidRDefault="00897529"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Lor</w:t>
      </w:r>
      <w:r w:rsidR="00851F4D" w:rsidRPr="00100F6D">
        <w:rPr>
          <w:rFonts w:asciiTheme="minorHAnsi" w:eastAsia="Times New Roman" w:hAnsiTheme="minorHAnsi" w:cs="Arial"/>
          <w:sz w:val="22"/>
          <w:szCs w:val="22"/>
        </w:rPr>
        <w:t xml:space="preserve">squ'il livre les résultats,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w:t>
      </w:r>
    </w:p>
    <w:p w14:paraId="3EFB39C8" w14:textId="77777777" w:rsidR="00851F4D" w:rsidRPr="00100F6D" w:rsidRDefault="00851F4D"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 première demande d’</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doit pouvoir démontrer par le bais de preuves tangibles et effective</w:t>
      </w:r>
      <w:r w:rsidR="00651254" w:rsidRPr="00100F6D">
        <w:rPr>
          <w:rFonts w:asciiTheme="minorHAnsi" w:eastAsia="Times New Roman" w:hAnsiTheme="minorHAnsi" w:cs="Arial"/>
          <w:sz w:val="22"/>
          <w:szCs w:val="22"/>
        </w:rPr>
        <w:t>s</w:t>
      </w:r>
      <w:r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w:t>
      </w:r>
    </w:p>
    <w:p w14:paraId="46E491D6" w14:textId="77777777" w:rsidR="00851F4D" w:rsidRPr="00100F6D" w:rsidRDefault="00851F4D" w:rsidP="00A1761D">
      <w:pPr>
        <w:pStyle w:val="Titre2"/>
        <w:spacing w:before="120" w:after="60"/>
        <w:jc w:val="both"/>
        <w:rPr>
          <w:rFonts w:asciiTheme="minorHAnsi" w:hAnsiTheme="minorHAnsi"/>
          <w:sz w:val="22"/>
          <w:szCs w:val="22"/>
        </w:rPr>
      </w:pPr>
      <w:bookmarkStart w:id="70" w:name="_Toc126922014"/>
      <w:r w:rsidRPr="00100F6D">
        <w:rPr>
          <w:rFonts w:asciiTheme="minorHAnsi" w:hAnsiTheme="minorHAnsi"/>
          <w:sz w:val="22"/>
          <w:szCs w:val="22"/>
        </w:rPr>
        <w:lastRenderedPageBreak/>
        <w:t>Droits à l’image</w:t>
      </w:r>
      <w:bookmarkEnd w:id="70"/>
      <w:r w:rsidRPr="00100F6D">
        <w:rPr>
          <w:rFonts w:asciiTheme="minorHAnsi" w:hAnsiTheme="minorHAnsi"/>
          <w:sz w:val="22"/>
          <w:szCs w:val="22"/>
        </w:rPr>
        <w:t xml:space="preserve"> </w:t>
      </w:r>
    </w:p>
    <w:p w14:paraId="49BB92F6" w14:textId="77777777" w:rsidR="001726C5" w:rsidRPr="00100F6D" w:rsidRDefault="00897529"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présente, à la demande </w:t>
      </w:r>
      <w:r w:rsidR="00651254" w:rsidRPr="00100F6D">
        <w:rPr>
          <w:rFonts w:asciiTheme="minorHAnsi" w:eastAsia="Times New Roman" w:hAnsiTheme="minorHAnsi" w:cs="Arial"/>
          <w:sz w:val="22"/>
          <w:szCs w:val="22"/>
        </w:rPr>
        <w:t>d’</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100F6D"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100F6D">
        <w:rPr>
          <w:rFonts w:asciiTheme="minorHAnsi" w:hAnsiTheme="minorHAnsi"/>
          <w:b/>
          <w:caps/>
          <w:sz w:val="24"/>
          <w:u w:val="single"/>
        </w:rPr>
        <w:t xml:space="preserve">RÉsiliation </w:t>
      </w:r>
      <w:r w:rsidR="0000635E" w:rsidRPr="00100F6D">
        <w:rPr>
          <w:rFonts w:asciiTheme="minorHAnsi" w:hAnsiTheme="minorHAnsi"/>
          <w:b/>
          <w:caps/>
          <w:sz w:val="24"/>
          <w:u w:val="single"/>
        </w:rPr>
        <w:t>du contrat</w:t>
      </w:r>
      <w:bookmarkEnd w:id="71"/>
    </w:p>
    <w:p w14:paraId="2B4F5510" w14:textId="77777777" w:rsidR="0000635E" w:rsidRPr="00100F6D" w:rsidRDefault="0000635E" w:rsidP="00A1761D">
      <w:pPr>
        <w:pStyle w:val="Titre2"/>
        <w:spacing w:before="120" w:after="60"/>
        <w:jc w:val="both"/>
        <w:rPr>
          <w:rFonts w:asciiTheme="minorHAnsi" w:hAnsiTheme="minorHAnsi" w:cstheme="minorHAnsi"/>
          <w:sz w:val="22"/>
          <w:szCs w:val="22"/>
        </w:rPr>
      </w:pPr>
      <w:bookmarkStart w:id="72" w:name="_Toc126922016"/>
      <w:r w:rsidRPr="00100F6D">
        <w:rPr>
          <w:rFonts w:asciiTheme="minorHAnsi" w:hAnsiTheme="minorHAnsi" w:cstheme="minorHAnsi"/>
          <w:sz w:val="22"/>
          <w:szCs w:val="22"/>
        </w:rPr>
        <w:t>Modalités générales de résiliation</w:t>
      </w:r>
      <w:bookmarkEnd w:id="72"/>
    </w:p>
    <w:p w14:paraId="1D7F1F4E" w14:textId="5F51264C" w:rsidR="0000635E" w:rsidRPr="00100F6D" w:rsidRDefault="0000635E" w:rsidP="00130AB0">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Le présent </w:t>
      </w:r>
      <w:r w:rsidRPr="00100F6D">
        <w:rPr>
          <w:rFonts w:asciiTheme="minorHAnsi" w:hAnsiTheme="minorHAnsi" w:cstheme="minorHAnsi"/>
          <w:smallCaps/>
          <w:sz w:val="22"/>
          <w:szCs w:val="22"/>
        </w:rPr>
        <w:t>contrat</w:t>
      </w:r>
      <w:r w:rsidRPr="00100F6D">
        <w:rPr>
          <w:rFonts w:asciiTheme="minorHAnsi" w:hAnsiTheme="minorHAnsi" w:cstheme="minorHAnsi"/>
          <w:sz w:val="22"/>
          <w:szCs w:val="22"/>
        </w:rPr>
        <w:t xml:space="preserve"> est soumis aux clauses de résiliation telle que défini</w:t>
      </w:r>
      <w:r w:rsidR="00884FDC" w:rsidRPr="00100F6D">
        <w:rPr>
          <w:rFonts w:asciiTheme="minorHAnsi" w:hAnsiTheme="minorHAnsi" w:cstheme="minorHAnsi"/>
          <w:sz w:val="22"/>
          <w:szCs w:val="22"/>
        </w:rPr>
        <w:t xml:space="preserve">es aux articles </w:t>
      </w:r>
      <w:r w:rsidR="00130AB0" w:rsidRPr="00100F6D">
        <w:rPr>
          <w:rFonts w:asciiTheme="minorHAnsi" w:hAnsiTheme="minorHAnsi" w:cstheme="minorHAnsi"/>
          <w:sz w:val="22"/>
          <w:szCs w:val="22"/>
        </w:rPr>
        <w:t>39</w:t>
      </w:r>
      <w:r w:rsidR="00884FDC" w:rsidRPr="00100F6D">
        <w:rPr>
          <w:rFonts w:asciiTheme="minorHAnsi" w:hAnsiTheme="minorHAnsi" w:cstheme="minorHAnsi"/>
          <w:sz w:val="22"/>
          <w:szCs w:val="22"/>
        </w:rPr>
        <w:t xml:space="preserve"> du CCAG</w:t>
      </w:r>
      <w:r w:rsidR="00B813FE" w:rsidRPr="00100F6D">
        <w:rPr>
          <w:rFonts w:asciiTheme="minorHAnsi" w:hAnsiTheme="minorHAnsi" w:cstheme="minorHAnsi"/>
          <w:sz w:val="22"/>
          <w:szCs w:val="22"/>
        </w:rPr>
        <w:t xml:space="preserve"> FCS</w:t>
      </w:r>
      <w:r w:rsidRPr="00100F6D">
        <w:rPr>
          <w:rFonts w:asciiTheme="minorHAnsi" w:hAnsiTheme="minorHAnsi" w:cstheme="minorHAnsi"/>
          <w:sz w:val="22"/>
          <w:szCs w:val="22"/>
        </w:rPr>
        <w:t>.</w:t>
      </w:r>
    </w:p>
    <w:p w14:paraId="30E0BAAB" w14:textId="77777777" w:rsidR="0000635E" w:rsidRPr="00100F6D" w:rsidRDefault="0000635E" w:rsidP="00A1761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En cas de résiliation anticipée, 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devra restituer immédiatement à </w:t>
      </w:r>
      <w:r w:rsidR="00CE73DB" w:rsidRPr="00100F6D">
        <w:rPr>
          <w:rFonts w:asciiTheme="minorHAnsi" w:eastAsia="Times" w:hAnsiTheme="minorHAnsi" w:cstheme="minorHAnsi"/>
          <w:smallCaps/>
          <w:szCs w:val="22"/>
        </w:rPr>
        <w:t>Expertise France</w:t>
      </w:r>
      <w:r w:rsidR="00CF443E" w:rsidRPr="00100F6D">
        <w:rPr>
          <w:rFonts w:asciiTheme="minorHAnsi" w:hAnsiTheme="minorHAnsi" w:cstheme="minorHAnsi"/>
          <w:szCs w:val="22"/>
        </w:rPr>
        <w:t xml:space="preserve"> </w:t>
      </w:r>
      <w:r w:rsidRPr="00100F6D">
        <w:rPr>
          <w:rFonts w:asciiTheme="minorHAnsi" w:hAnsiTheme="minorHAnsi" w:cstheme="minorHAnsi"/>
          <w:szCs w:val="22"/>
        </w:rPr>
        <w:t xml:space="preserve">l’ensemble des documents qui lui auront été confiés dans le cadre de l’exécution du présent </w:t>
      </w:r>
      <w:r w:rsidRPr="00100F6D">
        <w:rPr>
          <w:rFonts w:asciiTheme="minorHAnsi" w:hAnsiTheme="minorHAnsi" w:cstheme="minorHAnsi"/>
          <w:smallCaps/>
          <w:szCs w:val="22"/>
        </w:rPr>
        <w:t>contrat</w:t>
      </w:r>
      <w:r w:rsidRPr="00100F6D">
        <w:rPr>
          <w:rFonts w:asciiTheme="minorHAnsi" w:hAnsiTheme="minorHAnsi" w:cstheme="minorHAnsi"/>
          <w:szCs w:val="22"/>
        </w:rPr>
        <w:t>.</w:t>
      </w:r>
    </w:p>
    <w:p w14:paraId="386608F7" w14:textId="77777777" w:rsidR="0000635E" w:rsidRPr="00100F6D" w:rsidRDefault="0000635E" w:rsidP="00A1761D">
      <w:pPr>
        <w:pStyle w:val="Titre2"/>
        <w:spacing w:before="120" w:after="60"/>
        <w:jc w:val="both"/>
        <w:rPr>
          <w:rFonts w:asciiTheme="minorHAnsi" w:hAnsiTheme="minorHAnsi" w:cstheme="minorHAnsi"/>
          <w:sz w:val="22"/>
          <w:szCs w:val="22"/>
        </w:rPr>
      </w:pPr>
      <w:bookmarkStart w:id="73" w:name="_Toc126922017"/>
      <w:r w:rsidRPr="00100F6D">
        <w:rPr>
          <w:rFonts w:asciiTheme="minorHAnsi" w:hAnsiTheme="minorHAnsi" w:cstheme="minorHAnsi"/>
          <w:sz w:val="22"/>
          <w:szCs w:val="22"/>
        </w:rPr>
        <w:t>Résiliation du contrat en cas d’</w:t>
      </w:r>
      <w:r w:rsidR="00C3644B" w:rsidRPr="00100F6D">
        <w:rPr>
          <w:rFonts w:asciiTheme="minorHAnsi" w:hAnsiTheme="minorHAnsi" w:cstheme="minorHAnsi"/>
          <w:sz w:val="22"/>
          <w:szCs w:val="22"/>
        </w:rPr>
        <w:t>indisponibilité</w:t>
      </w:r>
      <w:r w:rsidR="0057211A" w:rsidRPr="00100F6D">
        <w:rPr>
          <w:rFonts w:asciiTheme="minorHAnsi" w:hAnsiTheme="minorHAnsi" w:cstheme="minorHAnsi"/>
          <w:sz w:val="22"/>
          <w:szCs w:val="22"/>
        </w:rPr>
        <w:t xml:space="preserve"> </w:t>
      </w:r>
      <w:r w:rsidRPr="00100F6D">
        <w:rPr>
          <w:rFonts w:asciiTheme="minorHAnsi" w:hAnsiTheme="minorHAnsi" w:cstheme="minorHAnsi"/>
          <w:sz w:val="22"/>
          <w:szCs w:val="22"/>
        </w:rPr>
        <w:t>de l’expert désigné</w:t>
      </w:r>
      <w:bookmarkEnd w:id="73"/>
    </w:p>
    <w:p w14:paraId="3D72B336" w14:textId="77777777" w:rsidR="00E106A4" w:rsidRPr="00100F6D" w:rsidRDefault="00E106A4"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En cas d’indisponibilité d’un expert désigné, le </w:t>
      </w:r>
      <w:r w:rsidR="00100109"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 xml:space="preserve"> doit</w:t>
      </w:r>
      <w:r w:rsidR="00EA640A" w:rsidRPr="00100F6D">
        <w:rPr>
          <w:rFonts w:asciiTheme="minorHAnsi" w:hAnsiTheme="minorHAnsi" w:cstheme="minorHAnsi"/>
          <w:sz w:val="22"/>
          <w:szCs w:val="22"/>
        </w:rPr>
        <w:t xml:space="preserve"> en </w:t>
      </w:r>
      <w:r w:rsidRPr="00100F6D">
        <w:rPr>
          <w:rFonts w:asciiTheme="minorHAnsi" w:hAnsiTheme="minorHAnsi" w:cstheme="minorHAnsi"/>
          <w:sz w:val="22"/>
          <w:szCs w:val="22"/>
        </w:rPr>
        <w:t xml:space="preserve">informer </w:t>
      </w:r>
      <w:r w:rsidR="00CE73DB" w:rsidRPr="00100F6D">
        <w:rPr>
          <w:rFonts w:asciiTheme="minorHAnsi" w:hAnsiTheme="minorHAnsi" w:cstheme="minorHAnsi"/>
          <w:smallCaps/>
          <w:sz w:val="22"/>
          <w:szCs w:val="22"/>
        </w:rPr>
        <w:t>Expertise France</w:t>
      </w:r>
      <w:r w:rsidRPr="00100F6D">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100F6D">
        <w:rPr>
          <w:rFonts w:asciiTheme="minorHAnsi" w:hAnsiTheme="minorHAnsi" w:cstheme="minorHAnsi"/>
          <w:smallCaps/>
          <w:sz w:val="22"/>
          <w:szCs w:val="22"/>
        </w:rPr>
        <w:t>Expertise France</w:t>
      </w:r>
      <w:r w:rsidR="00836485" w:rsidRPr="00100F6D">
        <w:rPr>
          <w:rFonts w:asciiTheme="minorHAnsi" w:hAnsiTheme="minorHAnsi" w:cstheme="minorHAnsi"/>
          <w:smallCaps/>
          <w:sz w:val="22"/>
          <w:szCs w:val="22"/>
        </w:rPr>
        <w:t xml:space="preserve"> </w:t>
      </w:r>
      <w:r w:rsidRPr="00100F6D">
        <w:rPr>
          <w:rFonts w:asciiTheme="minorHAnsi" w:hAnsiTheme="minorHAnsi" w:cstheme="minorHAnsi"/>
          <w:sz w:val="22"/>
          <w:szCs w:val="22"/>
        </w:rPr>
        <w:t xml:space="preserve">pourra résilier le contrat pour faute du </w:t>
      </w:r>
      <w:r w:rsidR="00100109"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w:t>
      </w:r>
    </w:p>
    <w:p w14:paraId="74520365" w14:textId="77777777" w:rsidR="00B37A44" w:rsidRPr="00100F6D" w:rsidRDefault="00B37A44" w:rsidP="00A1761D">
      <w:pPr>
        <w:spacing w:line="240" w:lineRule="auto"/>
        <w:ind w:left="567"/>
        <w:jc w:val="both"/>
        <w:rPr>
          <w:rFonts w:asciiTheme="minorHAnsi" w:hAnsiTheme="minorHAnsi" w:cstheme="minorHAnsi"/>
          <w:sz w:val="22"/>
          <w:szCs w:val="22"/>
        </w:rPr>
      </w:pPr>
    </w:p>
    <w:p w14:paraId="09591F4C" w14:textId="77777777" w:rsidR="0057211A" w:rsidRPr="00100F6D" w:rsidRDefault="00E106A4"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100F6D">
        <w:rPr>
          <w:rFonts w:asciiTheme="minorHAnsi" w:hAnsiTheme="minorHAnsi" w:cstheme="minorHAnsi"/>
          <w:sz w:val="22"/>
          <w:szCs w:val="22"/>
        </w:rPr>
        <w:t xml:space="preserve"> </w:t>
      </w:r>
      <w:r w:rsidR="00CE73DB" w:rsidRPr="00100F6D">
        <w:rPr>
          <w:rFonts w:asciiTheme="minorHAnsi" w:hAnsiTheme="minorHAnsi" w:cstheme="minorHAnsi"/>
          <w:smallCaps/>
          <w:sz w:val="22"/>
          <w:szCs w:val="22"/>
        </w:rPr>
        <w:t>Expertise France</w:t>
      </w:r>
      <w:r w:rsidR="00836485" w:rsidRPr="00100F6D">
        <w:rPr>
          <w:rFonts w:asciiTheme="minorHAnsi" w:hAnsiTheme="minorHAnsi" w:cstheme="minorHAnsi"/>
          <w:smallCaps/>
          <w:sz w:val="22"/>
          <w:szCs w:val="22"/>
        </w:rPr>
        <w:t xml:space="preserve"> </w:t>
      </w:r>
      <w:r w:rsidR="0000635E" w:rsidRPr="00100F6D">
        <w:rPr>
          <w:rFonts w:asciiTheme="minorHAnsi" w:hAnsiTheme="minorHAnsi" w:cstheme="minorHAnsi"/>
          <w:sz w:val="22"/>
          <w:szCs w:val="22"/>
        </w:rPr>
        <w:t xml:space="preserve">pourra résilier de plein droit le </w:t>
      </w:r>
      <w:r w:rsidR="0000635E" w:rsidRPr="00100F6D">
        <w:rPr>
          <w:rFonts w:asciiTheme="minorHAnsi" w:hAnsiTheme="minorHAnsi" w:cstheme="minorHAnsi"/>
          <w:smallCaps/>
          <w:sz w:val="22"/>
          <w:szCs w:val="22"/>
        </w:rPr>
        <w:t>contrat</w:t>
      </w:r>
      <w:r w:rsidR="0000635E" w:rsidRPr="00100F6D">
        <w:rPr>
          <w:rFonts w:asciiTheme="minorHAnsi" w:hAnsiTheme="minorHAnsi" w:cstheme="minorHAnsi"/>
          <w:sz w:val="22"/>
          <w:szCs w:val="22"/>
        </w:rPr>
        <w:t>.</w:t>
      </w:r>
    </w:p>
    <w:p w14:paraId="3B1265C6" w14:textId="77777777" w:rsidR="00C6688F" w:rsidRPr="00100F6D" w:rsidRDefault="00C3644B"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La résiliation en cas d’indisponibilité d</w:t>
      </w:r>
      <w:r w:rsidR="0057211A" w:rsidRPr="00100F6D">
        <w:rPr>
          <w:rFonts w:asciiTheme="minorHAnsi" w:hAnsiTheme="minorHAnsi" w:cstheme="minorHAnsi"/>
          <w:sz w:val="22"/>
          <w:szCs w:val="22"/>
        </w:rPr>
        <w:t xml:space="preserve">’un </w:t>
      </w:r>
      <w:r w:rsidRPr="00100F6D">
        <w:rPr>
          <w:rFonts w:asciiTheme="minorHAnsi" w:hAnsiTheme="minorHAnsi" w:cstheme="minorHAnsi"/>
          <w:sz w:val="22"/>
          <w:szCs w:val="22"/>
        </w:rPr>
        <w:t xml:space="preserve">expert désigné n’ouvrira droit à aucune sorte d’indemnité au profit du </w:t>
      </w:r>
      <w:r w:rsidR="00100109"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w:t>
      </w:r>
    </w:p>
    <w:p w14:paraId="4BD73B7D" w14:textId="77777777" w:rsidR="00C6688F" w:rsidRPr="00100F6D" w:rsidRDefault="00C6688F" w:rsidP="00A1761D">
      <w:pPr>
        <w:pStyle w:val="Titre2"/>
        <w:spacing w:before="120" w:after="60"/>
        <w:jc w:val="both"/>
        <w:rPr>
          <w:rFonts w:asciiTheme="minorHAnsi" w:hAnsiTheme="minorHAnsi" w:cstheme="minorHAnsi"/>
          <w:sz w:val="22"/>
          <w:szCs w:val="22"/>
        </w:rPr>
      </w:pPr>
      <w:bookmarkStart w:id="74" w:name="_Toc126922018"/>
      <w:r w:rsidRPr="00100F6D">
        <w:rPr>
          <w:rFonts w:asciiTheme="minorHAnsi" w:hAnsiTheme="minorHAnsi" w:cstheme="minorHAnsi"/>
          <w:sz w:val="22"/>
          <w:szCs w:val="22"/>
        </w:rPr>
        <w:t>Procédure</w:t>
      </w:r>
      <w:bookmarkEnd w:id="74"/>
    </w:p>
    <w:p w14:paraId="1B120D18" w14:textId="77777777" w:rsidR="003D6B1E" w:rsidRPr="00100F6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 xml:space="preserve">La décision de résiliation est </w:t>
      </w:r>
      <w:r w:rsidR="002C078E" w:rsidRPr="00100F6D">
        <w:rPr>
          <w:rFonts w:asciiTheme="minorHAnsi" w:eastAsia="Times New Roman" w:hAnsiTheme="minorHAnsi" w:cstheme="minorHAnsi"/>
          <w:sz w:val="22"/>
          <w:szCs w:val="22"/>
        </w:rPr>
        <w:t xml:space="preserve">notifiée par </w:t>
      </w:r>
      <w:r w:rsidR="00CE73DB" w:rsidRPr="00100F6D">
        <w:rPr>
          <w:rFonts w:asciiTheme="minorHAnsi" w:hAnsiTheme="minorHAnsi" w:cstheme="minorHAnsi"/>
          <w:smallCaps/>
          <w:sz w:val="22"/>
          <w:szCs w:val="22"/>
        </w:rPr>
        <w:t>Expertise France</w:t>
      </w:r>
      <w:r w:rsidR="00CF443E" w:rsidRPr="00100F6D">
        <w:rPr>
          <w:rFonts w:asciiTheme="minorHAnsi" w:hAnsiTheme="minorHAnsi" w:cstheme="minorHAnsi"/>
          <w:sz w:val="22"/>
          <w:szCs w:val="22"/>
        </w:rPr>
        <w:t xml:space="preserve"> </w:t>
      </w:r>
      <w:r w:rsidR="002C078E" w:rsidRPr="00100F6D">
        <w:rPr>
          <w:rFonts w:asciiTheme="minorHAnsi" w:eastAsia="Times New Roman" w:hAnsiTheme="minorHAnsi" w:cstheme="minorHAnsi"/>
          <w:sz w:val="22"/>
          <w:szCs w:val="22"/>
        </w:rPr>
        <w:t xml:space="preserve">au </w:t>
      </w:r>
      <w:r w:rsidR="00100109" w:rsidRPr="00100F6D">
        <w:rPr>
          <w:rFonts w:asciiTheme="minorHAnsi" w:eastAsia="Times New Roman" w:hAnsiTheme="minorHAnsi" w:cstheme="minorHAnsi"/>
          <w:smallCaps/>
          <w:sz w:val="22"/>
          <w:szCs w:val="22"/>
        </w:rPr>
        <w:t>Contractant</w:t>
      </w:r>
      <w:r w:rsidR="002C078E" w:rsidRPr="00100F6D">
        <w:rPr>
          <w:rFonts w:asciiTheme="minorHAnsi" w:eastAsia="Times New Roman" w:hAnsiTheme="minorHAnsi" w:cstheme="minorHAnsi"/>
          <w:sz w:val="22"/>
          <w:szCs w:val="22"/>
        </w:rPr>
        <w:t xml:space="preserve"> par lettre recommandée avec accusé de réception.</w:t>
      </w:r>
      <w:r w:rsidR="003B0DCB" w:rsidRPr="00100F6D">
        <w:rPr>
          <w:rFonts w:asciiTheme="minorHAnsi" w:eastAsia="Times New Roman" w:hAnsiTheme="minorHAnsi" w:cstheme="minorHAnsi"/>
          <w:sz w:val="22"/>
          <w:szCs w:val="22"/>
        </w:rPr>
        <w:t xml:space="preserve"> Elle mentionne la date d’effet de la résiliation. </w:t>
      </w:r>
    </w:p>
    <w:p w14:paraId="1E8D0DAA" w14:textId="22057185" w:rsidR="008D2C3F" w:rsidRPr="00100F6D" w:rsidRDefault="008D2C3F"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100F6D">
        <w:rPr>
          <w:rFonts w:asciiTheme="minorHAnsi" w:hAnsiTheme="minorHAnsi"/>
          <w:b/>
          <w:caps/>
          <w:sz w:val="24"/>
        </w:rPr>
        <w:t> </w:t>
      </w:r>
      <w:bookmarkStart w:id="75" w:name="_Toc126922019"/>
      <w:r w:rsidR="00386EE8" w:rsidRPr="00100F6D">
        <w:rPr>
          <w:rFonts w:asciiTheme="minorHAnsi" w:hAnsiTheme="minorHAnsi"/>
          <w:b/>
          <w:caps/>
          <w:sz w:val="24"/>
          <w:u w:val="single"/>
        </w:rPr>
        <w:t>Mesures et responsabilités en matière de sûreté et de sécurité</w:t>
      </w:r>
      <w:bookmarkEnd w:id="75"/>
      <w:r w:rsidR="00386EE8" w:rsidRPr="00100F6D">
        <w:rPr>
          <w:rFonts w:asciiTheme="minorHAnsi" w:hAnsiTheme="minorHAnsi"/>
          <w:b/>
          <w:caps/>
          <w:sz w:val="24"/>
          <w:u w:val="single"/>
        </w:rPr>
        <w:t xml:space="preserve"> </w:t>
      </w:r>
    </w:p>
    <w:p w14:paraId="207D7FC8" w14:textId="61136338" w:rsidR="00671390" w:rsidRPr="00100F6D"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100F6D">
        <w:rPr>
          <w:rFonts w:ascii="Calibri" w:eastAsia="Times New Roman" w:hAnsi="Calibri"/>
          <w:sz w:val="22"/>
        </w:rPr>
        <w:t xml:space="preserve">Le </w:t>
      </w:r>
      <w:r w:rsidRPr="00100F6D">
        <w:rPr>
          <w:rFonts w:ascii="Calibri" w:eastAsia="Times New Roman" w:hAnsi="Calibri"/>
          <w:smallCaps/>
          <w:sz w:val="22"/>
        </w:rPr>
        <w:t>Contractant</w:t>
      </w:r>
      <w:r w:rsidRPr="00100F6D">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100F6D"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100F6D">
        <w:rPr>
          <w:rFonts w:ascii="Calibri" w:eastAsia="Times New Roman" w:hAnsi="Calibri"/>
          <w:sz w:val="22"/>
        </w:rPr>
        <w:t xml:space="preserve">En cas d’incident et/ou d’atteinte directe ou indirecte à la sécurité des personnes mobilisées directement ou indirectement par le </w:t>
      </w:r>
      <w:r w:rsidR="00280FB2" w:rsidRPr="00100F6D">
        <w:rPr>
          <w:rFonts w:ascii="Calibri" w:eastAsia="Times New Roman" w:hAnsi="Calibri"/>
          <w:smallCaps/>
          <w:sz w:val="22"/>
        </w:rPr>
        <w:t>Contractant</w:t>
      </w:r>
      <w:r w:rsidRPr="00100F6D">
        <w:rPr>
          <w:rFonts w:ascii="Calibri" w:eastAsia="Times New Roman" w:hAnsi="Calibri"/>
          <w:sz w:val="22"/>
        </w:rPr>
        <w:t xml:space="preserve"> ou de ses équipements, la responsabilité </w:t>
      </w:r>
      <w:r w:rsidR="00AD16E9" w:rsidRPr="00100F6D">
        <w:rPr>
          <w:rFonts w:ascii="Calibri" w:eastAsia="Times New Roman" w:hAnsi="Calibri"/>
          <w:smallCaps/>
          <w:sz w:val="22"/>
        </w:rPr>
        <w:t>Expertise France</w:t>
      </w:r>
      <w:r w:rsidRPr="00100F6D">
        <w:rPr>
          <w:rFonts w:ascii="Calibri" w:eastAsia="Times New Roman" w:hAnsi="Calibri"/>
          <w:sz w:val="22"/>
        </w:rPr>
        <w:t xml:space="preserve"> ne pourra être engagée de quelle que manière que ce soit.</w:t>
      </w:r>
      <w:bookmarkEnd w:id="76"/>
    </w:p>
    <w:p w14:paraId="57512E58" w14:textId="53773F19" w:rsidR="00386EE8" w:rsidRPr="00100F6D" w:rsidRDefault="00386EE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100F6D">
        <w:rPr>
          <w:rFonts w:asciiTheme="minorHAnsi" w:hAnsiTheme="minorHAnsi"/>
          <w:b/>
          <w:caps/>
          <w:sz w:val="24"/>
        </w:rPr>
        <w:t> </w:t>
      </w:r>
      <w:bookmarkStart w:id="77" w:name="_Toc126922020"/>
      <w:r w:rsidRPr="00100F6D">
        <w:rPr>
          <w:rFonts w:asciiTheme="minorHAnsi" w:hAnsiTheme="minorHAnsi"/>
          <w:b/>
          <w:caps/>
          <w:sz w:val="24"/>
          <w:u w:val="single"/>
        </w:rPr>
        <w:t>Éthique</w:t>
      </w:r>
      <w:bookmarkEnd w:id="77"/>
    </w:p>
    <w:p w14:paraId="58FE66BF" w14:textId="3E8A0058" w:rsidR="00386EE8" w:rsidRPr="00100F6D" w:rsidRDefault="00AD16E9" w:rsidP="00DA114C">
      <w:pPr>
        <w:widowControl w:val="0"/>
        <w:tabs>
          <w:tab w:val="left" w:pos="567"/>
        </w:tabs>
        <w:spacing w:before="120" w:line="240" w:lineRule="auto"/>
        <w:ind w:left="567"/>
        <w:jc w:val="both"/>
        <w:rPr>
          <w:rFonts w:ascii="Calibri" w:eastAsia="Times New Roman" w:hAnsi="Calibri"/>
          <w:sz w:val="22"/>
        </w:rPr>
      </w:pPr>
      <w:r w:rsidRPr="00100F6D">
        <w:rPr>
          <w:rFonts w:ascii="Calibri" w:eastAsia="Times New Roman" w:hAnsi="Calibri"/>
          <w:sz w:val="22"/>
        </w:rPr>
        <w:lastRenderedPageBreak/>
        <w:t xml:space="preserve">Le </w:t>
      </w:r>
      <w:r w:rsidR="000A764F" w:rsidRPr="00100F6D">
        <w:rPr>
          <w:rFonts w:ascii="Calibri" w:eastAsia="Times New Roman" w:hAnsi="Calibri"/>
          <w:smallCaps/>
          <w:sz w:val="22"/>
        </w:rPr>
        <w:t>Contractant</w:t>
      </w:r>
      <w:r w:rsidRPr="00100F6D">
        <w:rPr>
          <w:rFonts w:ascii="Calibri" w:eastAsia="Times New Roman" w:hAnsi="Calibri"/>
          <w:sz w:val="22"/>
        </w:rPr>
        <w:t xml:space="preserve"> s’engage également à prendre connaissance du </w:t>
      </w:r>
      <w:hyperlink r:id="rId17">
        <w:r w:rsidRPr="00100F6D">
          <w:rPr>
            <w:rStyle w:val="Lienhypertexte"/>
            <w:rFonts w:ascii="Calibri" w:eastAsia="Times New Roman" w:hAnsi="Calibri"/>
            <w:sz w:val="22"/>
          </w:rPr>
          <w:t>code de conduite d'Expertise France</w:t>
        </w:r>
      </w:hyperlink>
      <w:r w:rsidRPr="00100F6D">
        <w:rPr>
          <w:rFonts w:ascii="Calibri" w:eastAsia="Times New Roman" w:hAnsi="Calibri"/>
          <w:sz w:val="22"/>
        </w:rPr>
        <w:t xml:space="preserve"> et à s’y conformer strictement (le code de conduite d’</w:t>
      </w:r>
      <w:r w:rsidR="000A764F" w:rsidRPr="00100F6D">
        <w:rPr>
          <w:rFonts w:ascii="Calibri" w:eastAsia="Times New Roman" w:hAnsi="Calibri"/>
          <w:smallCaps/>
          <w:sz w:val="22"/>
        </w:rPr>
        <w:t xml:space="preserve"> Expertise France</w:t>
      </w:r>
      <w:r w:rsidR="000A764F" w:rsidRPr="00100F6D">
        <w:rPr>
          <w:rFonts w:ascii="Calibri" w:eastAsia="Times New Roman" w:hAnsi="Calibri"/>
          <w:sz w:val="22"/>
        </w:rPr>
        <w:t xml:space="preserve"> </w:t>
      </w:r>
      <w:r w:rsidRPr="00100F6D">
        <w:rPr>
          <w:rFonts w:ascii="Calibri" w:eastAsia="Times New Roman" w:hAnsi="Calibri"/>
          <w:sz w:val="22"/>
        </w:rPr>
        <w:t xml:space="preserve">est accessible sur le site web de l’agence : </w:t>
      </w:r>
      <w:hyperlink r:id="rId18" w:history="1">
        <w:r w:rsidRPr="00100F6D">
          <w:rPr>
            <w:rStyle w:val="Lienhypertexte"/>
            <w:rFonts w:ascii="Calibri" w:eastAsia="Times New Roman" w:hAnsi="Calibri"/>
            <w:sz w:val="22"/>
          </w:rPr>
          <w:t>www.expertisefrance.fr</w:t>
        </w:r>
      </w:hyperlink>
      <w:r w:rsidRPr="00100F6D">
        <w:rPr>
          <w:rFonts w:ascii="Calibri" w:eastAsia="Times New Roman" w:hAnsi="Calibri"/>
          <w:sz w:val="22"/>
        </w:rPr>
        <w:t>).</w:t>
      </w:r>
    </w:p>
    <w:p w14:paraId="578C5EDB" w14:textId="3DDE3F02" w:rsidR="00AD16E9" w:rsidRPr="00100F6D"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100F6D">
        <w:rPr>
          <w:rFonts w:ascii="Calibri" w:eastAsia="Times New Roman" w:hAnsi="Calibri" w:cs="Calibri"/>
          <w:sz w:val="22"/>
        </w:rPr>
        <w:t xml:space="preserve">Tout manquement au code de conduite est susceptible d’entraîner la résiliation du contrat et d’engager la responsabilité du </w:t>
      </w:r>
      <w:r w:rsidRPr="00100F6D">
        <w:rPr>
          <w:rFonts w:ascii="Calibri" w:eastAsia="Times New Roman" w:hAnsi="Calibri"/>
          <w:smallCaps/>
          <w:sz w:val="22"/>
        </w:rPr>
        <w:t>Contractant</w:t>
      </w:r>
      <w:r w:rsidRPr="00100F6D">
        <w:rPr>
          <w:rFonts w:ascii="Calibri" w:eastAsia="Times New Roman" w:hAnsi="Calibri" w:cs="Calibri"/>
          <w:sz w:val="22"/>
        </w:rPr>
        <w:t>.</w:t>
      </w:r>
      <w:bookmarkEnd w:id="78"/>
    </w:p>
    <w:p w14:paraId="2ACBBB4B" w14:textId="77777777" w:rsidR="007476F1" w:rsidRPr="00100F6D" w:rsidRDefault="006536FA"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100F6D">
        <w:rPr>
          <w:rFonts w:asciiTheme="minorHAnsi" w:hAnsiTheme="minorHAnsi"/>
          <w:b/>
          <w:caps/>
          <w:sz w:val="24"/>
          <w:u w:val="single"/>
        </w:rPr>
        <w:t xml:space="preserve">Gestion des </w:t>
      </w:r>
      <w:r w:rsidR="00BB07E5" w:rsidRPr="00100F6D">
        <w:rPr>
          <w:rFonts w:asciiTheme="minorHAnsi" w:hAnsiTheme="minorHAnsi"/>
          <w:b/>
          <w:caps/>
          <w:sz w:val="24"/>
          <w:u w:val="single"/>
        </w:rPr>
        <w:t>dONNÉES À cARACT</w:t>
      </w:r>
      <w:r w:rsidR="002C0411" w:rsidRPr="00100F6D">
        <w:rPr>
          <w:rFonts w:asciiTheme="minorHAnsi" w:hAnsiTheme="minorHAnsi"/>
          <w:b/>
          <w:caps/>
          <w:sz w:val="24"/>
          <w:u w:val="single"/>
        </w:rPr>
        <w:t>È</w:t>
      </w:r>
      <w:r w:rsidR="00BB07E5" w:rsidRPr="00100F6D">
        <w:rPr>
          <w:rFonts w:asciiTheme="minorHAnsi" w:hAnsiTheme="minorHAnsi"/>
          <w:b/>
          <w:caps/>
          <w:sz w:val="24"/>
          <w:u w:val="single"/>
        </w:rPr>
        <w:t xml:space="preserve">RE </w:t>
      </w:r>
      <w:r w:rsidR="00775808" w:rsidRPr="00100F6D">
        <w:rPr>
          <w:rFonts w:asciiTheme="minorHAnsi" w:hAnsiTheme="minorHAnsi"/>
          <w:b/>
          <w:caps/>
          <w:sz w:val="24"/>
          <w:u w:val="single"/>
        </w:rPr>
        <w:t>PERSONNEL</w:t>
      </w:r>
      <w:bookmarkEnd w:id="124"/>
    </w:p>
    <w:p w14:paraId="64DCE497" w14:textId="59BB6879"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traitement est nécessaire au respect d’une obligation légale à laquelle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est soumis ;</w:t>
      </w:r>
    </w:p>
    <w:p w14:paraId="45217F65"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w:t>
      </w:r>
    </w:p>
    <w:p w14:paraId="312112B8" w14:textId="77777777" w:rsidR="006536FA" w:rsidRPr="00100F6D"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Les finalités du ou des traitements sont : </w:t>
      </w:r>
    </w:p>
    <w:p w14:paraId="5CD7EC31"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La gestion et le suivi du présent contrat, </w:t>
      </w:r>
    </w:p>
    <w:p w14:paraId="628CFB5A"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Les destinataires ou catégorie de destinataires des données à caractère personnel sont exclusivement les per</w:t>
      </w:r>
      <w:r w:rsidR="00AB3AEF" w:rsidRPr="00100F6D">
        <w:rPr>
          <w:rFonts w:asciiTheme="minorHAnsi" w:eastAsia="Times New Roman" w:hAnsiTheme="minorHAnsi" w:cstheme="minorHAnsi"/>
          <w:sz w:val="22"/>
        </w:rPr>
        <w:t>sonnels habilités d’</w:t>
      </w:r>
      <w:r w:rsidR="003E5AA6" w:rsidRPr="00100F6D">
        <w:rPr>
          <w:rFonts w:asciiTheme="minorHAnsi" w:hAnsiTheme="minorHAnsi" w:cs="Arial"/>
          <w:smallCaps/>
          <w:szCs w:val="22"/>
        </w:rPr>
        <w:t>Expertise France</w:t>
      </w:r>
      <w:r w:rsidRPr="00100F6D">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w:t>
      </w:r>
      <w:hyperlink r:id="rId19" w:history="1">
        <w:r w:rsidRPr="00100F6D">
          <w:rPr>
            <w:rFonts w:asciiTheme="minorHAnsi" w:eastAsia="Times New Roman" w:hAnsiTheme="minorHAnsi" w:cstheme="minorHAnsi"/>
            <w:sz w:val="22"/>
          </w:rPr>
          <w:t>informatique.libertes@expertisefrance.fr</w:t>
        </w:r>
      </w:hyperlink>
      <w:r w:rsidRPr="00100F6D">
        <w:rPr>
          <w:rFonts w:asciiTheme="minorHAnsi" w:eastAsia="Times New Roman" w:hAnsiTheme="minorHAnsi" w:cstheme="minorHAnsi"/>
          <w:sz w:val="22"/>
        </w:rPr>
        <w:t>).</w:t>
      </w:r>
    </w:p>
    <w:p w14:paraId="6C79421D" w14:textId="6C1A5C0B"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25" w:name="_Toc69226591"/>
      <w:r w:rsidR="00BC28CB" w:rsidRPr="00100F6D">
        <w:rPr>
          <w:rFonts w:asciiTheme="minorHAnsi" w:eastAsia="Times New Roman" w:hAnsiTheme="minorHAnsi" w:cstheme="minorHAnsi"/>
          <w:sz w:val="22"/>
        </w:rPr>
        <w:t>a CNIL.)</w:t>
      </w:r>
    </w:p>
    <w:bookmarkEnd w:id="125"/>
    <w:p w14:paraId="02EA39B7" w14:textId="346AC18E"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présent </w:t>
      </w:r>
      <w:r w:rsidR="000E1BED" w:rsidRPr="00100F6D">
        <w:rPr>
          <w:rFonts w:asciiTheme="minorHAnsi" w:eastAsia="Times New Roman" w:hAnsiTheme="minorHAnsi" w:cstheme="minorHAnsi"/>
          <w:smallCaps/>
          <w:sz w:val="22"/>
        </w:rPr>
        <w:t>C</w:t>
      </w:r>
      <w:r w:rsidRPr="00100F6D">
        <w:rPr>
          <w:rFonts w:asciiTheme="minorHAnsi" w:eastAsia="Times New Roman" w:hAnsiTheme="minorHAnsi" w:cstheme="minorHAnsi"/>
          <w:smallCaps/>
          <w:sz w:val="22"/>
        </w:rPr>
        <w:t>ontrat</w:t>
      </w:r>
      <w:r w:rsidRPr="00100F6D">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w:t>
      </w:r>
      <w:r w:rsidRPr="00100F6D">
        <w:rPr>
          <w:rFonts w:asciiTheme="minorHAnsi" w:eastAsia="Times New Roman" w:hAnsiTheme="minorHAnsi" w:cstheme="minorHAnsi"/>
          <w:sz w:val="22"/>
        </w:rPr>
        <w:lastRenderedPageBreak/>
        <w:t>données » (RGPD).</w:t>
      </w:r>
    </w:p>
    <w:p w14:paraId="6EB4D999"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w:t>
      </w:r>
      <w:r w:rsidR="009A0B7B" w:rsidRPr="00100F6D">
        <w:rPr>
          <w:rFonts w:asciiTheme="minorHAnsi" w:hAnsiTheme="minorHAnsi" w:cstheme="minorHAnsi"/>
          <w:smallCaps/>
          <w:sz w:val="22"/>
        </w:rPr>
        <w:t>Contractant</w:t>
      </w:r>
      <w:r w:rsidRPr="00100F6D">
        <w:rPr>
          <w:rFonts w:asciiTheme="minorHAnsi" w:eastAsia="Times New Roman" w:hAnsiTheme="minorHAnsi" w:cstheme="minorHAnsi"/>
          <w:sz w:val="22"/>
        </w:rPr>
        <w:t xml:space="preserve"> s’engage, notamment, à :</w:t>
      </w:r>
    </w:p>
    <w:p w14:paraId="2B0CC4A9"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100F6D">
        <w:rPr>
          <w:rFonts w:asciiTheme="minorHAnsi" w:eastAsia="Times New Roman" w:hAnsiTheme="minorHAnsi" w:cstheme="minorHAnsi"/>
          <w:sz w:val="22"/>
        </w:rPr>
        <w:t>, telles qu’elles sont précisées dans l’annexe portant sur la collecte des données personnelles (sous-traitant RGPD)</w:t>
      </w:r>
      <w:r w:rsidRPr="00100F6D">
        <w:rPr>
          <w:rFonts w:asciiTheme="minorHAnsi" w:eastAsia="Times New Roman" w:hAnsiTheme="minorHAnsi" w:cstheme="minorHAnsi"/>
          <w:sz w:val="22"/>
        </w:rPr>
        <w:t> ;</w:t>
      </w:r>
    </w:p>
    <w:p w14:paraId="23E15E8A"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Notifier à </w:t>
      </w:r>
      <w:r w:rsidR="003E5AA6" w:rsidRPr="00100F6D">
        <w:rPr>
          <w:rFonts w:asciiTheme="minorHAnsi" w:hAnsiTheme="minorHAnsi" w:cs="Arial"/>
          <w:smallCaps/>
          <w:sz w:val="22"/>
          <w:szCs w:val="22"/>
        </w:rPr>
        <w:t>Expertise France</w:t>
      </w:r>
      <w:r w:rsidRPr="00100F6D">
        <w:rPr>
          <w:rFonts w:asciiTheme="minorHAnsi" w:eastAsia="Times New Roman" w:hAnsiTheme="minorHAnsi" w:cstheme="minorHAnsi"/>
          <w:sz w:val="24"/>
        </w:rPr>
        <w:t xml:space="preserve">, </w:t>
      </w:r>
      <w:r w:rsidRPr="00100F6D">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Aider </w:t>
      </w:r>
      <w:r w:rsidR="003E5AA6" w:rsidRPr="00100F6D">
        <w:rPr>
          <w:rFonts w:asciiTheme="minorHAnsi" w:hAnsiTheme="minorHAnsi" w:cs="Arial"/>
          <w:smallCaps/>
          <w:sz w:val="22"/>
          <w:szCs w:val="22"/>
        </w:rPr>
        <w:t>Expertise France</w:t>
      </w:r>
      <w:r w:rsidRPr="00100F6D">
        <w:rPr>
          <w:rFonts w:asciiTheme="minorHAnsi" w:eastAsia="Times New Roman" w:hAnsiTheme="minorHAnsi" w:cstheme="minorHAnsi"/>
          <w:sz w:val="24"/>
        </w:rPr>
        <w:t xml:space="preserve"> </w:t>
      </w:r>
      <w:r w:rsidRPr="00100F6D">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Supprimer toutes les données à caractère personnel ou les renvoyer à </w:t>
      </w:r>
      <w:r w:rsidR="003E5AA6" w:rsidRPr="00100F6D">
        <w:rPr>
          <w:rFonts w:asciiTheme="minorHAnsi" w:hAnsiTheme="minorHAnsi" w:cs="Arial"/>
          <w:smallCaps/>
          <w:szCs w:val="22"/>
        </w:rPr>
        <w:t>Expertise France</w:t>
      </w:r>
      <w:r w:rsidRPr="00100F6D">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Mettre à la disposition d’</w:t>
      </w:r>
      <w:r w:rsidR="003E5AA6" w:rsidRPr="00100F6D">
        <w:rPr>
          <w:rFonts w:asciiTheme="minorHAnsi" w:hAnsiTheme="minorHAnsi" w:cs="Arial"/>
          <w:smallCaps/>
          <w:szCs w:val="22"/>
        </w:rPr>
        <w:t xml:space="preserve"> Expertise France</w:t>
      </w:r>
      <w:r w:rsidR="003E5AA6" w:rsidRPr="00100F6D">
        <w:rPr>
          <w:rFonts w:asciiTheme="minorHAnsi" w:eastAsia="Times New Roman" w:hAnsiTheme="minorHAnsi" w:cstheme="minorHAnsi"/>
          <w:sz w:val="22"/>
        </w:rPr>
        <w:t xml:space="preserve"> </w:t>
      </w:r>
      <w:r w:rsidRPr="00100F6D">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Lorsque le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De même, le titulaire informe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d’émettre des objections à l’encontre de ces changements.</w:t>
      </w:r>
    </w:p>
    <w:p w14:paraId="043A5A1A" w14:textId="77777777" w:rsidR="006536FA" w:rsidRPr="00100F6D"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Les mêmes obligations en matière de protection des données que celles fixées dans le contrat entre </w:t>
      </w:r>
      <w:r w:rsidR="00FF5377"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et le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demeure pleinement responsable devant </w:t>
      </w:r>
      <w:r w:rsidR="00FF5377"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de l’exécution des obligations du sous-traitant. </w:t>
      </w:r>
    </w:p>
    <w:p w14:paraId="4D9F3A70" w14:textId="5D96AF74" w:rsidR="002A19B9" w:rsidRPr="00100F6D"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100F6D">
        <w:rPr>
          <w:rFonts w:asciiTheme="minorHAnsi" w:eastAsia="Times New Roman" w:hAnsiTheme="minorHAnsi" w:cstheme="minorHAnsi"/>
          <w:sz w:val="22"/>
        </w:rPr>
        <w:t xml:space="preserve">Il est rappelé que, en cas de non-respect des dispositions précitées, la responsabilité du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peut être engagée.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pourra prononcer la résiliation immédiate du contrat, sans indemnité en faveur du </w:t>
      </w:r>
      <w:r w:rsidR="00391DA6"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en cas de violation du secret professionnel ou de non-resp</w:t>
      </w:r>
      <w:r w:rsidR="00BC28CB" w:rsidRPr="00100F6D">
        <w:rPr>
          <w:rFonts w:asciiTheme="minorHAnsi" w:eastAsia="Times New Roman" w:hAnsiTheme="minorHAnsi" w:cstheme="minorHAnsi"/>
          <w:sz w:val="22"/>
        </w:rPr>
        <w:t>ect des dispositions précitées.</w:t>
      </w:r>
    </w:p>
    <w:p w14:paraId="7091ADDB" w14:textId="77777777" w:rsidR="002A19B9" w:rsidRPr="00100F6D"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2022"/>
      <w:r w:rsidRPr="00100F6D">
        <w:rPr>
          <w:rFonts w:asciiTheme="minorHAnsi" w:hAnsiTheme="minorHAnsi"/>
          <w:b/>
          <w:caps/>
          <w:sz w:val="24"/>
          <w:u w:val="single"/>
        </w:rPr>
        <w:t xml:space="preserve">RÈglement </w:t>
      </w:r>
      <w:r w:rsidR="002A19B9" w:rsidRPr="00100F6D">
        <w:rPr>
          <w:rFonts w:asciiTheme="minorHAnsi" w:hAnsiTheme="minorHAnsi"/>
          <w:b/>
          <w:caps/>
          <w:sz w:val="24"/>
          <w:u w:val="single"/>
        </w:rPr>
        <w:t>des litiges - DROIT Français APPLICABLE</w:t>
      </w:r>
      <w:bookmarkEnd w:id="126"/>
    </w:p>
    <w:p w14:paraId="1FC79C3A" w14:textId="77777777" w:rsidR="002A19B9" w:rsidRPr="00100F6D" w:rsidRDefault="002A19B9" w:rsidP="00A1761D">
      <w:pPr>
        <w:pStyle w:val="u"/>
        <w:widowControl w:val="0"/>
        <w:numPr>
          <w:ilvl w:val="12"/>
          <w:numId w:val="0"/>
        </w:numPr>
        <w:spacing w:before="120"/>
        <w:ind w:left="561"/>
        <w:rPr>
          <w:rFonts w:asciiTheme="minorHAnsi" w:hAnsiTheme="minorHAnsi" w:cs="Arial"/>
        </w:rPr>
      </w:pPr>
      <w:r w:rsidRPr="00100F6D">
        <w:rPr>
          <w:rFonts w:asciiTheme="minorHAnsi" w:hAnsiTheme="minorHAnsi" w:cs="Arial"/>
        </w:rPr>
        <w:t xml:space="preserve">Tout différend entre les </w:t>
      </w:r>
      <w:r w:rsidRPr="00100F6D">
        <w:rPr>
          <w:rFonts w:asciiTheme="minorHAnsi" w:hAnsiTheme="minorHAnsi" w:cs="Arial"/>
          <w:smallCaps/>
        </w:rPr>
        <w:t>Parties</w:t>
      </w:r>
      <w:r w:rsidRPr="00100F6D">
        <w:rPr>
          <w:rFonts w:asciiTheme="minorHAnsi" w:hAnsiTheme="minorHAnsi" w:cs="Arial"/>
        </w:rPr>
        <w:t xml:space="preserve"> relatif à l’existence, la validité, l’interprétation, l’exécution et la résiliation du </w:t>
      </w:r>
      <w:r w:rsidRPr="00100F6D">
        <w:rPr>
          <w:rFonts w:asciiTheme="minorHAnsi" w:hAnsiTheme="minorHAnsi" w:cs="Arial"/>
          <w:smallCaps/>
        </w:rPr>
        <w:t xml:space="preserve">Contrat </w:t>
      </w:r>
      <w:r w:rsidRPr="00100F6D">
        <w:rPr>
          <w:rFonts w:asciiTheme="minorHAnsi" w:hAnsiTheme="minorHAnsi" w:cs="Arial"/>
        </w:rPr>
        <w:t xml:space="preserve">(ou de l’une quelconque de ses clauses) que les </w:t>
      </w:r>
      <w:r w:rsidRPr="00100F6D">
        <w:rPr>
          <w:rFonts w:asciiTheme="minorHAnsi" w:hAnsiTheme="minorHAnsi" w:cs="Arial"/>
          <w:smallCaps/>
        </w:rPr>
        <w:t>Parties</w:t>
      </w:r>
      <w:r w:rsidRPr="00100F6D">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100F6D" w:rsidRDefault="002A19B9" w:rsidP="00A1761D">
      <w:pPr>
        <w:pStyle w:val="u"/>
        <w:widowControl w:val="0"/>
        <w:numPr>
          <w:ilvl w:val="12"/>
          <w:numId w:val="0"/>
        </w:numPr>
        <w:spacing w:before="120"/>
        <w:ind w:left="561"/>
        <w:rPr>
          <w:rFonts w:asciiTheme="minorHAnsi" w:hAnsiTheme="minorHAnsi" w:cs="Arial"/>
        </w:rPr>
      </w:pPr>
      <w:r w:rsidRPr="00100F6D">
        <w:rPr>
          <w:rFonts w:asciiTheme="minorHAnsi" w:hAnsiTheme="minorHAnsi" w:cs="Arial"/>
        </w:rPr>
        <w:lastRenderedPageBreak/>
        <w:t xml:space="preserve">Le droit applicable au présent </w:t>
      </w:r>
      <w:r w:rsidRPr="00100F6D">
        <w:rPr>
          <w:rFonts w:asciiTheme="minorHAnsi" w:hAnsiTheme="minorHAnsi" w:cs="Arial"/>
          <w:smallCaps/>
        </w:rPr>
        <w:t xml:space="preserve">Contrat </w:t>
      </w:r>
      <w:r w:rsidRPr="00100F6D">
        <w:rPr>
          <w:rFonts w:asciiTheme="minorHAnsi" w:hAnsiTheme="minorHAnsi" w:cs="Arial"/>
        </w:rPr>
        <w:t>est le droit français</w:t>
      </w:r>
      <w:r w:rsidR="003F06DE" w:rsidRPr="00100F6D">
        <w:rPr>
          <w:rFonts w:asciiTheme="minorHAnsi" w:hAnsiTheme="minorHAnsi" w:cs="Arial"/>
        </w:rPr>
        <w:t xml:space="preserve"> à l’exclusion de tout autre droit</w:t>
      </w:r>
      <w:r w:rsidRPr="00100F6D">
        <w:rPr>
          <w:rFonts w:asciiTheme="minorHAnsi" w:hAnsiTheme="minorHAnsi" w:cs="Arial"/>
        </w:rPr>
        <w:t>.</w:t>
      </w:r>
    </w:p>
    <w:p w14:paraId="6DF03323" w14:textId="77777777" w:rsidR="00822D98" w:rsidRPr="00100F6D"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2023"/>
      <w:r w:rsidRPr="00100F6D">
        <w:rPr>
          <w:rFonts w:asciiTheme="minorHAnsi" w:hAnsiTheme="minorHAnsi"/>
          <w:b/>
          <w:caps/>
          <w:sz w:val="24"/>
          <w:u w:val="single"/>
        </w:rPr>
        <w:t>DÉrogation</w:t>
      </w:r>
      <w:r w:rsidR="004C7D41" w:rsidRPr="00100F6D">
        <w:rPr>
          <w:rFonts w:asciiTheme="minorHAnsi" w:hAnsiTheme="minorHAnsi"/>
          <w:b/>
          <w:caps/>
          <w:sz w:val="24"/>
          <w:u w:val="single"/>
        </w:rPr>
        <w:t>S</w:t>
      </w:r>
      <w:r w:rsidRPr="00100F6D">
        <w:rPr>
          <w:rFonts w:asciiTheme="minorHAnsi" w:hAnsiTheme="minorHAnsi"/>
          <w:b/>
          <w:caps/>
          <w:sz w:val="24"/>
          <w:u w:val="single"/>
        </w:rPr>
        <w:t xml:space="preserve"> </w:t>
      </w:r>
      <w:r w:rsidR="009E4891" w:rsidRPr="00100F6D">
        <w:rPr>
          <w:rFonts w:asciiTheme="minorHAnsi" w:hAnsiTheme="minorHAnsi"/>
          <w:b/>
          <w:caps/>
          <w:sz w:val="24"/>
          <w:u w:val="single"/>
        </w:rPr>
        <w:t>au CCAG</w:t>
      </w:r>
      <w:bookmarkEnd w:id="127"/>
    </w:p>
    <w:p w14:paraId="662266D1" w14:textId="77777777" w:rsidR="00822D98" w:rsidRPr="00100F6D" w:rsidRDefault="00822D98" w:rsidP="00822D98">
      <w:pPr>
        <w:spacing w:before="120" w:line="240" w:lineRule="auto"/>
        <w:ind w:left="567"/>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Les articles suivants du présent document dérogent au CCAG :</w:t>
      </w:r>
    </w:p>
    <w:p w14:paraId="50CF587C" w14:textId="77777777" w:rsidR="00822D98" w:rsidRPr="00100F6D"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article 5 déroge aux dispositions de l’article 28 et 15 du CCAG ;</w:t>
      </w:r>
    </w:p>
    <w:p w14:paraId="6ADE58F4" w14:textId="0E25EB22" w:rsidR="00822D98" w:rsidRPr="00100F6D"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article 9 déroge aux dispositions de l’article 14 du CCAG ;</w:t>
      </w:r>
    </w:p>
    <w:p w14:paraId="07FD2845" w14:textId="27A7760E" w:rsidR="002E47F9" w:rsidRPr="00100F6D" w:rsidRDefault="00822D9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100F6D">
        <w:rPr>
          <w:rFonts w:asciiTheme="minorHAnsi" w:hAnsiTheme="minorHAnsi"/>
          <w:b/>
          <w:caps/>
          <w:sz w:val="24"/>
          <w:u w:val="single"/>
        </w:rPr>
        <w:t> AUDIT</w:t>
      </w:r>
    </w:p>
    <w:p w14:paraId="3DD05706" w14:textId="77777777" w:rsidR="00343978" w:rsidRPr="00100F6D" w:rsidRDefault="00343978" w:rsidP="00343978">
      <w:pPr>
        <w:ind w:left="567"/>
        <w:jc w:val="both"/>
        <w:rPr>
          <w:rFonts w:asciiTheme="minorHAnsi" w:hAnsiTheme="minorHAnsi" w:cstheme="minorHAnsi"/>
          <w:sz w:val="22"/>
          <w:szCs w:val="22"/>
        </w:rPr>
      </w:pPr>
      <w:r w:rsidRPr="00100F6D">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CA7528C" w14:textId="77777777" w:rsidR="00343978" w:rsidRPr="00100F6D" w:rsidRDefault="00343978" w:rsidP="00343978">
      <w:pPr>
        <w:ind w:left="567"/>
        <w:jc w:val="both"/>
        <w:rPr>
          <w:rFonts w:asciiTheme="minorHAnsi" w:hAnsiTheme="minorHAnsi" w:cstheme="minorHAnsi"/>
          <w:sz w:val="22"/>
          <w:szCs w:val="22"/>
        </w:rPr>
      </w:pPr>
    </w:p>
    <w:p w14:paraId="2EC930A1" w14:textId="77777777" w:rsidR="00343978" w:rsidRPr="00100F6D" w:rsidRDefault="00343978" w:rsidP="00343978">
      <w:pPr>
        <w:ind w:left="567"/>
        <w:jc w:val="both"/>
        <w:rPr>
          <w:rFonts w:asciiTheme="minorHAnsi" w:hAnsiTheme="minorHAnsi" w:cstheme="minorHAnsi"/>
          <w:sz w:val="22"/>
          <w:szCs w:val="22"/>
        </w:rPr>
      </w:pPr>
    </w:p>
    <w:p w14:paraId="3A16CF1A" w14:textId="77777777" w:rsidR="00343978" w:rsidRPr="00100F6D" w:rsidRDefault="00343978" w:rsidP="00343978">
      <w:pPr>
        <w:ind w:left="567"/>
        <w:jc w:val="both"/>
        <w:rPr>
          <w:rFonts w:asciiTheme="minorHAnsi" w:hAnsiTheme="minorHAnsi" w:cstheme="minorHAnsi"/>
          <w:sz w:val="22"/>
          <w:szCs w:val="22"/>
        </w:rPr>
      </w:pPr>
      <w:r w:rsidRPr="00100F6D">
        <w:rPr>
          <w:rFonts w:asciiTheme="minorHAnsi" w:hAnsiTheme="minorHAnsi" w:cstheme="minorHAnsi"/>
          <w:sz w:val="22"/>
          <w:szCs w:val="22"/>
        </w:rPr>
        <w:t>Le contractant s’engage donc à :</w:t>
      </w:r>
    </w:p>
    <w:p w14:paraId="1813F73B"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 xml:space="preserve">faire preuve de transparence et à répondre aux sollicitations des auditeurs, </w:t>
      </w:r>
    </w:p>
    <w:p w14:paraId="5BB1AC68"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mettre en œuvre les mesures correctives éventuellement nécessaires.</w:t>
      </w:r>
    </w:p>
    <w:p w14:paraId="4A3001A6" w14:textId="77777777" w:rsidR="00343978" w:rsidRPr="00100F6D" w:rsidRDefault="00343978" w:rsidP="00343978">
      <w:pPr>
        <w:tabs>
          <w:tab w:val="left" w:pos="709"/>
        </w:tabs>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100F6D" w:rsidRDefault="00343978" w:rsidP="00343978">
      <w:pPr>
        <w:tabs>
          <w:tab w:val="left" w:pos="709"/>
        </w:tabs>
        <w:ind w:left="567"/>
        <w:jc w:val="both"/>
        <w:rPr>
          <w:rFonts w:asciiTheme="minorHAnsi" w:hAnsiTheme="minorHAnsi" w:cstheme="minorHAnsi"/>
          <w:sz w:val="22"/>
          <w:szCs w:val="22"/>
        </w:rPr>
      </w:pPr>
    </w:p>
    <w:p w14:paraId="01E78B93" w14:textId="77777777" w:rsidR="00343978" w:rsidRPr="00100F6D" w:rsidRDefault="00343978" w:rsidP="00343978">
      <w:pPr>
        <w:tabs>
          <w:tab w:val="left" w:pos="1134"/>
        </w:tabs>
        <w:ind w:left="567"/>
        <w:jc w:val="both"/>
        <w:rPr>
          <w:rFonts w:asciiTheme="minorHAnsi" w:hAnsiTheme="minorHAnsi" w:cstheme="minorHAnsi"/>
          <w:sz w:val="22"/>
          <w:szCs w:val="22"/>
        </w:rPr>
      </w:pPr>
      <w:r w:rsidRPr="00100F6D">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100F6D"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100F6D" w:rsidRDefault="00343978" w:rsidP="00343978">
      <w:pPr>
        <w:tabs>
          <w:tab w:val="left" w:pos="0"/>
        </w:tabs>
        <w:ind w:firstLine="567"/>
        <w:jc w:val="both"/>
        <w:rPr>
          <w:rFonts w:asciiTheme="minorHAnsi" w:hAnsiTheme="minorHAnsi" w:cstheme="minorHAnsi"/>
          <w:sz w:val="22"/>
          <w:szCs w:val="22"/>
        </w:rPr>
      </w:pPr>
      <w:r w:rsidRPr="00100F6D">
        <w:rPr>
          <w:rFonts w:asciiTheme="minorHAnsi" w:hAnsiTheme="minorHAnsi" w:cstheme="minorHAnsi"/>
          <w:sz w:val="22"/>
          <w:szCs w:val="22"/>
        </w:rPr>
        <w:t>Les conclusions pourront prescrire la mise en œuvre d’actions ainsi qu’un délai de réalisation.</w:t>
      </w:r>
    </w:p>
    <w:p w14:paraId="6744C8B3" w14:textId="77777777" w:rsidR="00343978" w:rsidRPr="00100F6D"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100F6D" w:rsidRDefault="00343978" w:rsidP="00343978">
      <w:pPr>
        <w:pStyle w:val="u"/>
        <w:tabs>
          <w:tab w:val="left" w:pos="0"/>
        </w:tabs>
        <w:ind w:firstLine="5"/>
        <w:rPr>
          <w:rFonts w:asciiTheme="minorHAnsi" w:hAnsiTheme="minorHAnsi" w:cstheme="minorHAnsi"/>
          <w:szCs w:val="22"/>
        </w:rPr>
      </w:pPr>
      <w:r w:rsidRPr="00100F6D">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100F6D">
        <w:rPr>
          <w:rFonts w:asciiTheme="minorHAnsi" w:hAnsiTheme="minorHAnsi" w:cstheme="minorHAnsi"/>
          <w:szCs w:val="22"/>
        </w:rPr>
        <w:t>.</w:t>
      </w:r>
      <w:r w:rsidR="00895982" w:rsidRPr="00100F6D" w:rsidDel="00895982">
        <w:rPr>
          <w:rFonts w:asciiTheme="minorHAnsi" w:hAnsiTheme="minorHAnsi" w:cstheme="minorHAnsi"/>
          <w:szCs w:val="22"/>
        </w:rPr>
        <w:t xml:space="preserve"> </w:t>
      </w:r>
    </w:p>
    <w:p w14:paraId="1F0CCA3C" w14:textId="7D0AFFC0" w:rsidR="00CE4511" w:rsidRPr="00100F6D" w:rsidRDefault="00CE45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2024"/>
      <w:r w:rsidRPr="00100F6D">
        <w:rPr>
          <w:rFonts w:asciiTheme="minorHAnsi" w:hAnsiTheme="minorHAnsi"/>
          <w:b/>
          <w:caps/>
          <w:sz w:val="24"/>
          <w:u w:val="single"/>
        </w:rPr>
        <w:t>Dispositions finales</w:t>
      </w:r>
      <w:bookmarkEnd w:id="128"/>
    </w:p>
    <w:p w14:paraId="48B71179" w14:textId="77777777" w:rsidR="00800C6C" w:rsidRPr="00100F6D"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100F6D">
        <w:rPr>
          <w:rFonts w:asciiTheme="minorHAnsi" w:hAnsiTheme="minorHAnsi"/>
          <w:sz w:val="22"/>
          <w:szCs w:val="22"/>
        </w:rPr>
        <w:lastRenderedPageBreak/>
        <w:t>Déclaration</w:t>
      </w:r>
      <w:bookmarkEnd w:id="129"/>
      <w:bookmarkEnd w:id="130"/>
    </w:p>
    <w:p w14:paraId="32263935" w14:textId="77777777" w:rsidR="00053E76" w:rsidRPr="00100F6D" w:rsidRDefault="00053E76" w:rsidP="00E16B9C">
      <w:pPr>
        <w:ind w:left="567"/>
        <w:rPr>
          <w:rFonts w:asciiTheme="minorHAnsi" w:hAnsiTheme="minorHAnsi" w:cstheme="minorHAnsi"/>
          <w:sz w:val="22"/>
        </w:rPr>
      </w:pPr>
      <w:r w:rsidRPr="00100F6D">
        <w:rPr>
          <w:rFonts w:asciiTheme="minorHAnsi" w:hAnsiTheme="minorHAnsi" w:cstheme="minorHAnsi"/>
          <w:sz w:val="22"/>
        </w:rPr>
        <w:t xml:space="preserve">Le </w:t>
      </w:r>
      <w:r w:rsidR="009757EE" w:rsidRPr="00100F6D">
        <w:rPr>
          <w:rFonts w:asciiTheme="minorHAnsi" w:eastAsia="Times New Roman" w:hAnsiTheme="minorHAnsi" w:cstheme="minorHAnsi"/>
          <w:smallCaps/>
          <w:sz w:val="22"/>
        </w:rPr>
        <w:t>Contractant</w:t>
      </w:r>
      <w:r w:rsidR="009757EE" w:rsidRPr="00100F6D">
        <w:rPr>
          <w:rFonts w:ascii="Calibri" w:hAnsi="Calibri"/>
          <w:sz w:val="22"/>
        </w:rPr>
        <w:t>, les membres de son groupement, ses fournisseurs, ses prestataires, ses consultants et ses sous-traitants (comprenant les directeurs, employés et agents de ces entités)</w:t>
      </w:r>
      <w:r w:rsidRPr="00100F6D">
        <w:rPr>
          <w:rFonts w:asciiTheme="minorHAnsi" w:eastAsia="Times New Roman" w:hAnsiTheme="minorHAnsi" w:cstheme="minorHAnsi"/>
          <w:smallCaps/>
          <w:sz w:val="22"/>
        </w:rPr>
        <w:t xml:space="preserve"> </w:t>
      </w:r>
      <w:r w:rsidRPr="00100F6D">
        <w:rPr>
          <w:rFonts w:asciiTheme="minorHAnsi" w:hAnsiTheme="minorHAnsi" w:cstheme="minorHAnsi"/>
          <w:sz w:val="22"/>
        </w:rPr>
        <w:t>déclare</w:t>
      </w:r>
      <w:r w:rsidR="009757EE" w:rsidRPr="00100F6D">
        <w:rPr>
          <w:rFonts w:asciiTheme="minorHAnsi" w:hAnsiTheme="minorHAnsi" w:cstheme="minorHAnsi"/>
          <w:sz w:val="22"/>
        </w:rPr>
        <w:t>nt</w:t>
      </w:r>
      <w:r w:rsidRPr="00100F6D">
        <w:rPr>
          <w:rFonts w:asciiTheme="minorHAnsi" w:hAnsiTheme="minorHAnsi" w:cstheme="minorHAnsi"/>
          <w:sz w:val="22"/>
        </w:rPr>
        <w:t> :</w:t>
      </w:r>
    </w:p>
    <w:p w14:paraId="7F6D6F75" w14:textId="77777777" w:rsidR="00053E76" w:rsidRPr="00100F6D"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qu'aucune des personnes physiq</w:t>
      </w:r>
      <w:r w:rsidR="009757EE" w:rsidRPr="00100F6D">
        <w:rPr>
          <w:rFonts w:asciiTheme="minorHAnsi" w:hAnsiTheme="minorHAnsi" w:cs="Arial"/>
          <w:sz w:val="22"/>
          <w:szCs w:val="22"/>
        </w:rPr>
        <w:t xml:space="preserve">ues ou morales pour lesquelles </w:t>
      </w:r>
      <w:r w:rsidRPr="00100F6D">
        <w:rPr>
          <w:rFonts w:asciiTheme="minorHAnsi" w:hAnsiTheme="minorHAnsi" w:cs="Arial"/>
          <w:sz w:val="22"/>
          <w:szCs w:val="22"/>
        </w:rPr>
        <w:t>l</w:t>
      </w:r>
      <w:r w:rsidR="009757EE" w:rsidRPr="00100F6D">
        <w:rPr>
          <w:rFonts w:asciiTheme="minorHAnsi" w:hAnsiTheme="minorHAnsi" w:cs="Arial"/>
          <w:sz w:val="22"/>
          <w:szCs w:val="22"/>
        </w:rPr>
        <w:t xml:space="preserve">e </w:t>
      </w:r>
      <w:r w:rsidR="009757EE" w:rsidRPr="00100F6D">
        <w:rPr>
          <w:rFonts w:asciiTheme="minorHAnsi" w:eastAsia="Times New Roman" w:hAnsiTheme="minorHAnsi" w:cstheme="minorHAnsi"/>
          <w:smallCaps/>
          <w:sz w:val="22"/>
        </w:rPr>
        <w:t>Contractant</w:t>
      </w:r>
      <w:r w:rsidRPr="00100F6D">
        <w:rPr>
          <w:rFonts w:asciiTheme="minorHAnsi" w:hAnsiTheme="minorHAnsi" w:cs="Arial"/>
          <w:sz w:val="22"/>
          <w:szCs w:val="22"/>
        </w:rPr>
        <w:t xml:space="preserve"> intervient ne tombe sous le coup des interdictions découlant </w:t>
      </w:r>
      <w:r w:rsidR="00554974" w:rsidRPr="00100F6D">
        <w:rPr>
          <w:rFonts w:asciiTheme="minorHAnsi" w:hAnsiTheme="minorHAnsi" w:cs="Arial"/>
          <w:sz w:val="22"/>
          <w:szCs w:val="22"/>
        </w:rPr>
        <w:t>des articles L. 2141-1 à L 2141-</w:t>
      </w:r>
      <w:r w:rsidR="00255D91" w:rsidRPr="00100F6D">
        <w:rPr>
          <w:rFonts w:asciiTheme="minorHAnsi" w:hAnsiTheme="minorHAnsi" w:cs="Arial"/>
          <w:sz w:val="22"/>
          <w:szCs w:val="22"/>
        </w:rPr>
        <w:t>6</w:t>
      </w:r>
      <w:r w:rsidR="00391DA6" w:rsidRPr="00100F6D">
        <w:rPr>
          <w:rFonts w:asciiTheme="minorHAnsi" w:hAnsiTheme="minorHAnsi" w:cs="Arial"/>
          <w:sz w:val="22"/>
          <w:szCs w:val="22"/>
        </w:rPr>
        <w:t xml:space="preserve"> et  L. 2141-7 à L. 2141-11 </w:t>
      </w:r>
      <w:r w:rsidR="00554974" w:rsidRPr="00100F6D">
        <w:rPr>
          <w:rFonts w:asciiTheme="minorHAnsi" w:hAnsiTheme="minorHAnsi" w:cs="Arial"/>
          <w:sz w:val="22"/>
          <w:szCs w:val="22"/>
        </w:rPr>
        <w:t>du Code de la commande publique</w:t>
      </w:r>
      <w:r w:rsidR="0018104F" w:rsidRPr="00100F6D">
        <w:rPr>
          <w:rFonts w:asciiTheme="minorHAnsi" w:hAnsiTheme="minorHAnsi" w:cs="Arial"/>
          <w:sz w:val="22"/>
          <w:szCs w:val="22"/>
        </w:rPr>
        <w:t xml:space="preserve"> </w:t>
      </w:r>
      <w:r w:rsidRPr="00100F6D">
        <w:rPr>
          <w:rFonts w:asciiTheme="minorHAnsi" w:hAnsiTheme="minorHAnsi" w:cs="Arial"/>
          <w:sz w:val="22"/>
          <w:szCs w:val="22"/>
        </w:rPr>
        <w:t>ou d'une interdiction équivalente prononcée dans un au</w:t>
      </w:r>
      <w:r w:rsidR="00053E76" w:rsidRPr="00100F6D">
        <w:rPr>
          <w:rFonts w:asciiTheme="minorHAnsi" w:hAnsiTheme="minorHAnsi" w:cs="Arial"/>
          <w:sz w:val="22"/>
          <w:szCs w:val="22"/>
        </w:rPr>
        <w:t>tre pays ;</w:t>
      </w:r>
    </w:p>
    <w:p w14:paraId="2459C71A" w14:textId="77777777" w:rsidR="00AC2DCA" w:rsidRPr="00100F6D"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que les engagements pris</w:t>
      </w:r>
      <w:r w:rsidR="00D25794" w:rsidRPr="00100F6D">
        <w:rPr>
          <w:rFonts w:asciiTheme="minorHAnsi" w:hAnsiTheme="minorHAnsi" w:cs="Arial"/>
          <w:sz w:val="22"/>
          <w:szCs w:val="22"/>
        </w:rPr>
        <w:t xml:space="preserve"> par le </w:t>
      </w:r>
      <w:r w:rsidR="00D25794" w:rsidRPr="00100F6D">
        <w:rPr>
          <w:rFonts w:asciiTheme="minorHAnsi" w:eastAsia="Times New Roman" w:hAnsiTheme="minorHAnsi" w:cstheme="minorHAnsi"/>
          <w:smallCaps/>
          <w:sz w:val="22"/>
        </w:rPr>
        <w:t>Contractant</w:t>
      </w:r>
      <w:r w:rsidRPr="00100F6D">
        <w:rPr>
          <w:rFonts w:asciiTheme="minorHAnsi" w:hAnsiTheme="minorHAnsi" w:cs="Arial"/>
          <w:sz w:val="22"/>
          <w:szCs w:val="22"/>
        </w:rPr>
        <w:t xml:space="preserve"> dans le cadre du présent </w:t>
      </w:r>
      <w:r w:rsidR="00E9264A" w:rsidRPr="00100F6D">
        <w:rPr>
          <w:rFonts w:asciiTheme="minorHAnsi" w:hAnsiTheme="minorHAnsi" w:cs="Arial"/>
          <w:smallCaps/>
          <w:sz w:val="22"/>
          <w:szCs w:val="22"/>
        </w:rPr>
        <w:t xml:space="preserve">Contrat </w:t>
      </w:r>
      <w:r w:rsidRPr="00100F6D">
        <w:rPr>
          <w:rFonts w:asciiTheme="minorHAnsi" w:hAnsiTheme="minorHAnsi" w:cs="Arial"/>
          <w:sz w:val="22"/>
          <w:szCs w:val="22"/>
        </w:rPr>
        <w:t>ne le place pas en position de conflit d’intérêt pouvant notamment avoir un impact sur l’exécution du</w:t>
      </w:r>
      <w:r w:rsidR="00AC2DCA" w:rsidRPr="00100F6D">
        <w:rPr>
          <w:rFonts w:asciiTheme="minorHAnsi" w:hAnsiTheme="minorHAnsi" w:cs="Arial"/>
          <w:sz w:val="22"/>
          <w:szCs w:val="22"/>
        </w:rPr>
        <w:t>dit</w:t>
      </w:r>
      <w:r w:rsidRPr="00100F6D">
        <w:rPr>
          <w:rFonts w:asciiTheme="minorHAnsi" w:hAnsiTheme="minorHAnsi" w:cs="Arial"/>
          <w:sz w:val="22"/>
          <w:szCs w:val="22"/>
        </w:rPr>
        <w:t xml:space="preserve"> </w:t>
      </w:r>
      <w:r w:rsidR="00E9264A" w:rsidRPr="00100F6D">
        <w:rPr>
          <w:rFonts w:asciiTheme="minorHAnsi" w:hAnsiTheme="minorHAnsi" w:cs="Arial"/>
          <w:smallCaps/>
          <w:sz w:val="22"/>
          <w:szCs w:val="22"/>
        </w:rPr>
        <w:t>Contrat</w:t>
      </w:r>
      <w:r w:rsidR="00AC2DCA" w:rsidRPr="00100F6D">
        <w:rPr>
          <w:rFonts w:asciiTheme="minorHAnsi" w:hAnsiTheme="minorHAnsi" w:cs="Arial"/>
          <w:smallCaps/>
          <w:sz w:val="22"/>
          <w:szCs w:val="22"/>
        </w:rPr>
        <w:t> </w:t>
      </w:r>
      <w:r w:rsidR="00AC2DCA" w:rsidRPr="00100F6D">
        <w:rPr>
          <w:rFonts w:asciiTheme="minorHAnsi" w:hAnsiTheme="minorHAnsi" w:cs="Arial"/>
          <w:sz w:val="22"/>
          <w:szCs w:val="22"/>
        </w:rPr>
        <w:t>;</w:t>
      </w:r>
    </w:p>
    <w:p w14:paraId="233803FE" w14:textId="77777777" w:rsidR="00AC2DCA" w:rsidRPr="00100F6D" w:rsidRDefault="00D25794"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 xml:space="preserve">que le </w:t>
      </w:r>
      <w:r w:rsidRPr="00100F6D">
        <w:rPr>
          <w:rFonts w:asciiTheme="minorHAnsi" w:eastAsia="Times New Roman" w:hAnsiTheme="minorHAnsi" w:cstheme="minorHAnsi"/>
          <w:smallCaps/>
          <w:sz w:val="22"/>
        </w:rPr>
        <w:t>Contractant</w:t>
      </w:r>
      <w:r w:rsidRPr="00100F6D">
        <w:rPr>
          <w:rFonts w:asciiTheme="minorHAnsi" w:hAnsiTheme="minorHAnsi" w:cs="Arial"/>
          <w:sz w:val="22"/>
          <w:szCs w:val="22"/>
        </w:rPr>
        <w:t xml:space="preserve"> </w:t>
      </w:r>
      <w:r w:rsidR="00390537" w:rsidRPr="00100F6D">
        <w:rPr>
          <w:rFonts w:asciiTheme="minorHAnsi" w:hAnsiTheme="minorHAnsi" w:cs="Arial"/>
          <w:sz w:val="22"/>
          <w:szCs w:val="22"/>
        </w:rPr>
        <w:t xml:space="preserve">n’a commis aucun acte susceptible d'influencer le processus de réalisation du </w:t>
      </w:r>
      <w:r w:rsidR="00390537" w:rsidRPr="00100F6D">
        <w:rPr>
          <w:rFonts w:asciiTheme="minorHAnsi" w:hAnsiTheme="minorHAnsi" w:cs="Arial"/>
          <w:smallCaps/>
          <w:sz w:val="22"/>
          <w:szCs w:val="22"/>
        </w:rPr>
        <w:t>Projet</w:t>
      </w:r>
      <w:r w:rsidR="00390537" w:rsidRPr="00100F6D">
        <w:rPr>
          <w:rFonts w:asciiTheme="minorHAnsi" w:hAnsiTheme="minorHAnsi" w:cs="Arial"/>
          <w:sz w:val="22"/>
          <w:szCs w:val="22"/>
        </w:rPr>
        <w:t xml:space="preserve"> au détriment du Bénéf</w:t>
      </w:r>
      <w:r w:rsidR="00AC2DCA" w:rsidRPr="00100F6D">
        <w:rPr>
          <w:rFonts w:asciiTheme="minorHAnsi" w:hAnsiTheme="minorHAnsi" w:cs="Arial"/>
          <w:sz w:val="22"/>
          <w:szCs w:val="22"/>
        </w:rPr>
        <w:t>iciaire et notamment qu'aucune e</w:t>
      </w:r>
      <w:r w:rsidR="00390537" w:rsidRPr="00100F6D">
        <w:rPr>
          <w:rFonts w:asciiTheme="minorHAnsi" w:hAnsiTheme="minorHAnsi" w:cs="Arial"/>
          <w:sz w:val="22"/>
          <w:szCs w:val="22"/>
        </w:rPr>
        <w:t>ntente n'e</w:t>
      </w:r>
      <w:r w:rsidR="00AC2DCA" w:rsidRPr="00100F6D">
        <w:rPr>
          <w:rFonts w:asciiTheme="minorHAnsi" w:hAnsiTheme="minorHAnsi" w:cs="Arial"/>
          <w:sz w:val="22"/>
          <w:szCs w:val="22"/>
        </w:rPr>
        <w:t>st intervenue et n'interviendra ;</w:t>
      </w:r>
    </w:p>
    <w:p w14:paraId="36FDEF0E" w14:textId="77777777" w:rsidR="00AC2DCA" w:rsidRPr="00100F6D" w:rsidRDefault="00390537"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 xml:space="preserve">que la négociation, la passation et l'exécution du </w:t>
      </w:r>
      <w:r w:rsidR="00C3644B" w:rsidRPr="00100F6D">
        <w:rPr>
          <w:rFonts w:asciiTheme="minorHAnsi" w:hAnsiTheme="minorHAnsi" w:cs="Arial"/>
          <w:smallCaps/>
          <w:sz w:val="22"/>
          <w:szCs w:val="22"/>
        </w:rPr>
        <w:t>C</w:t>
      </w:r>
      <w:r w:rsidRPr="00100F6D">
        <w:rPr>
          <w:rFonts w:asciiTheme="minorHAnsi" w:hAnsiTheme="minorHAnsi" w:cs="Arial"/>
          <w:smallCaps/>
          <w:sz w:val="22"/>
          <w:szCs w:val="22"/>
        </w:rPr>
        <w:t>ontrat</w:t>
      </w:r>
      <w:r w:rsidRPr="00100F6D">
        <w:rPr>
          <w:rFonts w:asciiTheme="minorHAnsi" w:hAnsiTheme="minorHAnsi" w:cs="Arial"/>
          <w:sz w:val="22"/>
          <w:szCs w:val="22"/>
        </w:rPr>
        <w:t xml:space="preserve"> n'</w:t>
      </w:r>
      <w:r w:rsidR="00D25794" w:rsidRPr="00100F6D">
        <w:rPr>
          <w:rFonts w:asciiTheme="minorHAnsi" w:hAnsiTheme="minorHAnsi" w:cs="Arial"/>
          <w:sz w:val="22"/>
          <w:szCs w:val="22"/>
        </w:rPr>
        <w:t>ont</w:t>
      </w:r>
      <w:r w:rsidRPr="00100F6D">
        <w:rPr>
          <w:rFonts w:asciiTheme="minorHAnsi" w:hAnsiTheme="minorHAnsi" w:cs="Arial"/>
          <w:sz w:val="22"/>
          <w:szCs w:val="22"/>
        </w:rPr>
        <w:t xml:space="preserve"> pas donné lieu et ne donner</w:t>
      </w:r>
      <w:r w:rsidR="00D25794" w:rsidRPr="00100F6D">
        <w:rPr>
          <w:rFonts w:asciiTheme="minorHAnsi" w:hAnsiTheme="minorHAnsi" w:cs="Arial"/>
          <w:sz w:val="22"/>
          <w:szCs w:val="22"/>
        </w:rPr>
        <w:t>ont</w:t>
      </w:r>
      <w:r w:rsidRPr="00100F6D">
        <w:rPr>
          <w:rFonts w:asciiTheme="minorHAnsi" w:hAnsiTheme="minorHAnsi" w:cs="Arial"/>
          <w:sz w:val="22"/>
          <w:szCs w:val="22"/>
        </w:rPr>
        <w:t xml:space="preserve"> pas lieu à un acte de corruption tel que </w:t>
      </w:r>
      <w:r w:rsidR="00FF3A69" w:rsidRPr="00100F6D">
        <w:rPr>
          <w:rFonts w:asciiTheme="minorHAnsi" w:hAnsiTheme="minorHAnsi" w:cs="Arial"/>
          <w:sz w:val="22"/>
          <w:szCs w:val="22"/>
        </w:rPr>
        <w:t>défini</w:t>
      </w:r>
      <w:r w:rsidRPr="00100F6D">
        <w:rPr>
          <w:rFonts w:asciiTheme="minorHAnsi" w:hAnsiTheme="minorHAnsi" w:cs="Arial"/>
          <w:sz w:val="22"/>
          <w:szCs w:val="22"/>
        </w:rPr>
        <w:t xml:space="preserve"> par la Convention des Nations Unies contre la corruption en</w:t>
      </w:r>
      <w:r w:rsidR="00FF3A69" w:rsidRPr="00100F6D">
        <w:rPr>
          <w:rFonts w:asciiTheme="minorHAnsi" w:hAnsiTheme="minorHAnsi" w:cs="Arial"/>
          <w:sz w:val="22"/>
          <w:szCs w:val="22"/>
        </w:rPr>
        <w:t xml:space="preserve"> </w:t>
      </w:r>
      <w:r w:rsidRPr="00100F6D">
        <w:rPr>
          <w:rFonts w:asciiTheme="minorHAnsi" w:hAnsiTheme="minorHAnsi" w:cs="Arial"/>
          <w:sz w:val="22"/>
          <w:szCs w:val="22"/>
        </w:rPr>
        <w:t>date du 3</w:t>
      </w:r>
      <w:r w:rsidR="00D25794" w:rsidRPr="00100F6D">
        <w:rPr>
          <w:rFonts w:asciiTheme="minorHAnsi" w:hAnsiTheme="minorHAnsi" w:cs="Arial"/>
          <w:sz w:val="22"/>
          <w:szCs w:val="22"/>
        </w:rPr>
        <w:t>1</w:t>
      </w:r>
      <w:r w:rsidRPr="00100F6D">
        <w:rPr>
          <w:rFonts w:asciiTheme="minorHAnsi" w:hAnsiTheme="minorHAnsi" w:cs="Arial"/>
          <w:sz w:val="22"/>
          <w:szCs w:val="22"/>
        </w:rPr>
        <w:t xml:space="preserve"> octobre 2003</w:t>
      </w:r>
      <w:r w:rsidR="00AC2DCA" w:rsidRPr="00100F6D">
        <w:rPr>
          <w:rFonts w:asciiTheme="minorHAnsi" w:hAnsiTheme="minorHAnsi" w:cs="Arial"/>
          <w:sz w:val="22"/>
          <w:szCs w:val="22"/>
        </w:rPr>
        <w:t> ;</w:t>
      </w:r>
    </w:p>
    <w:p w14:paraId="46C8C660" w14:textId="77777777" w:rsidR="001865CB" w:rsidRPr="00100F6D" w:rsidRDefault="00893886" w:rsidP="006B6C1B">
      <w:pPr>
        <w:pStyle w:val="Paragraphedeliste"/>
        <w:numPr>
          <w:ilvl w:val="0"/>
          <w:numId w:val="22"/>
        </w:numPr>
        <w:spacing w:before="120" w:line="240" w:lineRule="auto"/>
        <w:ind w:left="993" w:hanging="284"/>
        <w:jc w:val="both"/>
        <w:rPr>
          <w:rFonts w:asciiTheme="minorHAnsi" w:hAnsiTheme="minorHAnsi" w:cs="Arial"/>
          <w:sz w:val="24"/>
          <w:szCs w:val="22"/>
        </w:rPr>
      </w:pPr>
      <w:r w:rsidRPr="00100F6D">
        <w:rPr>
          <w:rFonts w:asciiTheme="minorHAnsi" w:hAnsiTheme="minorHAnsi" w:cs="Arial"/>
          <w:sz w:val="22"/>
          <w:szCs w:val="22"/>
        </w:rPr>
        <w:t>accepte</w:t>
      </w:r>
      <w:r w:rsidR="00AC2DCA" w:rsidRPr="00100F6D">
        <w:rPr>
          <w:rFonts w:asciiTheme="minorHAnsi" w:hAnsiTheme="minorHAnsi" w:cs="Arial"/>
          <w:sz w:val="22"/>
          <w:szCs w:val="22"/>
        </w:rPr>
        <w:t>r,</w:t>
      </w:r>
      <w:r w:rsidRPr="00100F6D">
        <w:rPr>
          <w:rFonts w:asciiTheme="minorHAnsi" w:hAnsiTheme="minorHAnsi" w:cs="Arial"/>
          <w:sz w:val="22"/>
          <w:szCs w:val="22"/>
        </w:rPr>
        <w:t xml:space="preserve"> le cas échéant</w:t>
      </w:r>
      <w:r w:rsidR="00AC2DCA" w:rsidRPr="00100F6D">
        <w:rPr>
          <w:rFonts w:asciiTheme="minorHAnsi" w:hAnsiTheme="minorHAnsi" w:cs="Arial"/>
          <w:sz w:val="22"/>
          <w:szCs w:val="22"/>
        </w:rPr>
        <w:t>,</w:t>
      </w:r>
      <w:r w:rsidRPr="00100F6D">
        <w:rPr>
          <w:rFonts w:asciiTheme="minorHAnsi" w:hAnsiTheme="minorHAnsi" w:cs="Arial"/>
          <w:sz w:val="22"/>
          <w:szCs w:val="22"/>
        </w:rPr>
        <w:t xml:space="preserve"> la notification du </w:t>
      </w:r>
      <w:r w:rsidR="00E9264A" w:rsidRPr="00100F6D">
        <w:rPr>
          <w:rFonts w:asciiTheme="minorHAnsi" w:hAnsiTheme="minorHAnsi" w:cs="Arial"/>
          <w:smallCaps/>
          <w:sz w:val="22"/>
          <w:szCs w:val="22"/>
        </w:rPr>
        <w:t>Contrat</w:t>
      </w:r>
      <w:r w:rsidRPr="00100F6D">
        <w:rPr>
          <w:rFonts w:asciiTheme="minorHAnsi" w:hAnsiTheme="minorHAnsi" w:cs="Arial"/>
          <w:sz w:val="22"/>
          <w:szCs w:val="22"/>
        </w:rPr>
        <w:t xml:space="preserve"> selon les procédés habituellement en cours, sous forme dématérialisée.</w:t>
      </w:r>
    </w:p>
    <w:p w14:paraId="1F6F25FF" w14:textId="77777777" w:rsidR="00B15A37" w:rsidRPr="00100F6D"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Pr="00100F6D" w:rsidRDefault="00226D8C" w:rsidP="00E16B9C">
      <w:pPr>
        <w:pStyle w:val="En-tte"/>
        <w:tabs>
          <w:tab w:val="left" w:pos="993"/>
        </w:tabs>
        <w:ind w:left="567"/>
        <w:jc w:val="both"/>
        <w:rPr>
          <w:rFonts w:ascii="Calibri" w:hAnsi="Calibri"/>
          <w:sz w:val="22"/>
        </w:rPr>
      </w:pPr>
      <w:r w:rsidRPr="00100F6D">
        <w:rPr>
          <w:rFonts w:ascii="Calibri" w:hAnsi="Calibri"/>
          <w:sz w:val="22"/>
        </w:rPr>
        <w:t xml:space="preserve">En outre, </w:t>
      </w:r>
    </w:p>
    <w:p w14:paraId="64DB2272" w14:textId="77777777" w:rsidR="00226D8C" w:rsidRPr="00100F6D" w:rsidRDefault="00A335B0" w:rsidP="00A335B0">
      <w:pPr>
        <w:pStyle w:val="En-tte"/>
        <w:tabs>
          <w:tab w:val="left" w:pos="993"/>
        </w:tabs>
        <w:ind w:left="567"/>
        <w:jc w:val="both"/>
        <w:rPr>
          <w:rFonts w:ascii="Calibri" w:hAnsi="Calibri"/>
          <w:sz w:val="22"/>
        </w:rPr>
      </w:pPr>
      <w:r w:rsidRPr="00100F6D">
        <w:rPr>
          <w:rFonts w:ascii="Calibri" w:hAnsi="Calibri"/>
          <w:sz w:val="22"/>
        </w:rPr>
        <w:t>Le</w:t>
      </w:r>
      <w:r w:rsidR="00226D8C" w:rsidRPr="00100F6D">
        <w:rPr>
          <w:rFonts w:ascii="Calibri" w:hAnsi="Calibri"/>
          <w:sz w:val="22"/>
        </w:rPr>
        <w:t xml:space="preserve"> </w:t>
      </w:r>
      <w:r w:rsidR="00226D8C" w:rsidRPr="00100F6D">
        <w:rPr>
          <w:rFonts w:asciiTheme="minorHAnsi" w:eastAsia="Times New Roman" w:hAnsiTheme="minorHAnsi" w:cstheme="minorHAnsi"/>
          <w:smallCaps/>
          <w:sz w:val="22"/>
        </w:rPr>
        <w:t>Contractant</w:t>
      </w:r>
      <w:r w:rsidR="00226D8C" w:rsidRPr="00100F6D">
        <w:rPr>
          <w:rFonts w:ascii="Calibri" w:hAnsi="Calibri"/>
          <w:sz w:val="22"/>
        </w:rPr>
        <w:t>, les membres de son groupement, ses fournisseurs, ses prestataires, ses consultants et ses sous-traitants (comprenant les directeurs, employés et a</w:t>
      </w:r>
      <w:r w:rsidRPr="00100F6D">
        <w:rPr>
          <w:rFonts w:ascii="Calibri" w:hAnsi="Calibri"/>
          <w:sz w:val="22"/>
        </w:rPr>
        <w:t>gents de ces entités) attestent</w:t>
      </w:r>
      <w:r w:rsidR="00226D8C" w:rsidRPr="00100F6D">
        <w:rPr>
          <w:rFonts w:ascii="Calibri" w:hAnsi="Calibri"/>
          <w:sz w:val="22"/>
        </w:rPr>
        <w:t xml:space="preserve"> : </w:t>
      </w:r>
    </w:p>
    <w:p w14:paraId="45C54C66" w14:textId="77777777" w:rsidR="00226D8C" w:rsidRPr="00100F6D" w:rsidRDefault="00A335B0" w:rsidP="006B6C1B">
      <w:pPr>
        <w:pStyle w:val="En-tte"/>
        <w:numPr>
          <w:ilvl w:val="0"/>
          <w:numId w:val="20"/>
        </w:numPr>
        <w:ind w:left="993" w:hanging="284"/>
        <w:jc w:val="both"/>
        <w:rPr>
          <w:rFonts w:ascii="Calibri" w:hAnsi="Calibri"/>
          <w:sz w:val="22"/>
        </w:rPr>
      </w:pPr>
      <w:r w:rsidRPr="00100F6D">
        <w:rPr>
          <w:rFonts w:ascii="Calibri" w:hAnsi="Calibri"/>
          <w:sz w:val="22"/>
        </w:rPr>
        <w:t xml:space="preserve">qu’ils </w:t>
      </w:r>
      <w:r w:rsidR="00226D8C" w:rsidRPr="00100F6D">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sidRPr="00100F6D">
          <w:rPr>
            <w:rStyle w:val="Lienhypertexte"/>
            <w:rFonts w:ascii="Calibri" w:hAnsi="Calibri"/>
            <w:sz w:val="22"/>
          </w:rPr>
          <w:t>https://www.sanctionsmap.eu</w:t>
        </w:r>
      </w:hyperlink>
      <w:r w:rsidR="00E16B9C" w:rsidRPr="00100F6D">
        <w:rPr>
          <w:rFonts w:ascii="Calibri" w:hAnsi="Calibri"/>
          <w:sz w:val="22"/>
        </w:rPr>
        <w:t xml:space="preserve"> ;</w:t>
      </w:r>
    </w:p>
    <w:p w14:paraId="3D10CEDB" w14:textId="77777777" w:rsidR="00226D8C" w:rsidRPr="00100F6D" w:rsidRDefault="00A335B0" w:rsidP="006B6C1B">
      <w:pPr>
        <w:pStyle w:val="En-tte"/>
        <w:numPr>
          <w:ilvl w:val="0"/>
          <w:numId w:val="20"/>
        </w:numPr>
        <w:ind w:left="993" w:hanging="284"/>
        <w:jc w:val="both"/>
        <w:rPr>
          <w:rFonts w:asciiTheme="minorHAnsi" w:hAnsiTheme="minorHAnsi" w:cstheme="minorHAnsi"/>
          <w:sz w:val="22"/>
          <w:szCs w:val="22"/>
        </w:rPr>
      </w:pPr>
      <w:r w:rsidRPr="00100F6D">
        <w:rPr>
          <w:rFonts w:asciiTheme="minorHAnsi" w:hAnsiTheme="minorHAnsi" w:cstheme="minorHAnsi"/>
          <w:sz w:val="22"/>
          <w:szCs w:val="22"/>
        </w:rPr>
        <w:t xml:space="preserve">qu’ils </w:t>
      </w:r>
      <w:r w:rsidR="00226D8C" w:rsidRPr="00100F6D">
        <w:rPr>
          <w:rFonts w:asciiTheme="minorHAnsi" w:hAnsiTheme="minorHAnsi" w:cstheme="minorHAnsi"/>
          <w:sz w:val="22"/>
          <w:szCs w:val="22"/>
        </w:rPr>
        <w:t>ne figurent pas sur les listes de sanctions financières adoptées par les Nations Unies, l’Union Européenne</w:t>
      </w:r>
      <w:r w:rsidR="00A544EF" w:rsidRPr="00100F6D">
        <w:rPr>
          <w:rFonts w:asciiTheme="minorHAnsi" w:hAnsiTheme="minorHAnsi" w:cstheme="minorHAnsi"/>
          <w:sz w:val="22"/>
          <w:szCs w:val="22"/>
        </w:rPr>
        <w:t>,</w:t>
      </w:r>
      <w:r w:rsidR="00226D8C" w:rsidRPr="00100F6D">
        <w:rPr>
          <w:rFonts w:asciiTheme="minorHAnsi" w:hAnsiTheme="minorHAnsi" w:cstheme="minorHAnsi"/>
          <w:sz w:val="22"/>
          <w:szCs w:val="22"/>
        </w:rPr>
        <w:t xml:space="preserve"> </w:t>
      </w:r>
      <w:r w:rsidR="00A544EF" w:rsidRPr="00100F6D">
        <w:rPr>
          <w:rFonts w:asciiTheme="minorHAnsi" w:hAnsiTheme="minorHAnsi" w:cstheme="minorHAnsi"/>
          <w:sz w:val="22"/>
          <w:szCs w:val="22"/>
        </w:rPr>
        <w:t>la France et/ou les États-Unis</w:t>
      </w:r>
      <w:r w:rsidR="00226D8C" w:rsidRPr="00100F6D">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100F6D" w:rsidRDefault="00226D8C" w:rsidP="006B6C1B">
      <w:pPr>
        <w:pStyle w:val="En-tte"/>
        <w:numPr>
          <w:ilvl w:val="0"/>
          <w:numId w:val="21"/>
        </w:numPr>
        <w:ind w:left="1127" w:hanging="141"/>
        <w:jc w:val="both"/>
        <w:rPr>
          <w:rFonts w:asciiTheme="minorHAnsi" w:hAnsiTheme="minorHAnsi" w:cstheme="minorHAnsi"/>
          <w:sz w:val="22"/>
          <w:szCs w:val="22"/>
        </w:rPr>
      </w:pPr>
      <w:r w:rsidRPr="00100F6D">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100F6D">
          <w:rPr>
            <w:rStyle w:val="Lienhypertexte"/>
            <w:rFonts w:asciiTheme="minorHAnsi" w:hAnsiTheme="minorHAnsi" w:cstheme="minorHAnsi"/>
            <w:sz w:val="22"/>
            <w:szCs w:val="22"/>
          </w:rPr>
          <w:t>https://www.un.org/securitycouncil/content/un-sc-consolidated-list</w:t>
        </w:r>
      </w:hyperlink>
      <w:r w:rsidR="00DE3D67" w:rsidRPr="00100F6D">
        <w:rPr>
          <w:rFonts w:asciiTheme="minorHAnsi" w:hAnsiTheme="minorHAnsi" w:cstheme="minorHAnsi"/>
          <w:sz w:val="22"/>
          <w:szCs w:val="22"/>
        </w:rPr>
        <w:t>;</w:t>
      </w:r>
    </w:p>
    <w:p w14:paraId="4B5A9A63" w14:textId="77777777" w:rsidR="00226D8C" w:rsidRPr="00100F6D" w:rsidRDefault="00226D8C" w:rsidP="006B6C1B">
      <w:pPr>
        <w:pStyle w:val="En-tte"/>
        <w:numPr>
          <w:ilvl w:val="0"/>
          <w:numId w:val="21"/>
        </w:numPr>
        <w:ind w:left="1127" w:hanging="141"/>
        <w:jc w:val="both"/>
        <w:rPr>
          <w:rFonts w:asciiTheme="minorHAnsi" w:hAnsiTheme="minorHAnsi" w:cstheme="minorHAnsi"/>
          <w:sz w:val="22"/>
          <w:szCs w:val="22"/>
        </w:rPr>
      </w:pPr>
      <w:r w:rsidRPr="00100F6D">
        <w:rPr>
          <w:rFonts w:asciiTheme="minorHAnsi" w:hAnsiTheme="minorHAnsi" w:cstheme="minorHAnsi"/>
          <w:sz w:val="22"/>
          <w:szCs w:val="22"/>
        </w:rPr>
        <w:t xml:space="preserve">pour l’Union européenne, les listes peuvent être consultées à l’adresse suivante : </w:t>
      </w:r>
      <w:hyperlink r:id="rId22" w:history="1">
        <w:r w:rsidRPr="00100F6D">
          <w:rPr>
            <w:rStyle w:val="Lienhypertexte"/>
            <w:rFonts w:asciiTheme="minorHAnsi" w:hAnsiTheme="minorHAnsi" w:cstheme="minorHAnsi"/>
            <w:sz w:val="22"/>
            <w:szCs w:val="22"/>
          </w:rPr>
          <w:t>https://www.sanctionsmap.eu</w:t>
        </w:r>
      </w:hyperlink>
      <w:r w:rsidRPr="00100F6D">
        <w:rPr>
          <w:rFonts w:asciiTheme="minorHAnsi" w:hAnsiTheme="minorHAnsi" w:cstheme="minorHAnsi"/>
          <w:sz w:val="22"/>
          <w:szCs w:val="22"/>
        </w:rPr>
        <w:t>,</w:t>
      </w:r>
    </w:p>
    <w:p w14:paraId="6DE19942" w14:textId="12E121C9" w:rsidR="00A544EF" w:rsidRPr="00100F6D" w:rsidRDefault="00226D8C" w:rsidP="006B6C1B">
      <w:pPr>
        <w:pStyle w:val="En-tte"/>
        <w:numPr>
          <w:ilvl w:val="0"/>
          <w:numId w:val="21"/>
        </w:numPr>
        <w:ind w:left="1127" w:hanging="141"/>
        <w:jc w:val="both"/>
        <w:rPr>
          <w:rFonts w:asciiTheme="minorHAnsi" w:hAnsiTheme="minorHAnsi" w:cstheme="minorHAnsi"/>
          <w:sz w:val="22"/>
          <w:szCs w:val="22"/>
        </w:rPr>
      </w:pPr>
      <w:r w:rsidRPr="00100F6D">
        <w:rPr>
          <w:rFonts w:asciiTheme="minorHAnsi" w:hAnsiTheme="minorHAnsi" w:cstheme="minorHAnsi"/>
          <w:sz w:val="22"/>
          <w:szCs w:val="22"/>
        </w:rPr>
        <w:t xml:space="preserve">pour la France, voir : </w:t>
      </w:r>
      <w:hyperlink r:id="rId23" w:history="1">
        <w:r w:rsidR="00DE3D67" w:rsidRPr="00100F6D">
          <w:rPr>
            <w:rStyle w:val="Lienhypertexte"/>
            <w:rFonts w:asciiTheme="minorHAnsi" w:hAnsiTheme="minorHAnsi" w:cstheme="minorHAnsi"/>
            <w:sz w:val="22"/>
            <w:szCs w:val="22"/>
          </w:rPr>
          <w:t>https://gels-avoirs.dgtresor.gouv.fr/List</w:t>
        </w:r>
      </w:hyperlink>
      <w:r w:rsidR="00DE3D67" w:rsidRPr="00100F6D">
        <w:rPr>
          <w:rFonts w:asciiTheme="minorHAnsi" w:hAnsiTheme="minorHAnsi" w:cstheme="minorHAnsi"/>
          <w:sz w:val="22"/>
          <w:szCs w:val="22"/>
        </w:rPr>
        <w:t>;</w:t>
      </w:r>
    </w:p>
    <w:p w14:paraId="02C17C41" w14:textId="77777777" w:rsidR="00226D8C" w:rsidRPr="00100F6D" w:rsidRDefault="00A544EF" w:rsidP="006B6C1B">
      <w:pPr>
        <w:pStyle w:val="En-tte"/>
        <w:numPr>
          <w:ilvl w:val="0"/>
          <w:numId w:val="21"/>
        </w:numPr>
        <w:ind w:left="1127" w:hanging="141"/>
        <w:jc w:val="both"/>
        <w:rPr>
          <w:rFonts w:asciiTheme="minorHAnsi" w:hAnsiTheme="minorHAnsi" w:cstheme="minorHAnsi"/>
          <w:sz w:val="22"/>
          <w:szCs w:val="22"/>
        </w:rPr>
      </w:pPr>
      <w:r w:rsidRPr="00100F6D">
        <w:rPr>
          <w:rFonts w:ascii="Calibri" w:hAnsi="Calibri" w:cs="Calibri"/>
          <w:sz w:val="22"/>
          <w:szCs w:val="22"/>
        </w:rPr>
        <w:t xml:space="preserve">pour les Etats-Unis, voir : </w:t>
      </w:r>
      <w:hyperlink r:id="rId24" w:history="1">
        <w:r w:rsidRPr="00100F6D">
          <w:rPr>
            <w:rStyle w:val="Lienhypertexte"/>
            <w:rFonts w:ascii="Calibri" w:hAnsi="Calibri" w:cs="Calibri"/>
            <w:sz w:val="22"/>
            <w:szCs w:val="22"/>
          </w:rPr>
          <w:t>https://home.treasury.gov/policy-issues/financial-sanctions/sanctions-programs-and-country-information</w:t>
        </w:r>
      </w:hyperlink>
      <w:r w:rsidRPr="00100F6D">
        <w:rPr>
          <w:rFonts w:ascii="Calibri" w:hAnsi="Calibri" w:cs="Calibri"/>
          <w:sz w:val="22"/>
          <w:szCs w:val="22"/>
        </w:rPr>
        <w:t>;</w:t>
      </w:r>
    </w:p>
    <w:p w14:paraId="53C88614" w14:textId="77777777" w:rsidR="00A335B0" w:rsidRPr="00100F6D" w:rsidRDefault="00A335B0" w:rsidP="006B6C1B">
      <w:pPr>
        <w:pStyle w:val="En-tte"/>
        <w:numPr>
          <w:ilvl w:val="0"/>
          <w:numId w:val="20"/>
        </w:numPr>
        <w:ind w:left="993" w:hanging="284"/>
        <w:jc w:val="both"/>
        <w:rPr>
          <w:rFonts w:asciiTheme="minorHAnsi" w:hAnsiTheme="minorHAnsi" w:cstheme="minorHAnsi"/>
          <w:sz w:val="22"/>
          <w:szCs w:val="22"/>
        </w:rPr>
      </w:pPr>
      <w:r w:rsidRPr="00100F6D">
        <w:rPr>
          <w:rFonts w:asciiTheme="minorHAnsi" w:eastAsia="Calibri" w:hAnsiTheme="minorHAnsi" w:cstheme="minorHAnsi"/>
          <w:sz w:val="22"/>
          <w:szCs w:val="22"/>
          <w:lang w:eastAsia="en-US"/>
        </w:rPr>
        <w:t xml:space="preserve">qu’ils </w:t>
      </w:r>
      <w:r w:rsidR="00226D8C" w:rsidRPr="00100F6D">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100F6D">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sidRPr="00100F6D">
          <w:rPr>
            <w:rStyle w:val="Lienhypertexte"/>
            <w:rFonts w:asciiTheme="minorHAnsi" w:hAnsiTheme="minorHAnsi" w:cstheme="minorHAnsi"/>
            <w:sz w:val="22"/>
            <w:szCs w:val="22"/>
          </w:rPr>
          <w:t>https://www.worldbank.org/en/projects-operations/procurement/debarred-firms</w:t>
        </w:r>
      </w:hyperlink>
      <w:r w:rsidR="00226D8C" w:rsidRPr="00100F6D">
        <w:rPr>
          <w:rFonts w:asciiTheme="minorHAnsi" w:hAnsiTheme="minorHAnsi" w:cstheme="minorHAnsi"/>
          <w:sz w:val="22"/>
          <w:szCs w:val="22"/>
        </w:rPr>
        <w:t xml:space="preserve">  </w:t>
      </w:r>
    </w:p>
    <w:p w14:paraId="4ECC9D83" w14:textId="77777777" w:rsidR="00226D8C" w:rsidRPr="00100F6D" w:rsidRDefault="00A335B0" w:rsidP="00A335B0">
      <w:pPr>
        <w:pStyle w:val="En-tte"/>
        <w:ind w:left="567"/>
        <w:jc w:val="both"/>
        <w:rPr>
          <w:rFonts w:asciiTheme="minorHAnsi" w:hAnsiTheme="minorHAnsi" w:cstheme="minorHAnsi"/>
          <w:i/>
          <w:sz w:val="22"/>
          <w:szCs w:val="22"/>
        </w:rPr>
      </w:pPr>
      <w:r w:rsidRPr="00100F6D">
        <w:rPr>
          <w:rFonts w:asciiTheme="minorHAnsi" w:hAnsiTheme="minorHAnsi" w:cstheme="minorHAnsi"/>
          <w:i/>
          <w:sz w:val="22"/>
          <w:szCs w:val="22"/>
        </w:rPr>
        <w:lastRenderedPageBreak/>
        <w:t>D</w:t>
      </w:r>
      <w:r w:rsidR="00226D8C" w:rsidRPr="00100F6D">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100F6D">
        <w:rPr>
          <w:rFonts w:asciiTheme="minorHAnsi" w:hAnsiTheme="minorHAnsi" w:cstheme="minorHAnsi"/>
          <w:i/>
          <w:sz w:val="22"/>
          <w:szCs w:val="22"/>
        </w:rPr>
        <w:t>tinente dans le cadre du marché</w:t>
      </w:r>
      <w:r w:rsidR="00226D8C" w:rsidRPr="00100F6D">
        <w:rPr>
          <w:rFonts w:asciiTheme="minorHAnsi" w:hAnsiTheme="minorHAnsi" w:cstheme="minorHAnsi"/>
          <w:i/>
          <w:sz w:val="22"/>
          <w:szCs w:val="22"/>
        </w:rPr>
        <w:t>.</w:t>
      </w:r>
    </w:p>
    <w:p w14:paraId="1AC378D1" w14:textId="77777777" w:rsidR="00B15A37" w:rsidRPr="00100F6D" w:rsidRDefault="00B15A37" w:rsidP="00B15A37">
      <w:pPr>
        <w:pStyle w:val="En-tte"/>
        <w:ind w:left="993"/>
        <w:jc w:val="both"/>
        <w:rPr>
          <w:rFonts w:asciiTheme="minorHAnsi" w:hAnsiTheme="minorHAnsi" w:cstheme="minorHAnsi"/>
          <w:sz w:val="22"/>
          <w:szCs w:val="22"/>
        </w:rPr>
      </w:pPr>
    </w:p>
    <w:p w14:paraId="57FEB5AD" w14:textId="77777777" w:rsidR="00B15A37" w:rsidRPr="00100F6D" w:rsidRDefault="00E16B9C" w:rsidP="00B15A37">
      <w:pPr>
        <w:spacing w:line="260" w:lineRule="atLeast"/>
        <w:ind w:left="567"/>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Enfin,</w:t>
      </w:r>
      <w:r w:rsidR="00226D8C" w:rsidRPr="00100F6D">
        <w:rPr>
          <w:rFonts w:asciiTheme="minorHAnsi" w:hAnsiTheme="minorHAnsi" w:cstheme="minorHAnsi"/>
          <w:sz w:val="22"/>
          <w:szCs w:val="22"/>
        </w:rPr>
        <w:t xml:space="preserve"> </w:t>
      </w:r>
      <w:r w:rsidRPr="00100F6D">
        <w:rPr>
          <w:rFonts w:asciiTheme="minorHAnsi" w:eastAsia="Calibri" w:hAnsiTheme="minorHAnsi" w:cstheme="minorHAnsi"/>
          <w:sz w:val="22"/>
          <w:szCs w:val="22"/>
          <w:lang w:eastAsia="en-US"/>
        </w:rPr>
        <w:t>l</w:t>
      </w:r>
      <w:r w:rsidR="00226D8C" w:rsidRPr="00100F6D">
        <w:rPr>
          <w:rFonts w:asciiTheme="minorHAnsi" w:eastAsia="Calibri" w:hAnsiTheme="minorHAnsi" w:cstheme="minorHAnsi"/>
          <w:sz w:val="22"/>
          <w:szCs w:val="22"/>
          <w:lang w:eastAsia="en-US"/>
        </w:rPr>
        <w:t xml:space="preserve">e </w:t>
      </w:r>
      <w:r w:rsidRPr="00100F6D">
        <w:rPr>
          <w:rFonts w:asciiTheme="minorHAnsi" w:eastAsia="Times New Roman" w:hAnsiTheme="minorHAnsi" w:cstheme="minorHAnsi"/>
          <w:smallCaps/>
          <w:sz w:val="22"/>
        </w:rPr>
        <w:t>Contractant</w:t>
      </w:r>
      <w:r w:rsidR="00226D8C" w:rsidRPr="00100F6D">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100F6D"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100F6D" w:rsidRDefault="00226D8C" w:rsidP="00BB7DD0">
      <w:pPr>
        <w:spacing w:line="260" w:lineRule="atLeast"/>
        <w:ind w:left="567"/>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 xml:space="preserve">Ils s’engagent en outre à communiquer sans délai à </w:t>
      </w:r>
      <w:r w:rsidR="00B15A37" w:rsidRPr="00100F6D">
        <w:rPr>
          <w:rFonts w:asciiTheme="minorHAnsi" w:eastAsia="Times New Roman" w:hAnsiTheme="minorHAnsi" w:cstheme="minorHAnsi"/>
          <w:smallCaps/>
          <w:sz w:val="22"/>
        </w:rPr>
        <w:t>Expertise France</w:t>
      </w:r>
      <w:r w:rsidRPr="00100F6D">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100F6D" w:rsidRDefault="001865CB">
      <w:pPr>
        <w:spacing w:line="240" w:lineRule="auto"/>
        <w:rPr>
          <w:rFonts w:asciiTheme="minorHAnsi" w:eastAsia="Times New Roman" w:hAnsiTheme="minorHAnsi" w:cs="Arial"/>
        </w:rPr>
      </w:pPr>
      <w:r w:rsidRPr="00100F6D">
        <w:rPr>
          <w:rFonts w:asciiTheme="minorHAnsi" w:hAnsiTheme="minorHAnsi" w:cs="Arial"/>
        </w:rPr>
        <w:br w:type="page"/>
      </w:r>
    </w:p>
    <w:p w14:paraId="1419FF0D" w14:textId="77777777" w:rsidR="00BB55D6" w:rsidRPr="00100F6D"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100F6D">
        <w:rPr>
          <w:rFonts w:asciiTheme="minorHAnsi" w:eastAsia="Times New Roman" w:hAnsiTheme="minorHAnsi" w:cs="Arial"/>
          <w:b/>
          <w:sz w:val="22"/>
          <w:szCs w:val="22"/>
        </w:rPr>
        <w:t xml:space="preserve">POUR LE </w:t>
      </w:r>
      <w:r w:rsidR="003A0706" w:rsidRPr="00100F6D">
        <w:rPr>
          <w:rFonts w:asciiTheme="minorHAnsi" w:eastAsia="Times New Roman" w:hAnsiTheme="minorHAnsi" w:cs="Arial"/>
          <w:b/>
          <w:smallCaps/>
          <w:sz w:val="22"/>
          <w:szCs w:val="22"/>
        </w:rPr>
        <w:t>CONTRATANT</w:t>
      </w:r>
      <w:r w:rsidRPr="00100F6D">
        <w:rPr>
          <w:rFonts w:asciiTheme="minorHAnsi" w:eastAsia="Times New Roman" w:hAnsiTheme="minorHAnsi" w:cs="Arial"/>
          <w:b/>
          <w:sz w:val="22"/>
          <w:szCs w:val="22"/>
        </w:rPr>
        <w:t xml:space="preserve"> :</w:t>
      </w:r>
    </w:p>
    <w:p w14:paraId="56BCBAF1"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t>A.....………....….., le...…….....20....</w:t>
      </w:r>
    </w:p>
    <w:p w14:paraId="215C80B3"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Mention manuscrite "Lu et approuvé" :</w:t>
      </w:r>
    </w:p>
    <w:p w14:paraId="74C22200"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Signature</w:t>
      </w:r>
      <w:r w:rsidRPr="00100F6D">
        <w:rPr>
          <w:rFonts w:asciiTheme="minorHAnsi" w:eastAsia="Times New Roman" w:hAnsiTheme="minorHAnsi"/>
          <w:sz w:val="22"/>
          <w:szCs w:val="22"/>
          <w:vertAlign w:val="superscript"/>
        </w:rPr>
        <w:footnoteReference w:id="1"/>
      </w:r>
      <w:r w:rsidRPr="00100F6D">
        <w:rPr>
          <w:rFonts w:asciiTheme="minorHAnsi" w:eastAsia="Times New Roman" w:hAnsiTheme="minorHAnsi" w:cs="Arial"/>
          <w:sz w:val="22"/>
          <w:szCs w:val="22"/>
        </w:rPr>
        <w:t xml:space="preserve"> : </w:t>
      </w:r>
    </w:p>
    <w:p w14:paraId="569F4512" w14:textId="77777777" w:rsidR="00FF1258" w:rsidRPr="00100F6D"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Nom :</w:t>
      </w:r>
      <w:r w:rsidRPr="00100F6D">
        <w:rPr>
          <w:rFonts w:asciiTheme="minorHAnsi" w:eastAsia="Times New Roman" w:hAnsiTheme="minorHAnsi" w:cs="Arial"/>
          <w:sz w:val="22"/>
          <w:szCs w:val="22"/>
        </w:rPr>
        <w:br/>
        <w:t>Prénom</w:t>
      </w:r>
      <w:r w:rsidR="003A13E0" w:rsidRPr="00100F6D">
        <w:rPr>
          <w:rFonts w:asciiTheme="minorHAnsi" w:eastAsia="Times New Roman" w:hAnsiTheme="minorHAnsi" w:cs="Arial"/>
          <w:sz w:val="22"/>
          <w:szCs w:val="22"/>
        </w:rPr>
        <w:t> :</w:t>
      </w:r>
    </w:p>
    <w:p w14:paraId="3729B31C" w14:textId="77777777" w:rsidR="003A13E0" w:rsidRPr="00100F6D"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Fonction :</w:t>
      </w:r>
    </w:p>
    <w:p w14:paraId="55C8FE68" w14:textId="77777777" w:rsidR="00893886" w:rsidRPr="00100F6D"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00F6D"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100F6D">
        <w:rPr>
          <w:rFonts w:asciiTheme="minorHAnsi" w:eastAsia="Times New Roman" w:hAnsiTheme="minorHAnsi" w:cs="Arial"/>
          <w:b/>
          <w:sz w:val="22"/>
          <w:szCs w:val="22"/>
        </w:rPr>
        <w:t xml:space="preserve">POUR </w:t>
      </w:r>
      <w:r w:rsidR="00CE73DB" w:rsidRPr="00100F6D">
        <w:rPr>
          <w:rFonts w:asciiTheme="minorHAnsi" w:eastAsia="Times New Roman" w:hAnsiTheme="minorHAnsi" w:cs="Arial"/>
          <w:b/>
          <w:smallCaps/>
          <w:sz w:val="22"/>
          <w:szCs w:val="22"/>
        </w:rPr>
        <w:t>EXPERTISE FRANCE</w:t>
      </w:r>
      <w:r w:rsidR="00947916" w:rsidRPr="00100F6D">
        <w:rPr>
          <w:rFonts w:asciiTheme="minorHAnsi" w:eastAsia="Times New Roman" w:hAnsiTheme="minorHAnsi" w:cs="Arial"/>
          <w:b/>
          <w:sz w:val="22"/>
          <w:szCs w:val="22"/>
        </w:rPr>
        <w:t xml:space="preserve"> </w:t>
      </w:r>
      <w:r w:rsidRPr="00100F6D">
        <w:rPr>
          <w:rFonts w:asciiTheme="minorHAnsi" w:eastAsia="Times New Roman" w:hAnsiTheme="minorHAnsi" w:cs="Arial"/>
          <w:b/>
          <w:sz w:val="22"/>
          <w:szCs w:val="22"/>
        </w:rPr>
        <w:t>:</w:t>
      </w:r>
    </w:p>
    <w:p w14:paraId="5E73CAE5"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Est acceptée la présente offre pour valoir acte d'engagement.</w:t>
      </w:r>
    </w:p>
    <w:p w14:paraId="1B3BAEC0"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t>A.....………....….., le...…….....20....</w:t>
      </w:r>
    </w:p>
    <w:p w14:paraId="5BABC361"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Signature</w:t>
      </w:r>
      <w:r w:rsidRPr="00100F6D">
        <w:rPr>
          <w:rFonts w:asciiTheme="minorHAnsi" w:eastAsia="Times New Roman" w:hAnsiTheme="minorHAnsi"/>
          <w:sz w:val="22"/>
          <w:szCs w:val="22"/>
          <w:vertAlign w:val="superscript"/>
        </w:rPr>
        <w:footnoteReference w:id="2"/>
      </w:r>
      <w:r w:rsidRPr="00100F6D">
        <w:rPr>
          <w:rFonts w:asciiTheme="minorHAnsi" w:eastAsia="Times New Roman" w:hAnsiTheme="minorHAnsi" w:cs="Arial"/>
          <w:sz w:val="22"/>
          <w:szCs w:val="22"/>
        </w:rPr>
        <w:t xml:space="preserve"> :</w:t>
      </w:r>
    </w:p>
    <w:p w14:paraId="677352F4"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Nom :</w:t>
      </w:r>
      <w:r w:rsidRPr="00100F6D">
        <w:rPr>
          <w:rFonts w:asciiTheme="minorHAnsi" w:eastAsia="Times New Roman" w:hAnsiTheme="minorHAnsi" w:cs="Arial"/>
          <w:sz w:val="22"/>
          <w:szCs w:val="22"/>
        </w:rPr>
        <w:br/>
        <w:t>Prénom</w:t>
      </w:r>
      <w:r w:rsidR="00FA6986" w:rsidRPr="00100F6D">
        <w:rPr>
          <w:rFonts w:asciiTheme="minorHAnsi" w:eastAsia="Times New Roman" w:hAnsiTheme="minorHAnsi" w:cs="Arial"/>
          <w:sz w:val="22"/>
          <w:szCs w:val="22"/>
        </w:rPr>
        <w:t> :</w:t>
      </w:r>
    </w:p>
    <w:p w14:paraId="4E423800" w14:textId="77777777" w:rsidR="003A13E0" w:rsidRPr="00100F6D"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Fonction :</w:t>
      </w:r>
    </w:p>
    <w:p w14:paraId="5D6B3E47"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100F6D"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100F6D">
        <w:rPr>
          <w:rFonts w:asciiTheme="minorHAnsi" w:eastAsia="Times New Roman" w:hAnsiTheme="minorHAnsi" w:cs="Arial"/>
          <w:b/>
          <w:bCs/>
          <w:sz w:val="22"/>
          <w:szCs w:val="22"/>
          <w:u w:val="single"/>
        </w:rPr>
        <w:t xml:space="preserve">Fait en un seul original, dont l’exemplaire unique est conservé par </w:t>
      </w:r>
      <w:r w:rsidR="00CE73DB" w:rsidRPr="00100F6D">
        <w:rPr>
          <w:rFonts w:asciiTheme="minorHAnsi" w:eastAsia="Times New Roman" w:hAnsiTheme="minorHAnsi" w:cs="Arial"/>
          <w:b/>
          <w:bCs/>
          <w:smallCaps/>
          <w:sz w:val="22"/>
          <w:szCs w:val="22"/>
          <w:u w:val="single"/>
        </w:rPr>
        <w:t>Expertise France</w:t>
      </w:r>
      <w:r w:rsidRPr="00100F6D">
        <w:rPr>
          <w:rFonts w:asciiTheme="minorHAnsi" w:eastAsia="Times New Roman" w:hAnsiTheme="minorHAnsi" w:cs="Arial"/>
          <w:b/>
          <w:bCs/>
          <w:sz w:val="22"/>
          <w:szCs w:val="22"/>
          <w:u w:val="single"/>
        </w:rPr>
        <w:t>.</w:t>
      </w:r>
    </w:p>
    <w:p w14:paraId="36DC1389" w14:textId="77777777" w:rsidR="00FF3A69" w:rsidRPr="00100F6D"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00F6D" w:rsidRDefault="00656639" w:rsidP="001865CB">
      <w:pPr>
        <w:widowControl w:val="0"/>
        <w:ind w:right="3367"/>
        <w:rPr>
          <w:rFonts w:asciiTheme="minorHAnsi" w:hAnsiTheme="minorHAnsi" w:cs="Arial"/>
          <w:b/>
          <w:caps/>
        </w:rPr>
        <w:sectPr w:rsidR="00656639" w:rsidRPr="00100F6D" w:rsidSect="002129B8">
          <w:headerReference w:type="default" r:id="rId26"/>
          <w:pgSz w:w="11906" w:h="16838" w:code="9"/>
          <w:pgMar w:top="902" w:right="1009" w:bottom="720" w:left="1151" w:header="397" w:footer="907" w:gutter="0"/>
          <w:cols w:space="708"/>
          <w:docGrid w:linePitch="360"/>
        </w:sectPr>
      </w:pPr>
    </w:p>
    <w:p w14:paraId="69EAC968" w14:textId="2D6C4090"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100F6D">
        <w:rPr>
          <w:rFonts w:asciiTheme="minorHAnsi" w:hAnsiTheme="minorHAnsi"/>
          <w:b/>
          <w:caps/>
          <w:sz w:val="24"/>
        </w:rPr>
        <w:lastRenderedPageBreak/>
        <w:t xml:space="preserve">Annexe 1 : </w:t>
      </w:r>
      <w:r w:rsidR="004709C6" w:rsidRPr="00100F6D">
        <w:rPr>
          <w:rFonts w:asciiTheme="minorHAnsi" w:hAnsiTheme="minorHAnsi"/>
          <w:b/>
          <w:caps/>
          <w:sz w:val="24"/>
        </w:rPr>
        <w:t>Cahier des charges</w:t>
      </w:r>
      <w:bookmarkEnd w:id="131"/>
      <w:r w:rsidR="00F6667B" w:rsidRPr="00100F6D">
        <w:rPr>
          <w:rFonts w:asciiTheme="minorHAnsi" w:hAnsiTheme="minorHAnsi"/>
          <w:b/>
          <w:caps/>
          <w:sz w:val="24"/>
        </w:rPr>
        <w:t xml:space="preserve"> (en piece jointe)</w:t>
      </w: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39F88" w14:textId="77777777" w:rsidR="005A750A" w:rsidRDefault="005A750A">
      <w:r>
        <w:separator/>
      </w:r>
    </w:p>
  </w:endnote>
  <w:endnote w:type="continuationSeparator" w:id="0">
    <w:p w14:paraId="16A6FFE5" w14:textId="77777777" w:rsidR="005A750A" w:rsidRDefault="005A7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altName w:val="﷽﷽﷽﷽﷽﷽﷽﷽"/>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0D1F21" w:rsidRDefault="000D1F2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8325685" w:rsidR="000D1F21" w:rsidRDefault="000D1F2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C601D">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C601D">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0D1F21" w:rsidRDefault="005A750A"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0D1F21" w:rsidRDefault="000D1F2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239EBD8E" w:rsidR="000D1F21" w:rsidRDefault="000D1F2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C601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C601D">
              <w:rPr>
                <w:rFonts w:asciiTheme="minorHAnsi" w:hAnsiTheme="minorHAnsi"/>
                <w:b/>
                <w:bCs/>
                <w:noProof/>
                <w:sz w:val="22"/>
                <w:szCs w:val="22"/>
              </w:rPr>
              <w:t>23</w:t>
            </w:r>
            <w:r>
              <w:rPr>
                <w:rFonts w:asciiTheme="minorHAnsi" w:hAnsiTheme="minorHAnsi"/>
                <w:b/>
                <w:bCs/>
                <w:sz w:val="22"/>
                <w:szCs w:val="22"/>
              </w:rPr>
              <w:fldChar w:fldCharType="end"/>
            </w:r>
          </w:p>
          <w:p w14:paraId="464BBB64" w14:textId="41962DF6" w:rsidR="000D1F21" w:rsidRDefault="000D1F2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0D1F21" w:rsidRDefault="000D1F2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0D1F21" w:rsidRPr="00065565" w:rsidRDefault="000D1F2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0D1F21" w:rsidRDefault="000D1F21">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0D1F21" w:rsidRPr="00EE0FDD" w:rsidRDefault="000D1F2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5BB333C" w:rsidR="000D1F21" w:rsidRPr="00FF1F8E" w:rsidRDefault="000D1F2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6C601D">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6C601D">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FF1F6" w14:textId="77777777" w:rsidR="005A750A" w:rsidRDefault="005A750A">
      <w:r>
        <w:separator/>
      </w:r>
    </w:p>
  </w:footnote>
  <w:footnote w:type="continuationSeparator" w:id="0">
    <w:p w14:paraId="48E13287" w14:textId="77777777" w:rsidR="005A750A" w:rsidRDefault="005A750A">
      <w:r>
        <w:continuationSeparator/>
      </w:r>
    </w:p>
  </w:footnote>
  <w:footnote w:id="1">
    <w:p w14:paraId="63ABC744" w14:textId="77777777" w:rsidR="000D1F21" w:rsidRPr="00A86E43" w:rsidRDefault="000D1F2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0D1F21" w:rsidRDefault="000D1F2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0D1F21" w:rsidRPr="00707B69" w:rsidRDefault="000D1F2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D1F21" w:rsidRPr="00AC48DD" w:rsidRDefault="000D1F2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D1F21" w:rsidRDefault="000D1F2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D1F21" w:rsidRPr="00AC48DD" w:rsidRDefault="000D1F2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0D1F21" w:rsidRDefault="000D1F2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D1F21" w:rsidRDefault="000D1F21">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0D1F21" w:rsidRPr="00707B69" w:rsidRDefault="000D1F2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D1F21" w:rsidRPr="00AC48DD" w:rsidRDefault="000D1F2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D1F21" w:rsidRDefault="000D1F2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D1F21" w:rsidRPr="00AC48DD" w:rsidRDefault="000D1F2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0D1F21" w:rsidRPr="00707B69" w:rsidRDefault="000D1F2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D1F21" w:rsidRPr="00AC48DD" w:rsidRDefault="000D1F2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D1F21" w:rsidRDefault="000D1F2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D1F21" w:rsidRPr="00996FEA" w:rsidRDefault="000D1F2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F55B1A"/>
    <w:multiLevelType w:val="multilevel"/>
    <w:tmpl w:val="9C46D3B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5842CF"/>
    <w:multiLevelType w:val="hybridMultilevel"/>
    <w:tmpl w:val="FD369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9"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0" w15:restartNumberingAfterBreak="0">
    <w:nsid w:val="1AF2782E"/>
    <w:multiLevelType w:val="hybridMultilevel"/>
    <w:tmpl w:val="AE3006C0"/>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873E11"/>
    <w:multiLevelType w:val="hybridMultilevel"/>
    <w:tmpl w:val="FE325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556647D"/>
    <w:multiLevelType w:val="hybridMultilevel"/>
    <w:tmpl w:val="D0E22D44"/>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83D4BB8"/>
    <w:multiLevelType w:val="hybridMultilevel"/>
    <w:tmpl w:val="17E61CBA"/>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8E7BB6"/>
    <w:multiLevelType w:val="hybridMultilevel"/>
    <w:tmpl w:val="18720F56"/>
    <w:lvl w:ilvl="0" w:tplc="DD5E0BEA">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47BA623A"/>
    <w:multiLevelType w:val="hybridMultilevel"/>
    <w:tmpl w:val="98D47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4E6F4B30"/>
    <w:multiLevelType w:val="hybridMultilevel"/>
    <w:tmpl w:val="716CCD04"/>
    <w:lvl w:ilvl="0" w:tplc="74FC720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9C7B7E"/>
    <w:multiLevelType w:val="hybridMultilevel"/>
    <w:tmpl w:val="D89099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8F566C"/>
    <w:multiLevelType w:val="hybridMultilevel"/>
    <w:tmpl w:val="783405E2"/>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294109A"/>
    <w:multiLevelType w:val="hybridMultilevel"/>
    <w:tmpl w:val="6846A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66767C5A"/>
    <w:multiLevelType w:val="hybridMultilevel"/>
    <w:tmpl w:val="A3CAEE14"/>
    <w:lvl w:ilvl="0" w:tplc="AAD4387E">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541D8C"/>
    <w:multiLevelType w:val="hybridMultilevel"/>
    <w:tmpl w:val="6E3A3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AA0DD5"/>
    <w:multiLevelType w:val="multilevel"/>
    <w:tmpl w:val="957095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5"/>
  </w:num>
  <w:num w:numId="3">
    <w:abstractNumId w:val="34"/>
  </w:num>
  <w:num w:numId="4">
    <w:abstractNumId w:val="4"/>
  </w:num>
  <w:num w:numId="5">
    <w:abstractNumId w:val="25"/>
  </w:num>
  <w:num w:numId="6">
    <w:abstractNumId w:val="8"/>
  </w:num>
  <w:num w:numId="7">
    <w:abstractNumId w:val="13"/>
  </w:num>
  <w:num w:numId="8">
    <w:abstractNumId w:val="17"/>
  </w:num>
  <w:num w:numId="9">
    <w:abstractNumId w:val="12"/>
  </w:num>
  <w:num w:numId="10">
    <w:abstractNumId w:val="38"/>
  </w:num>
  <w:num w:numId="11">
    <w:abstractNumId w:val="43"/>
  </w:num>
  <w:num w:numId="12">
    <w:abstractNumId w:val="26"/>
  </w:num>
  <w:num w:numId="13">
    <w:abstractNumId w:val="7"/>
  </w:num>
  <w:num w:numId="14">
    <w:abstractNumId w:val="36"/>
  </w:num>
  <w:num w:numId="15">
    <w:abstractNumId w:val="29"/>
  </w:num>
  <w:num w:numId="16">
    <w:abstractNumId w:val="9"/>
  </w:num>
  <w:num w:numId="17">
    <w:abstractNumId w:val="6"/>
  </w:num>
  <w:num w:numId="18">
    <w:abstractNumId w:val="23"/>
  </w:num>
  <w:num w:numId="19">
    <w:abstractNumId w:val="41"/>
  </w:num>
  <w:num w:numId="20">
    <w:abstractNumId w:val="15"/>
  </w:num>
  <w:num w:numId="21">
    <w:abstractNumId w:val="24"/>
  </w:num>
  <w:num w:numId="22">
    <w:abstractNumId w:val="19"/>
  </w:num>
  <w:num w:numId="23">
    <w:abstractNumId w:val="15"/>
  </w:num>
  <w:num w:numId="24">
    <w:abstractNumId w:val="44"/>
  </w:num>
  <w:num w:numId="25">
    <w:abstractNumId w:val="32"/>
  </w:num>
  <w:num w:numId="26">
    <w:abstractNumId w:val="40"/>
  </w:num>
  <w:num w:numId="27">
    <w:abstractNumId w:val="14"/>
  </w:num>
  <w:num w:numId="28">
    <w:abstractNumId w:val="21"/>
  </w:num>
  <w:num w:numId="29">
    <w:abstractNumId w:val="20"/>
  </w:num>
  <w:num w:numId="30">
    <w:abstractNumId w:val="45"/>
  </w:num>
  <w:num w:numId="31">
    <w:abstractNumId w:val="31"/>
  </w:num>
  <w:num w:numId="32">
    <w:abstractNumId w:val="10"/>
  </w:num>
  <w:num w:numId="33">
    <w:abstractNumId w:val="30"/>
  </w:num>
  <w:num w:numId="34">
    <w:abstractNumId w:val="27"/>
  </w:num>
  <w:num w:numId="35">
    <w:abstractNumId w:val="35"/>
  </w:num>
  <w:num w:numId="36">
    <w:abstractNumId w:val="11"/>
  </w:num>
  <w:num w:numId="37">
    <w:abstractNumId w:val="3"/>
  </w:num>
  <w:num w:numId="38">
    <w:abstractNumId w:val="42"/>
  </w:num>
  <w:num w:numId="39">
    <w:abstractNumId w:val="33"/>
  </w:num>
  <w:num w:numId="40">
    <w:abstractNumId w:val="46"/>
  </w:num>
  <w:num w:numId="41">
    <w:abstractNumId w:val="18"/>
  </w:num>
  <w:num w:numId="42">
    <w:abstractNumId w:val="22"/>
  </w:num>
  <w:num w:numId="43">
    <w:abstractNumId w:val="37"/>
  </w:num>
  <w:num w:numId="44">
    <w:abstractNumId w:val="16"/>
  </w:num>
  <w:num w:numId="45">
    <w:abstractNumId w:val="39"/>
  </w:num>
  <w:num w:numId="46">
    <w:abstractNumId w:val="28"/>
  </w:num>
  <w:num w:numId="47">
    <w:abstractNumId w:val="2"/>
  </w:num>
  <w:num w:numId="48">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2722"/>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1F21"/>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0F6D"/>
    <w:rsid w:val="00101663"/>
    <w:rsid w:val="00104E87"/>
    <w:rsid w:val="00110630"/>
    <w:rsid w:val="00113F82"/>
    <w:rsid w:val="00115428"/>
    <w:rsid w:val="00116328"/>
    <w:rsid w:val="00122959"/>
    <w:rsid w:val="00123D1A"/>
    <w:rsid w:val="00127A5B"/>
    <w:rsid w:val="00130AB0"/>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0078"/>
    <w:rsid w:val="0018104F"/>
    <w:rsid w:val="00183314"/>
    <w:rsid w:val="001862D1"/>
    <w:rsid w:val="001865CB"/>
    <w:rsid w:val="00187455"/>
    <w:rsid w:val="0018750E"/>
    <w:rsid w:val="00192EDE"/>
    <w:rsid w:val="00197CF8"/>
    <w:rsid w:val="001B140A"/>
    <w:rsid w:val="001B5605"/>
    <w:rsid w:val="001B5909"/>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1BDA"/>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3351"/>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4E19"/>
    <w:rsid w:val="0048479B"/>
    <w:rsid w:val="004A099E"/>
    <w:rsid w:val="004A17C3"/>
    <w:rsid w:val="004A7A7D"/>
    <w:rsid w:val="004B2F76"/>
    <w:rsid w:val="004B47E5"/>
    <w:rsid w:val="004B5B87"/>
    <w:rsid w:val="004B5E2B"/>
    <w:rsid w:val="004C0388"/>
    <w:rsid w:val="004C05F2"/>
    <w:rsid w:val="004C13B1"/>
    <w:rsid w:val="004C177B"/>
    <w:rsid w:val="004C749B"/>
    <w:rsid w:val="004C7715"/>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5FAC"/>
    <w:rsid w:val="00516373"/>
    <w:rsid w:val="005176BC"/>
    <w:rsid w:val="005204FC"/>
    <w:rsid w:val="00521CF4"/>
    <w:rsid w:val="0052206A"/>
    <w:rsid w:val="0052225C"/>
    <w:rsid w:val="005222DA"/>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0BA"/>
    <w:rsid w:val="00584F07"/>
    <w:rsid w:val="005851B5"/>
    <w:rsid w:val="005936AE"/>
    <w:rsid w:val="005942E9"/>
    <w:rsid w:val="005A362A"/>
    <w:rsid w:val="005A750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B6C1B"/>
    <w:rsid w:val="006C52FD"/>
    <w:rsid w:val="006C5B6D"/>
    <w:rsid w:val="006C601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1FF"/>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0895"/>
    <w:rsid w:val="0076291C"/>
    <w:rsid w:val="007654E9"/>
    <w:rsid w:val="007716CB"/>
    <w:rsid w:val="00775808"/>
    <w:rsid w:val="00781982"/>
    <w:rsid w:val="00782242"/>
    <w:rsid w:val="00783DE8"/>
    <w:rsid w:val="00786183"/>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8F8"/>
    <w:rsid w:val="00800C6C"/>
    <w:rsid w:val="00801ECC"/>
    <w:rsid w:val="008026F4"/>
    <w:rsid w:val="00803D81"/>
    <w:rsid w:val="0080413C"/>
    <w:rsid w:val="00804BED"/>
    <w:rsid w:val="00805354"/>
    <w:rsid w:val="008066ED"/>
    <w:rsid w:val="00806C74"/>
    <w:rsid w:val="00820C40"/>
    <w:rsid w:val="00821D49"/>
    <w:rsid w:val="00822D98"/>
    <w:rsid w:val="008234E7"/>
    <w:rsid w:val="00825236"/>
    <w:rsid w:val="0082684B"/>
    <w:rsid w:val="008269E1"/>
    <w:rsid w:val="00826C98"/>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1908"/>
    <w:rsid w:val="008C6F83"/>
    <w:rsid w:val="008C7451"/>
    <w:rsid w:val="008D0EE4"/>
    <w:rsid w:val="008D1257"/>
    <w:rsid w:val="008D127E"/>
    <w:rsid w:val="008D2C3F"/>
    <w:rsid w:val="008E2637"/>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204C"/>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198A"/>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6750"/>
    <w:rsid w:val="00A67C9E"/>
    <w:rsid w:val="00A70C1C"/>
    <w:rsid w:val="00A72841"/>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7B"/>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2F3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0B00"/>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8CB"/>
    <w:rsid w:val="00BC2A22"/>
    <w:rsid w:val="00BC4CC2"/>
    <w:rsid w:val="00BC5A69"/>
    <w:rsid w:val="00BD1BE3"/>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974D9"/>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3636"/>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3D43"/>
    <w:rsid w:val="00D853CB"/>
    <w:rsid w:val="00D85889"/>
    <w:rsid w:val="00D85D50"/>
    <w:rsid w:val="00D8651A"/>
    <w:rsid w:val="00D96A12"/>
    <w:rsid w:val="00D96AB7"/>
    <w:rsid w:val="00DA0E13"/>
    <w:rsid w:val="00DA114C"/>
    <w:rsid w:val="00DA2C30"/>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4A42"/>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4C4"/>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1BC7"/>
    <w:rsid w:val="00F4232F"/>
    <w:rsid w:val="00F42E94"/>
    <w:rsid w:val="00F51120"/>
    <w:rsid w:val="00F53E95"/>
    <w:rsid w:val="00F54BCF"/>
    <w:rsid w:val="00F555D8"/>
    <w:rsid w:val="00F5717F"/>
    <w:rsid w:val="00F62F27"/>
    <w:rsid w:val="00F62F6C"/>
    <w:rsid w:val="00F63346"/>
    <w:rsid w:val="00F6667B"/>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597B"/>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7C3"/>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numbered,Yellow Bullet,Normal bullet 2,Paragraph,List Paragraph (numbered (a)),Bullets,Medium Grid 1 - Accent 22,Dot pt,F5 List Paragraph,List Paragraph Char Char Char,Indicator Text,EC"/>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numbered Car,Yellow Bullet Car,Normal bullet 2 Car,Paragraph Car,List Paragraph (numbered (a)) Car,Bullets Car,Medium Grid 1 - Accent 22 Car,Dot pt Car,EC Car,del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BC28C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0D1F21"/>
    <w:pPr>
      <w:suppressAutoHyphens/>
    </w:pPr>
    <w:rPr>
      <w:rFonts w:asciiTheme="minorHAnsi" w:eastAsiaTheme="minorEastAsia" w:hAnsiTheme="minorHAnsi" w:cstheme="minorBidi"/>
      <w:lang w:val="en-US" w:eastAsia="ja-JP"/>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4F81BD" w:themeColor="accent1"/>
        </w:tcBorders>
      </w:tcPr>
    </w:tblStylePr>
    <w:tblStylePr w:type="lastRow">
      <w:rPr>
        <w:b/>
        <w:bCs/>
      </w:rPr>
      <w:tblPr/>
      <w:tcPr>
        <w:tcBorders>
          <w:top w:val="double" w:sz="2" w:space="0" w:color="4F81BD" w:themeColor="accen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7818560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2698036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9FBAF-46EE-4B43-A3DD-04D7C88C9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132</TotalTime>
  <Pages>23</Pages>
  <Words>7453</Words>
  <Characters>40996</Characters>
  <Application>Microsoft Office Word</Application>
  <DocSecurity>0</DocSecurity>
  <Lines>341</Lines>
  <Paragraphs>96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48353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Tarak BAOUEB</cp:lastModifiedBy>
  <cp:revision>6</cp:revision>
  <cp:lastPrinted>2014-11-19T14:39:00Z</cp:lastPrinted>
  <dcterms:created xsi:type="dcterms:W3CDTF">2025-05-21T15:12:00Z</dcterms:created>
  <dcterms:modified xsi:type="dcterms:W3CDTF">2025-07-07T08:37:00Z</dcterms:modified>
</cp:coreProperties>
</file>