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10313"/>
      </w:tblGrid>
      <w:tr w:rsidR="00C0634E" w:rsidRPr="00F03CB9" w14:paraId="43060671" w14:textId="77777777" w:rsidTr="00847264">
        <w:tc>
          <w:tcPr>
            <w:tcW w:w="13994" w:type="dxa"/>
            <w:gridSpan w:val="2"/>
            <w:shd w:val="clear" w:color="auto" w:fill="D9E2F3" w:themeFill="accent1" w:themeFillTint="33"/>
            <w:vAlign w:val="center"/>
          </w:tcPr>
          <w:p w14:paraId="32069EC7" w14:textId="52D3DB9C" w:rsidR="00C0634E" w:rsidRPr="00F03CB9" w:rsidRDefault="003E0640" w:rsidP="00686D94">
            <w:pPr>
              <w:pStyle w:val="Paragraphedeliste"/>
              <w:ind w:left="1080"/>
              <w:jc w:val="center"/>
              <w:rPr>
                <w:b/>
                <w:bCs/>
              </w:rPr>
            </w:pPr>
            <w:bookmarkStart w:id="0" w:name="_Hlk201925581"/>
            <w:r>
              <w:rPr>
                <w:b/>
                <w:bCs/>
              </w:rPr>
              <w:t>CADRE DE REPONSE TECHNIQUE</w:t>
            </w:r>
          </w:p>
        </w:tc>
      </w:tr>
      <w:tr w:rsidR="003013BB" w:rsidRPr="00C0634E" w14:paraId="726B4507" w14:textId="77777777" w:rsidTr="00847264">
        <w:trPr>
          <w:trHeight w:val="305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423C25CD" w14:textId="249CC4DE" w:rsidR="003013BB" w:rsidRPr="00C0634E" w:rsidRDefault="003013BB" w:rsidP="00333FB0">
            <w:pPr>
              <w:jc w:val="center"/>
              <w:rPr>
                <w:b/>
                <w:bCs/>
              </w:rPr>
            </w:pPr>
          </w:p>
        </w:tc>
        <w:tc>
          <w:tcPr>
            <w:tcW w:w="10313" w:type="dxa"/>
            <w:shd w:val="clear" w:color="auto" w:fill="F2F2F2" w:themeFill="background1" w:themeFillShade="F2"/>
            <w:vAlign w:val="center"/>
          </w:tcPr>
          <w:p w14:paraId="1882F12F" w14:textId="77777777" w:rsidR="003013BB" w:rsidRPr="00C0634E" w:rsidRDefault="003013BB" w:rsidP="00333FB0">
            <w:pPr>
              <w:jc w:val="center"/>
              <w:rPr>
                <w:b/>
                <w:bCs/>
              </w:rPr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bookmarkEnd w:id="0"/>
      <w:tr w:rsidR="00686D94" w14:paraId="249748E6" w14:textId="77777777" w:rsidTr="00847264">
        <w:trPr>
          <w:trHeight w:val="169"/>
        </w:trPr>
        <w:tc>
          <w:tcPr>
            <w:tcW w:w="3681" w:type="dxa"/>
            <w:vAlign w:val="center"/>
          </w:tcPr>
          <w:p w14:paraId="65DD0FF1" w14:textId="0D16A22E" w:rsidR="00686D94" w:rsidRPr="00847264" w:rsidRDefault="00DC3807" w:rsidP="00CF59BB">
            <w:pPr>
              <w:rPr>
                <w:sz w:val="18"/>
                <w:szCs w:val="18"/>
              </w:rPr>
            </w:pPr>
            <w:r w:rsidRPr="00847264">
              <w:rPr>
                <w:sz w:val="18"/>
                <w:szCs w:val="18"/>
              </w:rPr>
              <w:t>Coordonnées de l'interlocuteur unique en charge du marché</w:t>
            </w:r>
          </w:p>
        </w:tc>
        <w:tc>
          <w:tcPr>
            <w:tcW w:w="10313" w:type="dxa"/>
            <w:vAlign w:val="center"/>
          </w:tcPr>
          <w:p w14:paraId="6CB987AF" w14:textId="77777777" w:rsidR="00686D94" w:rsidRPr="00847264" w:rsidRDefault="00686D94">
            <w:pPr>
              <w:rPr>
                <w:sz w:val="18"/>
                <w:szCs w:val="18"/>
              </w:rPr>
            </w:pPr>
          </w:p>
        </w:tc>
      </w:tr>
      <w:tr w:rsidR="00DC3807" w14:paraId="50121AF4" w14:textId="77777777" w:rsidTr="00847264">
        <w:trPr>
          <w:trHeight w:val="173"/>
        </w:trPr>
        <w:tc>
          <w:tcPr>
            <w:tcW w:w="3681" w:type="dxa"/>
            <w:vAlign w:val="center"/>
          </w:tcPr>
          <w:p w14:paraId="0E0BB687" w14:textId="3DB5B234" w:rsidR="00DC3807" w:rsidRPr="00847264" w:rsidRDefault="00DC3807" w:rsidP="00CF59BB">
            <w:pPr>
              <w:rPr>
                <w:sz w:val="18"/>
                <w:szCs w:val="18"/>
              </w:rPr>
            </w:pPr>
            <w:r w:rsidRPr="00847264">
              <w:rPr>
                <w:sz w:val="18"/>
                <w:szCs w:val="18"/>
              </w:rPr>
              <w:t>Description des moyens humains destinés à l'exécution des prestations</w:t>
            </w:r>
            <w:r w:rsidR="00847264" w:rsidRPr="00847264">
              <w:rPr>
                <w:sz w:val="18"/>
                <w:szCs w:val="18"/>
              </w:rPr>
              <w:t xml:space="preserve"> de manière générale</w:t>
            </w:r>
          </w:p>
        </w:tc>
        <w:tc>
          <w:tcPr>
            <w:tcW w:w="10313" w:type="dxa"/>
            <w:vAlign w:val="center"/>
          </w:tcPr>
          <w:p w14:paraId="72660D1E" w14:textId="77777777" w:rsidR="00DC3807" w:rsidRPr="00847264" w:rsidRDefault="00DC3807">
            <w:pPr>
              <w:rPr>
                <w:sz w:val="18"/>
                <w:szCs w:val="18"/>
              </w:rPr>
            </w:pPr>
          </w:p>
        </w:tc>
      </w:tr>
      <w:tr w:rsidR="00DC3807" w14:paraId="04BDB2A8" w14:textId="77777777" w:rsidTr="00847264">
        <w:trPr>
          <w:trHeight w:val="761"/>
        </w:trPr>
        <w:tc>
          <w:tcPr>
            <w:tcW w:w="3681" w:type="dxa"/>
            <w:vAlign w:val="center"/>
          </w:tcPr>
          <w:p w14:paraId="74769559" w14:textId="06BB344E" w:rsidR="00DC3807" w:rsidRPr="00847264" w:rsidRDefault="00DC3807" w:rsidP="00CF59BB">
            <w:pPr>
              <w:rPr>
                <w:sz w:val="18"/>
                <w:szCs w:val="18"/>
              </w:rPr>
            </w:pPr>
            <w:r w:rsidRPr="00847264">
              <w:rPr>
                <w:sz w:val="18"/>
                <w:szCs w:val="18"/>
              </w:rPr>
              <w:t>Description de la méthodologie, du planning et des moyens humains mis en place pour le changement des coffrets de contrôle d'accès concernés par l'annexe 1 et leur mise en service avant le 31/12/2025 (article 4.2 du CCTP)</w:t>
            </w:r>
          </w:p>
        </w:tc>
        <w:tc>
          <w:tcPr>
            <w:tcW w:w="10313" w:type="dxa"/>
            <w:vAlign w:val="center"/>
          </w:tcPr>
          <w:p w14:paraId="044C78AA" w14:textId="77777777" w:rsidR="00DC3807" w:rsidRPr="00847264" w:rsidRDefault="00DC3807">
            <w:pPr>
              <w:rPr>
                <w:sz w:val="18"/>
                <w:szCs w:val="18"/>
              </w:rPr>
            </w:pPr>
          </w:p>
        </w:tc>
      </w:tr>
      <w:tr w:rsidR="00847264" w14:paraId="63BEE699" w14:textId="77777777" w:rsidTr="00847264">
        <w:trPr>
          <w:trHeight w:val="252"/>
        </w:trPr>
        <w:tc>
          <w:tcPr>
            <w:tcW w:w="3681" w:type="dxa"/>
            <w:vAlign w:val="center"/>
          </w:tcPr>
          <w:p w14:paraId="68EE68E1" w14:textId="77A99012" w:rsidR="00847264" w:rsidRPr="00847264" w:rsidRDefault="00847264" w:rsidP="00CF59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de la garantie des coffrets de contrôle d’accès</w:t>
            </w:r>
          </w:p>
        </w:tc>
        <w:tc>
          <w:tcPr>
            <w:tcW w:w="10313" w:type="dxa"/>
            <w:vAlign w:val="center"/>
          </w:tcPr>
          <w:p w14:paraId="1D3A6199" w14:textId="77777777" w:rsidR="00847264" w:rsidRPr="00847264" w:rsidRDefault="00847264">
            <w:pPr>
              <w:rPr>
                <w:sz w:val="18"/>
                <w:szCs w:val="18"/>
              </w:rPr>
            </w:pPr>
          </w:p>
        </w:tc>
      </w:tr>
      <w:tr w:rsidR="00847264" w14:paraId="07DDDA58" w14:textId="77777777" w:rsidTr="00847264">
        <w:trPr>
          <w:trHeight w:val="358"/>
        </w:trPr>
        <w:tc>
          <w:tcPr>
            <w:tcW w:w="3681" w:type="dxa"/>
            <w:vAlign w:val="center"/>
          </w:tcPr>
          <w:p w14:paraId="0C73A278" w14:textId="14922071" w:rsidR="00847264" w:rsidRPr="00847264" w:rsidRDefault="00847264" w:rsidP="00CF59BB">
            <w:pPr>
              <w:rPr>
                <w:sz w:val="18"/>
                <w:szCs w:val="18"/>
              </w:rPr>
            </w:pPr>
            <w:r w:rsidRPr="00847264">
              <w:rPr>
                <w:sz w:val="18"/>
                <w:szCs w:val="18"/>
              </w:rPr>
              <w:t>Description de la gestion du stock des coffrets de contrôle d'accès</w:t>
            </w:r>
          </w:p>
        </w:tc>
        <w:tc>
          <w:tcPr>
            <w:tcW w:w="10313" w:type="dxa"/>
            <w:vAlign w:val="center"/>
          </w:tcPr>
          <w:p w14:paraId="4B2C91B0" w14:textId="77777777" w:rsidR="00847264" w:rsidRPr="00847264" w:rsidRDefault="00847264">
            <w:pPr>
              <w:rPr>
                <w:sz w:val="18"/>
                <w:szCs w:val="18"/>
              </w:rPr>
            </w:pPr>
          </w:p>
        </w:tc>
      </w:tr>
      <w:tr w:rsidR="00DC3807" w14:paraId="24F9E128" w14:textId="77777777" w:rsidTr="00BA0E29">
        <w:trPr>
          <w:trHeight w:val="642"/>
        </w:trPr>
        <w:tc>
          <w:tcPr>
            <w:tcW w:w="3681" w:type="dxa"/>
            <w:vAlign w:val="center"/>
          </w:tcPr>
          <w:p w14:paraId="71619903" w14:textId="160B02B9" w:rsidR="00DC3807" w:rsidRPr="00847264" w:rsidRDefault="00357CD3" w:rsidP="00CF59BB">
            <w:pPr>
              <w:rPr>
                <w:sz w:val="18"/>
                <w:szCs w:val="18"/>
              </w:rPr>
            </w:pPr>
            <w:r w:rsidRPr="00357CD3">
              <w:rPr>
                <w:sz w:val="18"/>
                <w:szCs w:val="18"/>
              </w:rPr>
              <w:t>Délai maximum, à compter de la demande de l’EFS-IDF, pour l’approvisionnement en coffrets de contrôle d'accès et l’exécution des prestations</w:t>
            </w:r>
          </w:p>
        </w:tc>
        <w:tc>
          <w:tcPr>
            <w:tcW w:w="10313" w:type="dxa"/>
            <w:vAlign w:val="center"/>
          </w:tcPr>
          <w:p w14:paraId="4837EFDE" w14:textId="77777777" w:rsidR="00DC3807" w:rsidRPr="00847264" w:rsidRDefault="00DC3807">
            <w:pPr>
              <w:rPr>
                <w:sz w:val="18"/>
                <w:szCs w:val="18"/>
              </w:rPr>
            </w:pPr>
          </w:p>
        </w:tc>
      </w:tr>
      <w:tr w:rsidR="00851D04" w14:paraId="1DE2DB89" w14:textId="77777777" w:rsidTr="00847264">
        <w:trPr>
          <w:trHeight w:val="270"/>
        </w:trPr>
        <w:tc>
          <w:tcPr>
            <w:tcW w:w="3681" w:type="dxa"/>
            <w:vAlign w:val="center"/>
          </w:tcPr>
          <w:p w14:paraId="619CC1AE" w14:textId="7ED00EAF" w:rsidR="00851D04" w:rsidRPr="00847264" w:rsidRDefault="00DC3807" w:rsidP="00CF59BB">
            <w:pPr>
              <w:rPr>
                <w:sz w:val="18"/>
                <w:szCs w:val="18"/>
              </w:rPr>
            </w:pPr>
            <w:r w:rsidRPr="00847264">
              <w:rPr>
                <w:sz w:val="18"/>
                <w:szCs w:val="18"/>
              </w:rPr>
              <w:t>Méthodologie appliquée à un cas de dysfonctionnement des coffrets de contrôle d'accès sous garantie</w:t>
            </w:r>
          </w:p>
        </w:tc>
        <w:tc>
          <w:tcPr>
            <w:tcW w:w="10313" w:type="dxa"/>
            <w:vAlign w:val="center"/>
          </w:tcPr>
          <w:p w14:paraId="55BF1058" w14:textId="77777777" w:rsidR="00851D04" w:rsidRPr="00847264" w:rsidRDefault="00851D04">
            <w:pPr>
              <w:rPr>
                <w:sz w:val="18"/>
                <w:szCs w:val="18"/>
              </w:rPr>
            </w:pPr>
          </w:p>
        </w:tc>
      </w:tr>
      <w:tr w:rsidR="00686D94" w14:paraId="41B3E64F" w14:textId="77777777" w:rsidTr="00847264">
        <w:trPr>
          <w:trHeight w:val="166"/>
        </w:trPr>
        <w:tc>
          <w:tcPr>
            <w:tcW w:w="3681" w:type="dxa"/>
            <w:vAlign w:val="center"/>
          </w:tcPr>
          <w:p w14:paraId="4E904DBD" w14:textId="51D90E7A" w:rsidR="00686D94" w:rsidRPr="00847264" w:rsidRDefault="003E0640" w:rsidP="00CF59BB">
            <w:pPr>
              <w:rPr>
                <w:sz w:val="18"/>
                <w:szCs w:val="18"/>
              </w:rPr>
            </w:pPr>
            <w:r w:rsidRPr="00847264">
              <w:rPr>
                <w:sz w:val="18"/>
                <w:szCs w:val="18"/>
              </w:rPr>
              <w:t>Description du circuit de mise en rebut lors de la dépose d’un coffret</w:t>
            </w:r>
          </w:p>
        </w:tc>
        <w:tc>
          <w:tcPr>
            <w:tcW w:w="10313" w:type="dxa"/>
            <w:vAlign w:val="center"/>
          </w:tcPr>
          <w:p w14:paraId="11032BCC" w14:textId="77777777" w:rsidR="00686D94" w:rsidRPr="00847264" w:rsidRDefault="00686D94">
            <w:pPr>
              <w:rPr>
                <w:sz w:val="18"/>
                <w:szCs w:val="18"/>
              </w:rPr>
            </w:pPr>
          </w:p>
        </w:tc>
      </w:tr>
      <w:tr w:rsidR="00847264" w14:paraId="01665AE9" w14:textId="77777777" w:rsidTr="00847264">
        <w:trPr>
          <w:trHeight w:val="166"/>
        </w:trPr>
        <w:tc>
          <w:tcPr>
            <w:tcW w:w="3681" w:type="dxa"/>
            <w:vAlign w:val="center"/>
          </w:tcPr>
          <w:p w14:paraId="3E8D7F25" w14:textId="20B79B15" w:rsidR="00847264" w:rsidRPr="00847264" w:rsidRDefault="00847264" w:rsidP="00CF59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Délai maximum de garantie du temps d’intervention</w:t>
            </w:r>
          </w:p>
        </w:tc>
        <w:tc>
          <w:tcPr>
            <w:tcW w:w="10313" w:type="dxa"/>
            <w:vAlign w:val="center"/>
          </w:tcPr>
          <w:p w14:paraId="55538D73" w14:textId="77777777" w:rsidR="00847264" w:rsidRPr="00847264" w:rsidRDefault="00847264">
            <w:pPr>
              <w:rPr>
                <w:sz w:val="18"/>
                <w:szCs w:val="18"/>
              </w:rPr>
            </w:pPr>
          </w:p>
        </w:tc>
      </w:tr>
    </w:tbl>
    <w:p w14:paraId="42BBEF03" w14:textId="77777777" w:rsidR="0015233A" w:rsidRDefault="0015233A"/>
    <w:sectPr w:rsidR="0015233A" w:rsidSect="00851D0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88457" w14:textId="77777777" w:rsidR="00851D04" w:rsidRDefault="00851D04" w:rsidP="00851D04">
      <w:pPr>
        <w:spacing w:after="0" w:line="240" w:lineRule="auto"/>
      </w:pPr>
      <w:r>
        <w:separator/>
      </w:r>
    </w:p>
  </w:endnote>
  <w:endnote w:type="continuationSeparator" w:id="0">
    <w:p w14:paraId="4D0B296A" w14:textId="77777777" w:rsidR="00851D04" w:rsidRDefault="00851D04" w:rsidP="0085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5A1B5" w14:textId="77777777" w:rsidR="00851D04" w:rsidRDefault="00851D04" w:rsidP="00851D04">
      <w:pPr>
        <w:spacing w:after="0" w:line="240" w:lineRule="auto"/>
      </w:pPr>
      <w:r>
        <w:separator/>
      </w:r>
    </w:p>
  </w:footnote>
  <w:footnote w:type="continuationSeparator" w:id="0">
    <w:p w14:paraId="7B6B931C" w14:textId="77777777" w:rsidR="00851D04" w:rsidRDefault="00851D04" w:rsidP="0085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D176E" w14:textId="6EFF0B27" w:rsidR="00851D04" w:rsidRDefault="00686D94" w:rsidP="00851D04">
    <w:pPr>
      <w:pStyle w:val="En-tte"/>
      <w:jc w:val="center"/>
      <w:rPr>
        <w:b/>
        <w:bCs/>
      </w:rPr>
    </w:pPr>
    <w:r w:rsidRPr="00686D94">
      <w:rPr>
        <w:b/>
        <w:bCs/>
      </w:rPr>
      <w:t xml:space="preserve">FOURNITURE, MISE EN SERVICE </w:t>
    </w:r>
    <w:r w:rsidR="00847264">
      <w:rPr>
        <w:b/>
        <w:bCs/>
      </w:rPr>
      <w:t xml:space="preserve">ET </w:t>
    </w:r>
    <w:r w:rsidR="003E0640">
      <w:rPr>
        <w:b/>
        <w:bCs/>
      </w:rPr>
      <w:t xml:space="preserve">MISE AU REBUT </w:t>
    </w:r>
    <w:r w:rsidRPr="00686D94">
      <w:rPr>
        <w:b/>
        <w:bCs/>
      </w:rPr>
      <w:t>DE COFFRETS DE CONTROLE D’ACCES</w:t>
    </w:r>
    <w:r w:rsidR="00851D04" w:rsidRPr="00261557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C7732F" wp14:editId="4E9A9296">
              <wp:simplePos x="0" y="0"/>
              <wp:positionH relativeFrom="column">
                <wp:posOffset>-756920</wp:posOffset>
              </wp:positionH>
              <wp:positionV relativeFrom="paragraph">
                <wp:posOffset>-213448</wp:posOffset>
              </wp:positionV>
              <wp:extent cx="933450" cy="85725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551F15" w14:textId="77777777" w:rsidR="00851D04" w:rsidRDefault="00851D04" w:rsidP="00851D04">
                          <w:bookmarkStart w:id="1" w:name="_Hlk202544711"/>
                          <w:bookmarkEnd w:id="1"/>
                          <w:r>
                            <w:rPr>
                              <w:noProof/>
                              <w:sz w:val="20"/>
                              <w:szCs w:val="20"/>
                              <w:lang w:eastAsia="fr-FR"/>
                            </w:rPr>
                            <w:drawing>
                              <wp:inline distT="0" distB="0" distL="0" distR="0" wp14:anchorId="4BE79492" wp14:editId="0E3B7A3C">
                                <wp:extent cx="837757" cy="803479"/>
                                <wp:effectExtent l="0" t="0" r="635" b="0"/>
                                <wp:docPr id="1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3306" cy="8088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C7732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9.6pt;margin-top:-16.8pt;width:73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xHQwIAAHUEAAAOAAAAZHJzL2Uyb0RvYy54bWysVE1v2zAMvQ/YfxB0X5yvdm0Qp8hSdBhQ&#10;tAXaocBuiiwnAmRRk5TY3a/fk5ykXXcbdlEokX7keyQzv+oaw/bKB0225KPBkDNlJVXabkr+/enm&#10;0wVnIQpbCUNWlfxFBX61+Phh3rqZGtOWTKU8A4gNs9aVfBujmxVFkFvViDAgpyycNflGRFz9pqi8&#10;aIHemGI8HJ4XLfnKeZIqBLxe906+yPh1rWS8r+ugIjMlR20xnz6f63QWi7mYbbxwWy0PZYh/qKIR&#10;2iLpCepaRMF2Xv8F1WjpKVAdB5KagupaS5U5gM1o+I7N41Y4lblAnOBOMoX/Byvv9g+e6arkY86s&#10;aNCiH2gUqxSLqouKjZNErQszRD46xMbuC3Vo9fE94DEx72rfpF9wYvBD7JeTwEBiEo+Xk8n0DB4J&#10;18XZ5zFsoBevHzsf4ldFDUtGyT36l2UV+9sQ+9BjSMoVyOjqRhuTL2lm1Mp4thfotom5RID/EWUs&#10;a0t+PkHq9JGl9HmPbCxqSVR7SsmK3bo78F9T9QL6nvoZCk7eaBR5K0J8EB5DA15YhHiPozaEJNJo&#10;x9mW/K/3bykOPYSHsxbDV/Lwcye84sx8s+ju5Wg6BVzMlymEwsW/9azfeuyuWREYj7BqTmYzxUdz&#10;NGtPzTP2ZJmywiWsRO6Sx6O5iv1KYM+kWi5zEObTiXhrH51M0EmsJP1T9yy8O/QnjcgdHcdUzN61&#10;qY/tZV7uItU69zAJ26t50BuznafgsIdped7ec9Trv8XiNwAAAP//AwBQSwMEFAAGAAgAAAAhAMRG&#10;IZbiAAAACwEAAA8AAABkcnMvZG93bnJldi54bWxMj8tOwzAQRfdI/IM1SGxQ6zyghRCnQoiHxI6m&#10;BbFz4yGJiMdR7Cbh7xlWsJvRHN05N9/MthMjDr51pCBeRiCQKmdaqhXsysfFNQgfNBndOUIF3+hh&#10;U5ye5DozbqJXHLehFhxCPtMKmhD6TEpfNWi1X7oeiW+fbrA68DrU0gx64nDbySSKVtLqlvhDo3u8&#10;b7D62h6tgo+L+v3Fz0/7Kb1K+4fnsVy/mVKp87P57hZEwDn8wfCrz+pQsNPBHcl40SlYxPFNwixP&#10;aboCwUiy5jIHRqP4EmSRy/8dih8AAAD//wMAUEsBAi0AFAAGAAgAAAAhALaDOJL+AAAA4QEAABMA&#10;AAAAAAAAAAAAAAAAAAAAAFtDb250ZW50X1R5cGVzXS54bWxQSwECLQAUAAYACAAAACEAOP0h/9YA&#10;AACUAQAACwAAAAAAAAAAAAAAAAAvAQAAX3JlbHMvLnJlbHNQSwECLQAUAAYACAAAACEAIWmMR0MC&#10;AAB1BAAADgAAAAAAAAAAAAAAAAAuAgAAZHJzL2Uyb0RvYy54bWxQSwECLQAUAAYACAAAACEAxEYh&#10;luIAAAALAQAADwAAAAAAAAAAAAAAAACdBAAAZHJzL2Rvd25yZXYueG1sUEsFBgAAAAAEAAQA8wAA&#10;AKwFAAAAAA==&#10;" fillcolor="white [3201]" stroked="f" strokeweight=".5pt">
              <v:textbox>
                <w:txbxContent>
                  <w:p w14:paraId="5C551F15" w14:textId="77777777" w:rsidR="00851D04" w:rsidRDefault="00851D04" w:rsidP="00851D04">
                    <w:bookmarkStart w:id="23" w:name="_Hlk202544711"/>
                    <w:bookmarkEnd w:id="23"/>
                    <w:r>
                      <w:rPr>
                        <w:noProof/>
                        <w:sz w:val="20"/>
                        <w:szCs w:val="20"/>
                        <w:lang w:eastAsia="fr-FR"/>
                      </w:rPr>
                      <w:drawing>
                        <wp:inline distT="0" distB="0" distL="0" distR="0" wp14:anchorId="4BE79492" wp14:editId="0E3B7A3C">
                          <wp:extent cx="837757" cy="803479"/>
                          <wp:effectExtent l="0" t="0" r="635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3306" cy="8088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908A350" w14:textId="6F78795C" w:rsidR="00851D04" w:rsidRDefault="00851D04" w:rsidP="00851D04">
    <w:pPr>
      <w:pStyle w:val="En-tte"/>
      <w:jc w:val="center"/>
      <w:rPr>
        <w:b/>
        <w:bCs/>
      </w:rPr>
    </w:pPr>
    <w:r>
      <w:rPr>
        <w:b/>
        <w:bCs/>
      </w:rPr>
      <w:t xml:space="preserve">N° de consultation </w:t>
    </w:r>
    <w:r w:rsidR="00686D94" w:rsidRPr="00686D94">
      <w:rPr>
        <w:b/>
        <w:bCs/>
      </w:rPr>
      <w:t>2025EFSIDFR912</w:t>
    </w:r>
  </w:p>
  <w:p w14:paraId="6B6E116C" w14:textId="77777777" w:rsidR="00851D04" w:rsidRDefault="00851D04" w:rsidP="00851D04">
    <w:pPr>
      <w:pStyle w:val="En-tte"/>
      <w:jc w:val="center"/>
      <w:rPr>
        <w:b/>
        <w:bCs/>
      </w:rPr>
    </w:pPr>
  </w:p>
  <w:p w14:paraId="3431F038" w14:textId="77777777" w:rsidR="000458B7" w:rsidRDefault="000458B7" w:rsidP="00851D0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E23FE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46A11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57"/>
    <w:rsid w:val="000458B7"/>
    <w:rsid w:val="0015233A"/>
    <w:rsid w:val="003013BB"/>
    <w:rsid w:val="00357CD3"/>
    <w:rsid w:val="003E0640"/>
    <w:rsid w:val="00686D94"/>
    <w:rsid w:val="00847264"/>
    <w:rsid w:val="00851D04"/>
    <w:rsid w:val="00BA0E29"/>
    <w:rsid w:val="00C0634E"/>
    <w:rsid w:val="00CC5B57"/>
    <w:rsid w:val="00CF59BB"/>
    <w:rsid w:val="00DC3807"/>
    <w:rsid w:val="00F0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A9742B"/>
  <w15:chartTrackingRefBased/>
  <w15:docId w15:val="{8F558091-6942-4713-BC3E-E7944994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D04"/>
  </w:style>
  <w:style w:type="paragraph" w:styleId="Pieddepage">
    <w:name w:val="footer"/>
    <w:basedOn w:val="Normal"/>
    <w:link w:val="Pieddepag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1D04"/>
  </w:style>
  <w:style w:type="table" w:styleId="Grilledutableau">
    <w:name w:val="Table Grid"/>
    <w:basedOn w:val="TableauNormal"/>
    <w:uiPriority w:val="39"/>
    <w:rsid w:val="00851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8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E06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06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06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06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064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Mailye</dc:creator>
  <cp:keywords/>
  <dc:description/>
  <cp:lastModifiedBy>GUILLOU Yoan</cp:lastModifiedBy>
  <cp:revision>5</cp:revision>
  <dcterms:created xsi:type="dcterms:W3CDTF">2025-07-06T07:17:00Z</dcterms:created>
  <dcterms:modified xsi:type="dcterms:W3CDTF">2025-07-11T09:56:00Z</dcterms:modified>
</cp:coreProperties>
</file>