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commentsIds.xml" ContentType="application/vnd.openxmlformats-officedocument.wordprocessingml.commentsId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9129DD" w14:textId="77777777" w:rsidR="00313595" w:rsidRDefault="00905635" w:rsidP="00895507">
      <w:pPr>
        <w:pStyle w:val="Titre"/>
        <w:jc w:val="center"/>
      </w:pPr>
      <w:r>
        <w:t xml:space="preserve">Cahier des charges </w:t>
      </w:r>
    </w:p>
    <w:p w14:paraId="74FFF94B" w14:textId="77777777" w:rsidR="00905635" w:rsidRDefault="00905635" w:rsidP="00895507">
      <w:pPr>
        <w:pStyle w:val="Titre"/>
        <w:jc w:val="center"/>
      </w:pPr>
      <w:r>
        <w:t>Accord cadre Restaurations -Mucem</w:t>
      </w:r>
    </w:p>
    <w:p w14:paraId="1B0BB5BF" w14:textId="77777777" w:rsidR="00905635" w:rsidRDefault="00905635"/>
    <w:p w14:paraId="2B4831D6" w14:textId="77777777" w:rsidR="00805351" w:rsidRPr="00DF16B7" w:rsidRDefault="00905635" w:rsidP="00DF16B7">
      <w:pPr>
        <w:jc w:val="center"/>
        <w:rPr>
          <w:b/>
        </w:rPr>
      </w:pPr>
      <w:r w:rsidRPr="00DF16B7">
        <w:rPr>
          <w:b/>
        </w:rPr>
        <w:t xml:space="preserve">Protocole de </w:t>
      </w:r>
      <w:r w:rsidR="008702C4">
        <w:rPr>
          <w:b/>
        </w:rPr>
        <w:t xml:space="preserve">remise des rapports de restauration et </w:t>
      </w:r>
      <w:r w:rsidRPr="00DF16B7">
        <w:rPr>
          <w:b/>
        </w:rPr>
        <w:t xml:space="preserve">des fichiers photographiques </w:t>
      </w:r>
    </w:p>
    <w:p w14:paraId="0BACA33B" w14:textId="77777777" w:rsidR="00905635" w:rsidRDefault="00905635"/>
    <w:p w14:paraId="78FEC2A8" w14:textId="77777777" w:rsidR="006B40D1" w:rsidRPr="00DF16B7" w:rsidRDefault="006B40D1">
      <w:pPr>
        <w:rPr>
          <w:b/>
        </w:rPr>
      </w:pPr>
      <w:r w:rsidRPr="00DF16B7">
        <w:rPr>
          <w:b/>
        </w:rPr>
        <w:t>Rapport de restauration :</w:t>
      </w:r>
    </w:p>
    <w:p w14:paraId="607E9805" w14:textId="77777777" w:rsidR="008702C4" w:rsidRDefault="00FE484E">
      <w:r>
        <w:t>La description des interventions fera systématiquement l’objet d’un rapport de restauration illustré de photographies, comprenant une note méthodologique et une fiche des produits employés. Il sera remis au Mucem au format PDF et renommé de la manière suivante :</w:t>
      </w:r>
    </w:p>
    <w:p w14:paraId="4F328913" w14:textId="5D8745BC" w:rsidR="000A1500" w:rsidRDefault="00FE484E">
      <w:r>
        <w:t xml:space="preserve"> </w:t>
      </w:r>
      <w:r w:rsidR="008702C4">
        <w:t xml:space="preserve">Ex. </w:t>
      </w:r>
      <w:r w:rsidR="000A1500">
        <w:t>r</w:t>
      </w:r>
      <w:r w:rsidR="007F730B">
        <w:t>2024_1</w:t>
      </w:r>
      <w:r w:rsidR="000A1500">
        <w:t>_</w:t>
      </w:r>
      <w:r w:rsidR="00626DD4">
        <w:t>rapport_</w:t>
      </w:r>
      <w:r w:rsidR="00BB6D83">
        <w:t>restauration</w:t>
      </w:r>
      <w:r w:rsidR="000A1500">
        <w:t>_nomdurestaurateur.pdf (sans majuscule, ni espace, ni accent).</w:t>
      </w:r>
    </w:p>
    <w:p w14:paraId="5788ACBB" w14:textId="5616CEF8" w:rsidR="000A1500" w:rsidRDefault="000A1500">
      <w:r>
        <w:t>Le numéro de restauration est fourni par le Mucem.</w:t>
      </w:r>
    </w:p>
    <w:p w14:paraId="440EF4AF" w14:textId="2DD38594" w:rsidR="000A1500" w:rsidRDefault="000A1500">
      <w:r w:rsidRPr="00781AC7">
        <w:t xml:space="preserve">Les annexes éventuelles (même créées sous forme de tableaux excel) seront à remettre au format pdf et à fusionner avec le rapport. </w:t>
      </w:r>
    </w:p>
    <w:p w14:paraId="78D688CC" w14:textId="77777777" w:rsidR="000A1500" w:rsidRDefault="000A1500">
      <w:pPr>
        <w:rPr>
          <w:u w:val="single"/>
        </w:rPr>
      </w:pPr>
    </w:p>
    <w:p w14:paraId="343DC6C3" w14:textId="77777777" w:rsidR="006B40D1" w:rsidRPr="00886C9F" w:rsidRDefault="00FE484E">
      <w:pPr>
        <w:rPr>
          <w:u w:val="single"/>
        </w:rPr>
      </w:pPr>
      <w:r w:rsidRPr="00886C9F">
        <w:rPr>
          <w:u w:val="single"/>
        </w:rPr>
        <w:t>Conservation et communicabilité :</w:t>
      </w:r>
    </w:p>
    <w:p w14:paraId="0FAA9D54" w14:textId="543B872E" w:rsidR="00A72D4F" w:rsidRDefault="00FE484E">
      <w:r>
        <w:t xml:space="preserve">Les rapports de restauration </w:t>
      </w:r>
      <w:r w:rsidR="00886C9F">
        <w:t>sont</w:t>
      </w:r>
      <w:r>
        <w:t xml:space="preserve"> conservés par le Mucem au titre des archives publiques. Le délai légal de communicabilité de 50 ans sera appliqué. </w:t>
      </w:r>
      <w:r w:rsidR="00886C9F">
        <w:t>Toute</w:t>
      </w:r>
      <w:r>
        <w:t xml:space="preserve"> communication en dessous de ce délai sera </w:t>
      </w:r>
      <w:r w:rsidR="00886C9F">
        <w:t>soumise</w:t>
      </w:r>
      <w:r>
        <w:t xml:space="preserve"> à une demande d’autorisation </w:t>
      </w:r>
      <w:r w:rsidR="00886C9F">
        <w:t>préalable</w:t>
      </w:r>
      <w:r w:rsidR="0021187A">
        <w:t xml:space="preserve"> à l’auteur du rapport</w:t>
      </w:r>
      <w:r>
        <w:t>.</w:t>
      </w:r>
    </w:p>
    <w:p w14:paraId="0ABDCC77" w14:textId="77777777" w:rsidR="00781AC7" w:rsidRDefault="00781AC7"/>
    <w:p w14:paraId="1BC2F8AE" w14:textId="77777777" w:rsidR="00967775" w:rsidRPr="00110CB4" w:rsidRDefault="00967775">
      <w:pPr>
        <w:rPr>
          <w:u w:val="single"/>
        </w:rPr>
      </w:pPr>
      <w:r w:rsidRPr="00110CB4">
        <w:rPr>
          <w:u w:val="single"/>
        </w:rPr>
        <w:t>Nombre de visuels</w:t>
      </w:r>
      <w:r w:rsidR="00110CB4">
        <w:rPr>
          <w:u w:val="single"/>
        </w:rPr>
        <w:t xml:space="preserve"> attendus</w:t>
      </w:r>
      <w:r w:rsidRPr="00110CB4">
        <w:rPr>
          <w:u w:val="single"/>
        </w:rPr>
        <w:t> :</w:t>
      </w:r>
    </w:p>
    <w:p w14:paraId="21CADE04" w14:textId="55089A0B" w:rsidR="006B40D1" w:rsidRDefault="002413A5">
      <w:r>
        <w:t xml:space="preserve">En fonction de l’intervention, le rapport </w:t>
      </w:r>
      <w:r w:rsidR="00B37A7E">
        <w:t xml:space="preserve">pdf </w:t>
      </w:r>
      <w:r>
        <w:t xml:space="preserve">pourra contenir </w:t>
      </w:r>
      <w:r w:rsidR="006B40D1">
        <w:t xml:space="preserve">une sélection de photographies </w:t>
      </w:r>
      <w:r w:rsidR="00DF16B7">
        <w:t xml:space="preserve">pour chaque bien restauré </w:t>
      </w:r>
      <w:r w:rsidR="006B40D1">
        <w:t>avant</w:t>
      </w:r>
      <w:r>
        <w:t>, pendant et après restauration.</w:t>
      </w:r>
    </w:p>
    <w:p w14:paraId="7EB3F8C5" w14:textId="77777777" w:rsidR="00DA662B" w:rsidRDefault="00DA662B">
      <w:r>
        <w:t>La quantité des visuels remis dépend du type d’intervention et de la typologie des biens.</w:t>
      </w:r>
    </w:p>
    <w:p w14:paraId="595B9C0B" w14:textId="0A1EA766" w:rsidR="00DA662B" w:rsidRDefault="00DA662B">
      <w:r>
        <w:t>A titre indicatif :</w:t>
      </w:r>
    </w:p>
    <w:tbl>
      <w:tblPr>
        <w:tblStyle w:val="Grilledutableau"/>
        <w:tblW w:w="0" w:type="auto"/>
        <w:tblLook w:val="04A0" w:firstRow="1" w:lastRow="0" w:firstColumn="1" w:lastColumn="0" w:noHBand="0" w:noVBand="1"/>
      </w:tblPr>
      <w:tblGrid>
        <w:gridCol w:w="1980"/>
        <w:gridCol w:w="2126"/>
        <w:gridCol w:w="2552"/>
        <w:gridCol w:w="2404"/>
      </w:tblGrid>
      <w:tr w:rsidR="00DA662B" w14:paraId="1EBFAD8A" w14:textId="77777777" w:rsidTr="008F44C9">
        <w:tc>
          <w:tcPr>
            <w:tcW w:w="1980" w:type="dxa"/>
          </w:tcPr>
          <w:p w14:paraId="2A7E4337" w14:textId="77777777" w:rsidR="00DA662B" w:rsidRPr="00110CB4" w:rsidRDefault="00DA662B">
            <w:pPr>
              <w:rPr>
                <w:b/>
              </w:rPr>
            </w:pPr>
            <w:r w:rsidRPr="00110CB4">
              <w:rPr>
                <w:b/>
              </w:rPr>
              <w:t>Typologie du bien</w:t>
            </w:r>
          </w:p>
        </w:tc>
        <w:tc>
          <w:tcPr>
            <w:tcW w:w="2126" w:type="dxa"/>
          </w:tcPr>
          <w:p w14:paraId="48E55A10" w14:textId="2E59B6D7" w:rsidR="00DA662B" w:rsidRPr="00110CB4" w:rsidRDefault="00DA662B" w:rsidP="00781AC7">
            <w:pPr>
              <w:rPr>
                <w:b/>
              </w:rPr>
            </w:pPr>
            <w:r w:rsidRPr="00110CB4">
              <w:rPr>
                <w:b/>
              </w:rPr>
              <w:t>Nombre de visuels avant restauration</w:t>
            </w:r>
          </w:p>
        </w:tc>
        <w:tc>
          <w:tcPr>
            <w:tcW w:w="2552" w:type="dxa"/>
          </w:tcPr>
          <w:p w14:paraId="21BD03C9" w14:textId="42C82621" w:rsidR="00DA662B" w:rsidRPr="00110CB4" w:rsidRDefault="00DA662B" w:rsidP="00781AC7">
            <w:pPr>
              <w:rPr>
                <w:b/>
              </w:rPr>
            </w:pPr>
            <w:r w:rsidRPr="00110CB4">
              <w:rPr>
                <w:b/>
              </w:rPr>
              <w:t xml:space="preserve">Nombre de visuels </w:t>
            </w:r>
            <w:r w:rsidR="00895507" w:rsidRPr="00110CB4">
              <w:rPr>
                <w:b/>
              </w:rPr>
              <w:t xml:space="preserve">en cours de </w:t>
            </w:r>
            <w:r w:rsidRPr="00110CB4">
              <w:rPr>
                <w:b/>
              </w:rPr>
              <w:t>restauration</w:t>
            </w:r>
          </w:p>
        </w:tc>
        <w:tc>
          <w:tcPr>
            <w:tcW w:w="2404" w:type="dxa"/>
          </w:tcPr>
          <w:p w14:paraId="6B47060A" w14:textId="136B9988" w:rsidR="00DA662B" w:rsidRPr="00110CB4" w:rsidRDefault="00DA662B" w:rsidP="00781AC7">
            <w:pPr>
              <w:rPr>
                <w:b/>
              </w:rPr>
            </w:pPr>
            <w:r w:rsidRPr="00110CB4">
              <w:rPr>
                <w:b/>
              </w:rPr>
              <w:t>Nombre de visuels après restauration</w:t>
            </w:r>
          </w:p>
        </w:tc>
      </w:tr>
      <w:tr w:rsidR="00DA662B" w14:paraId="7AF4D7DD" w14:textId="77777777" w:rsidTr="008F44C9">
        <w:tc>
          <w:tcPr>
            <w:tcW w:w="1980" w:type="dxa"/>
          </w:tcPr>
          <w:p w14:paraId="3A713D02" w14:textId="77777777" w:rsidR="00DA662B" w:rsidRPr="00110CB4" w:rsidRDefault="00DA662B">
            <w:r w:rsidRPr="00110CB4">
              <w:t xml:space="preserve">Arts graphiques </w:t>
            </w:r>
          </w:p>
        </w:tc>
        <w:tc>
          <w:tcPr>
            <w:tcW w:w="2126" w:type="dxa"/>
          </w:tcPr>
          <w:p w14:paraId="253E4035" w14:textId="77777777" w:rsidR="00DA662B" w:rsidRDefault="00DA662B">
            <w:r>
              <w:t>2 (recto et verso)</w:t>
            </w:r>
          </w:p>
        </w:tc>
        <w:tc>
          <w:tcPr>
            <w:tcW w:w="2552" w:type="dxa"/>
          </w:tcPr>
          <w:p w14:paraId="6031F9DC" w14:textId="77777777" w:rsidR="00DA662B" w:rsidRDefault="00DA662B">
            <w:r>
              <w:t>2 (recto et verso)</w:t>
            </w:r>
          </w:p>
        </w:tc>
        <w:tc>
          <w:tcPr>
            <w:tcW w:w="2404" w:type="dxa"/>
          </w:tcPr>
          <w:p w14:paraId="784B4722" w14:textId="77777777" w:rsidR="00DA662B" w:rsidRDefault="00DA662B">
            <w:r>
              <w:t>2 (recto et verso)</w:t>
            </w:r>
          </w:p>
        </w:tc>
      </w:tr>
      <w:tr w:rsidR="00DA662B" w14:paraId="2D4F49A2" w14:textId="77777777" w:rsidTr="008F44C9">
        <w:tc>
          <w:tcPr>
            <w:tcW w:w="1980" w:type="dxa"/>
          </w:tcPr>
          <w:p w14:paraId="1E0A2483" w14:textId="77777777" w:rsidR="00DA662B" w:rsidRPr="00110CB4" w:rsidRDefault="00DA662B">
            <w:r w:rsidRPr="00110CB4">
              <w:t>Peintures</w:t>
            </w:r>
          </w:p>
        </w:tc>
        <w:tc>
          <w:tcPr>
            <w:tcW w:w="2126" w:type="dxa"/>
          </w:tcPr>
          <w:p w14:paraId="0627665F" w14:textId="77777777" w:rsidR="00DA662B" w:rsidRDefault="00DA662B">
            <w:r>
              <w:t>2 (recto et verso)</w:t>
            </w:r>
            <w:r>
              <w:br/>
              <w:t>4 (si avec cadre)</w:t>
            </w:r>
          </w:p>
        </w:tc>
        <w:tc>
          <w:tcPr>
            <w:tcW w:w="2552" w:type="dxa"/>
          </w:tcPr>
          <w:p w14:paraId="308F0781" w14:textId="77777777" w:rsidR="00DA662B" w:rsidRDefault="00DA662B">
            <w:r>
              <w:t>2 (recto et verso)</w:t>
            </w:r>
            <w:r>
              <w:br/>
              <w:t>4 (si avec cadre)</w:t>
            </w:r>
          </w:p>
        </w:tc>
        <w:tc>
          <w:tcPr>
            <w:tcW w:w="2404" w:type="dxa"/>
          </w:tcPr>
          <w:p w14:paraId="7A1FB428" w14:textId="77777777" w:rsidR="00DA662B" w:rsidRDefault="00DA662B">
            <w:r>
              <w:t>2 (recto et verso)</w:t>
            </w:r>
            <w:r>
              <w:br/>
              <w:t>4 (si avec cadre)</w:t>
            </w:r>
          </w:p>
        </w:tc>
      </w:tr>
      <w:tr w:rsidR="00DA662B" w14:paraId="3652DF65" w14:textId="77777777" w:rsidTr="008F44C9">
        <w:tc>
          <w:tcPr>
            <w:tcW w:w="1980" w:type="dxa"/>
          </w:tcPr>
          <w:p w14:paraId="55C8A34B" w14:textId="77777777" w:rsidR="00DA662B" w:rsidRPr="00110CB4" w:rsidRDefault="008B5FAC">
            <w:r w:rsidRPr="00110CB4">
              <w:t xml:space="preserve">Petits </w:t>
            </w:r>
            <w:r w:rsidR="008F44C9" w:rsidRPr="00110CB4">
              <w:t>objets 3D</w:t>
            </w:r>
          </w:p>
        </w:tc>
        <w:tc>
          <w:tcPr>
            <w:tcW w:w="2126" w:type="dxa"/>
          </w:tcPr>
          <w:p w14:paraId="0D2D4D1D" w14:textId="43BCD95C" w:rsidR="00DA662B" w:rsidRDefault="00FE300D">
            <w:r>
              <w:t>1 par face</w:t>
            </w:r>
          </w:p>
        </w:tc>
        <w:tc>
          <w:tcPr>
            <w:tcW w:w="2552" w:type="dxa"/>
          </w:tcPr>
          <w:p w14:paraId="1DF41559" w14:textId="3D2D0F83" w:rsidR="00DA662B" w:rsidRDefault="00FE300D">
            <w:r>
              <w:t>1 par face</w:t>
            </w:r>
          </w:p>
        </w:tc>
        <w:tc>
          <w:tcPr>
            <w:tcW w:w="2404" w:type="dxa"/>
          </w:tcPr>
          <w:p w14:paraId="37E3B992" w14:textId="61775401" w:rsidR="00DA662B" w:rsidRDefault="00FE300D">
            <w:r>
              <w:t>1 par face</w:t>
            </w:r>
          </w:p>
        </w:tc>
      </w:tr>
      <w:tr w:rsidR="008B5FAC" w14:paraId="46FCFD68" w14:textId="77777777" w:rsidTr="008F44C9">
        <w:tc>
          <w:tcPr>
            <w:tcW w:w="1980" w:type="dxa"/>
          </w:tcPr>
          <w:p w14:paraId="2450F8DD" w14:textId="77777777" w:rsidR="008B5FAC" w:rsidRPr="00110CB4" w:rsidRDefault="008B5FAC" w:rsidP="008B5FAC">
            <w:r w:rsidRPr="00110CB4">
              <w:t>Objet</w:t>
            </w:r>
            <w:r w:rsidR="001A7CF5" w:rsidRPr="00110CB4">
              <w:t>s</w:t>
            </w:r>
            <w:r w:rsidRPr="00110CB4">
              <w:t xml:space="preserve"> 3D volumineux</w:t>
            </w:r>
            <w:r w:rsidR="001A7CF5" w:rsidRPr="00110CB4">
              <w:t xml:space="preserve"> ou </w:t>
            </w:r>
            <w:r w:rsidR="001A7CF5" w:rsidRPr="00110CB4">
              <w:lastRenderedPageBreak/>
              <w:t>présentant des sous parties</w:t>
            </w:r>
          </w:p>
        </w:tc>
        <w:tc>
          <w:tcPr>
            <w:tcW w:w="2126" w:type="dxa"/>
          </w:tcPr>
          <w:p w14:paraId="51680196" w14:textId="77777777" w:rsidR="008B5FAC" w:rsidRDefault="008B5FAC" w:rsidP="008B5FAC">
            <w:r>
              <w:lastRenderedPageBreak/>
              <w:t>4 (vue d’ensemble)</w:t>
            </w:r>
          </w:p>
          <w:p w14:paraId="1E11C663" w14:textId="07045015" w:rsidR="008B5FAC" w:rsidRDefault="006528CC" w:rsidP="008B5FAC">
            <w:r>
              <w:lastRenderedPageBreak/>
              <w:t>1 (vue par zone traitée)</w:t>
            </w:r>
          </w:p>
        </w:tc>
        <w:tc>
          <w:tcPr>
            <w:tcW w:w="2552" w:type="dxa"/>
          </w:tcPr>
          <w:p w14:paraId="2AF49736" w14:textId="77777777" w:rsidR="008B5FAC" w:rsidRDefault="008B5FAC" w:rsidP="008B5FAC">
            <w:r>
              <w:lastRenderedPageBreak/>
              <w:t>4 (vue d’ensemble)</w:t>
            </w:r>
          </w:p>
          <w:p w14:paraId="0459C4E4" w14:textId="5F3FD0A0" w:rsidR="008B5FAC" w:rsidRDefault="006528CC" w:rsidP="008B5FAC">
            <w:r>
              <w:lastRenderedPageBreak/>
              <w:t>1 (vue par zone traitée)</w:t>
            </w:r>
          </w:p>
        </w:tc>
        <w:tc>
          <w:tcPr>
            <w:tcW w:w="2404" w:type="dxa"/>
          </w:tcPr>
          <w:p w14:paraId="02E3233E" w14:textId="77777777" w:rsidR="008B5FAC" w:rsidRDefault="008B5FAC" w:rsidP="008B5FAC">
            <w:r>
              <w:lastRenderedPageBreak/>
              <w:t>4 (vue d’ensemble)</w:t>
            </w:r>
          </w:p>
          <w:p w14:paraId="5ECBAEC7" w14:textId="3CC3796E" w:rsidR="008B5FAC" w:rsidRDefault="006528CC" w:rsidP="008B5FAC">
            <w:r>
              <w:lastRenderedPageBreak/>
              <w:t>1 (vue par zone traitée)</w:t>
            </w:r>
          </w:p>
        </w:tc>
      </w:tr>
      <w:tr w:rsidR="008B5FAC" w14:paraId="04F28E95" w14:textId="77777777" w:rsidTr="008F44C9">
        <w:tc>
          <w:tcPr>
            <w:tcW w:w="1980" w:type="dxa"/>
          </w:tcPr>
          <w:p w14:paraId="72926BF3" w14:textId="77777777" w:rsidR="008B5FAC" w:rsidRPr="00110CB4" w:rsidRDefault="00713534" w:rsidP="008B5FAC">
            <w:r w:rsidRPr="00110CB4">
              <w:lastRenderedPageBreak/>
              <w:t>Si marquage de l’objet</w:t>
            </w:r>
          </w:p>
        </w:tc>
        <w:tc>
          <w:tcPr>
            <w:tcW w:w="2126" w:type="dxa"/>
          </w:tcPr>
          <w:p w14:paraId="76443C11" w14:textId="77777777" w:rsidR="008B5FAC" w:rsidRDefault="00D9456E" w:rsidP="008B5FAC">
            <w:r>
              <w:t>1 (si marquage repris)</w:t>
            </w:r>
          </w:p>
        </w:tc>
        <w:tc>
          <w:tcPr>
            <w:tcW w:w="2552" w:type="dxa"/>
          </w:tcPr>
          <w:p w14:paraId="32C13C82" w14:textId="77777777" w:rsidR="008B5FAC" w:rsidRDefault="008B5FAC" w:rsidP="008B5FAC"/>
        </w:tc>
        <w:tc>
          <w:tcPr>
            <w:tcW w:w="2404" w:type="dxa"/>
          </w:tcPr>
          <w:p w14:paraId="3A3B0318" w14:textId="77777777" w:rsidR="008B5FAC" w:rsidRDefault="00D9456E" w:rsidP="00D9456E">
            <w:r>
              <w:t>1 (vue du marquage en essayant si possible d’avoir une vue plus générale de la zone de marquage)</w:t>
            </w:r>
          </w:p>
        </w:tc>
      </w:tr>
    </w:tbl>
    <w:p w14:paraId="1A450A57" w14:textId="77777777" w:rsidR="00B37A7E" w:rsidRDefault="00B37A7E"/>
    <w:p w14:paraId="53B55E4F" w14:textId="77777777" w:rsidR="00B37A7E" w:rsidRDefault="00B37A7E" w:rsidP="00B37A7E">
      <w:pPr>
        <w:rPr>
          <w:b/>
        </w:rPr>
      </w:pPr>
      <w:r w:rsidRPr="006B40D1">
        <w:rPr>
          <w:b/>
        </w:rPr>
        <w:t>Fichiers photographiques :</w:t>
      </w:r>
    </w:p>
    <w:p w14:paraId="10EFD7D4" w14:textId="4420CBEB" w:rsidR="0099122E" w:rsidRDefault="00967775">
      <w:r>
        <w:t>Dans le cadre de la politique de sobriété numérique engagée par le Mucem,</w:t>
      </w:r>
      <w:r w:rsidR="008B5FAC">
        <w:t xml:space="preserve"> </w:t>
      </w:r>
      <w:r>
        <w:t>il</w:t>
      </w:r>
      <w:r w:rsidR="008B5FAC">
        <w:t xml:space="preserve"> est demandé au restaurateur de procéder à</w:t>
      </w:r>
      <w:r w:rsidR="003266FF">
        <w:t xml:space="preserve"> une sélection</w:t>
      </w:r>
      <w:r w:rsidR="008B5FAC">
        <w:t xml:space="preserve"> limitée des photographies réalisées</w:t>
      </w:r>
      <w:r w:rsidR="00B37A7E">
        <w:t xml:space="preserve"> à l’issue de l’opération</w:t>
      </w:r>
      <w:r w:rsidR="008B5FAC">
        <w:t xml:space="preserve">. </w:t>
      </w:r>
      <w:r w:rsidR="0099122E">
        <w:t xml:space="preserve">Le Mucem souhaite </w:t>
      </w:r>
      <w:r w:rsidR="00D9456E">
        <w:t xml:space="preserve">en effet </w:t>
      </w:r>
      <w:r w:rsidR="0099122E">
        <w:t>privilégier la qualité HD de la photographie, qui permet de visualiser les détails de l’objet, à plusieurs prises de vue de détails de plus faible résolution.</w:t>
      </w:r>
    </w:p>
    <w:p w14:paraId="408BBE4C" w14:textId="75212987" w:rsidR="00D8143A" w:rsidRDefault="00D8143A">
      <w:r>
        <w:t>Ces photos après restauration doivent permettre une vue d’ensemble de l’objet (se référer au tableau ci-dessus).</w:t>
      </w:r>
    </w:p>
    <w:p w14:paraId="5C37A0FA" w14:textId="77777777" w:rsidR="006B40D1" w:rsidRDefault="00967775">
      <w:pPr>
        <w:rPr>
          <w:b/>
        </w:rPr>
      </w:pPr>
      <w:r w:rsidRPr="00967775">
        <w:rPr>
          <w:b/>
        </w:rPr>
        <w:t>Qualité des images :</w:t>
      </w:r>
    </w:p>
    <w:p w14:paraId="5D27832A" w14:textId="77777777" w:rsidR="00D9456E" w:rsidRPr="008840C2" w:rsidRDefault="00D9456E" w:rsidP="00D9456E">
      <w:pPr>
        <w:rPr>
          <w:u w:val="single"/>
        </w:rPr>
      </w:pPr>
      <w:r w:rsidRPr="008840C2">
        <w:rPr>
          <w:u w:val="single"/>
        </w:rPr>
        <w:t>Caractéristiques attendues :</w:t>
      </w:r>
    </w:p>
    <w:p w14:paraId="4FDFD51F" w14:textId="77777777" w:rsidR="006B307B" w:rsidRDefault="00D9456E" w:rsidP="00D9456E">
      <w:r w:rsidRPr="00D9456E">
        <w:rPr>
          <w:b/>
        </w:rPr>
        <w:t>•</w:t>
      </w:r>
      <w:r>
        <w:rPr>
          <w:b/>
        </w:rPr>
        <w:t xml:space="preserve"> </w:t>
      </w:r>
      <w:r w:rsidRPr="00D9456E">
        <w:t>Photographie numérique en couleur nommée avec le n° d’id</w:t>
      </w:r>
      <w:r>
        <w:t>entific</w:t>
      </w:r>
      <w:r w:rsidR="006B307B">
        <w:t>ation de l’objet.</w:t>
      </w:r>
    </w:p>
    <w:p w14:paraId="0423A05B" w14:textId="77777777" w:rsidR="007878B5" w:rsidRDefault="007878B5" w:rsidP="006B307B">
      <w:r>
        <w:t>Nommage de la photographie après restauration :</w:t>
      </w:r>
    </w:p>
    <w:p w14:paraId="329BA75C" w14:textId="73314E61" w:rsidR="006B307B" w:rsidRDefault="004A42C6" w:rsidP="006B307B">
      <w:r>
        <w:t>phr-</w:t>
      </w:r>
      <w:r w:rsidR="006B307B">
        <w:t>2024-</w:t>
      </w:r>
      <w:r w:rsidR="00797272">
        <w:t>3-4</w:t>
      </w:r>
      <w:r w:rsidR="006B307B" w:rsidRPr="00D9456E">
        <w:t>-p1.jpg</w:t>
      </w:r>
    </w:p>
    <w:p w14:paraId="1870518F" w14:textId="461A45FA" w:rsidR="006B307B" w:rsidRDefault="004A42C6" w:rsidP="006B307B">
      <w:r>
        <w:t>phr-</w:t>
      </w:r>
      <w:r w:rsidR="00546720">
        <w:t>2024-3</w:t>
      </w:r>
      <w:r w:rsidR="006B307B">
        <w:t>-</w:t>
      </w:r>
      <w:r w:rsidR="00546720">
        <w:t>4</w:t>
      </w:r>
      <w:r w:rsidR="006B307B">
        <w:t>-p2</w:t>
      </w:r>
      <w:r w:rsidR="006B307B" w:rsidRPr="00D9456E">
        <w:t>.jpg</w:t>
      </w:r>
    </w:p>
    <w:p w14:paraId="0A408DAA" w14:textId="6B27C41A" w:rsidR="007878B5" w:rsidRDefault="007878B5" w:rsidP="007878B5">
      <w:r>
        <w:t xml:space="preserve">Nommage de la photographie </w:t>
      </w:r>
      <w:r>
        <w:t>du numéro d’inventaire</w:t>
      </w:r>
      <w:r>
        <w:t> :</w:t>
      </w:r>
    </w:p>
    <w:p w14:paraId="7E23DD30" w14:textId="3398869C" w:rsidR="007878B5" w:rsidRDefault="007878B5" w:rsidP="006B307B">
      <w:r>
        <w:t>phinv</w:t>
      </w:r>
      <w:r w:rsidR="00546720">
        <w:t>-2024-3-4</w:t>
      </w:r>
      <w:r>
        <w:t>.jpg</w:t>
      </w:r>
      <w:r w:rsidR="00B02258">
        <w:t xml:space="preserve"> (objet unique)</w:t>
      </w:r>
    </w:p>
    <w:p w14:paraId="13D85E85" w14:textId="457350E7" w:rsidR="00546720" w:rsidRDefault="00546720" w:rsidP="006B307B">
      <w:r>
        <w:t>phinv-2024-3</w:t>
      </w:r>
      <w:r w:rsidR="00B02258">
        <w:t>-5</w:t>
      </w:r>
      <w:r>
        <w:t>-1.jpg (sous-partie 1)</w:t>
      </w:r>
    </w:p>
    <w:p w14:paraId="2C909BA1" w14:textId="53B86EB1" w:rsidR="00546720" w:rsidRDefault="00546720" w:rsidP="00546720">
      <w:r>
        <w:t>phinv-2024-3</w:t>
      </w:r>
      <w:r w:rsidR="00B02258">
        <w:t>-5</w:t>
      </w:r>
      <w:r>
        <w:t>-2</w:t>
      </w:r>
      <w:r>
        <w:t>.jpg</w:t>
      </w:r>
      <w:r>
        <w:t xml:space="preserve"> (sous-partie 2)</w:t>
      </w:r>
    </w:p>
    <w:p w14:paraId="27F5AC53" w14:textId="77777777" w:rsidR="00D9456E" w:rsidRPr="00D9456E" w:rsidRDefault="008840C2" w:rsidP="00D9456E">
      <w:bookmarkStart w:id="0" w:name="_GoBack"/>
      <w:bookmarkEnd w:id="0"/>
      <w:r>
        <w:t xml:space="preserve">• </w:t>
      </w:r>
      <w:r w:rsidR="00D9456E" w:rsidRPr="00D9456E">
        <w:t xml:space="preserve">Objet </w:t>
      </w:r>
      <w:r w:rsidR="00110CB4">
        <w:t xml:space="preserve">situé </w:t>
      </w:r>
      <w:r w:rsidR="00D9456E" w:rsidRPr="00D9456E">
        <w:t>bie</w:t>
      </w:r>
      <w:r w:rsidR="00D9456E">
        <w:t>n au centre, sur un fond neutre</w:t>
      </w:r>
      <w:r>
        <w:t>. E</w:t>
      </w:r>
      <w:r w:rsidR="00D9456E" w:rsidRPr="00D9456E">
        <w:t>viter les éléments parasites (ex. mètre ruban, étiquette…)</w:t>
      </w:r>
      <w:r>
        <w:t>. Si cela est possible, il convient de recourir à une échelle graphique</w:t>
      </w:r>
      <w:r w:rsidR="006B307B">
        <w:t>.</w:t>
      </w:r>
    </w:p>
    <w:p w14:paraId="16E0A9AC" w14:textId="77777777" w:rsidR="00967775" w:rsidRDefault="00967775">
      <w:r w:rsidRPr="00967775">
        <w:t>Les p</w:t>
      </w:r>
      <w:r>
        <w:t>hotographies devront répondre aux</w:t>
      </w:r>
      <w:r w:rsidRPr="00967775">
        <w:t xml:space="preserve"> standard</w:t>
      </w:r>
      <w:r>
        <w:t>s</w:t>
      </w:r>
      <w:r w:rsidRPr="00967775">
        <w:t xml:space="preserve"> suivant</w:t>
      </w:r>
      <w:r>
        <w:t>s</w:t>
      </w:r>
      <w:r w:rsidRPr="00967775">
        <w:t> :</w:t>
      </w:r>
    </w:p>
    <w:p w14:paraId="43D9E3D5" w14:textId="77777777" w:rsidR="006B40D1" w:rsidRDefault="006B40D1">
      <w:r>
        <w:t>Format : tiff ou jpeg</w:t>
      </w:r>
    </w:p>
    <w:p w14:paraId="19062CA3" w14:textId="548F1107" w:rsidR="006B307B" w:rsidRDefault="00495990">
      <w:r>
        <w:t>Résolution </w:t>
      </w:r>
      <w:r w:rsidR="006B307B">
        <w:t>: 300 dpi</w:t>
      </w:r>
    </w:p>
    <w:p w14:paraId="1CEB1CEB" w14:textId="77777777" w:rsidR="0099122E" w:rsidRPr="008840C2" w:rsidRDefault="0099122E">
      <w:pPr>
        <w:rPr>
          <w:u w:val="single"/>
        </w:rPr>
      </w:pPr>
      <w:r w:rsidRPr="008840C2">
        <w:rPr>
          <w:u w:val="single"/>
        </w:rPr>
        <w:t>Crédits photographiques</w:t>
      </w:r>
      <w:r w:rsidR="008840C2" w:rsidRPr="008840C2">
        <w:rPr>
          <w:u w:val="single"/>
        </w:rPr>
        <w:t xml:space="preserve"> et métadonnées</w:t>
      </w:r>
      <w:r w:rsidRPr="008840C2">
        <w:rPr>
          <w:u w:val="single"/>
        </w:rPr>
        <w:t xml:space="preserve"> :</w:t>
      </w:r>
    </w:p>
    <w:p w14:paraId="02C12397" w14:textId="77777777" w:rsidR="009F233F" w:rsidRDefault="009F233F" w:rsidP="008840C2">
      <w:r>
        <w:t xml:space="preserve">Le restaurateur renseignera dans </w:t>
      </w:r>
      <w:r w:rsidR="00110CB4">
        <w:t>les métadonnées de chaque image</w:t>
      </w:r>
      <w:r>
        <w:t>, dans le champ IPTC « Description », « légende » ou « titre »</w:t>
      </w:r>
      <w:r w:rsidR="00110CB4">
        <w:t>, son nom et l’année de prise de vue.</w:t>
      </w:r>
    </w:p>
    <w:p w14:paraId="467EFE85" w14:textId="77777777" w:rsidR="005027B2" w:rsidRDefault="005027B2" w:rsidP="008840C2">
      <w:r>
        <w:t>Exemple :</w:t>
      </w:r>
    </w:p>
    <w:p w14:paraId="10F703AC" w14:textId="77777777" w:rsidR="005027B2" w:rsidRDefault="005027B2" w:rsidP="008840C2">
      <w:r>
        <w:rPr>
          <w:noProof/>
          <w:lang w:eastAsia="fr-FR"/>
        </w:rPr>
        <w:lastRenderedPageBreak/>
        <w:drawing>
          <wp:inline distT="0" distB="0" distL="0" distR="0" wp14:anchorId="229F1F6B" wp14:editId="4D8510CE">
            <wp:extent cx="2895600" cy="309191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904163" cy="3101055"/>
                    </a:xfrm>
                    <a:prstGeom prst="rect">
                      <a:avLst/>
                    </a:prstGeom>
                  </pic:spPr>
                </pic:pic>
              </a:graphicData>
            </a:graphic>
          </wp:inline>
        </w:drawing>
      </w:r>
    </w:p>
    <w:p w14:paraId="6F548F4F" w14:textId="77777777" w:rsidR="00FE484E" w:rsidRDefault="00FE484E" w:rsidP="008840C2"/>
    <w:p w14:paraId="1A0AC1E3" w14:textId="77777777" w:rsidR="00FE484E" w:rsidRPr="00FE484E" w:rsidRDefault="00FE484E" w:rsidP="008840C2">
      <w:pPr>
        <w:rPr>
          <w:u w:val="single"/>
        </w:rPr>
      </w:pPr>
      <w:r w:rsidRPr="00FE484E">
        <w:rPr>
          <w:u w:val="single"/>
        </w:rPr>
        <w:t>C</w:t>
      </w:r>
      <w:r>
        <w:rPr>
          <w:u w:val="single"/>
        </w:rPr>
        <w:t>onservation et c</w:t>
      </w:r>
      <w:r w:rsidRPr="00FE484E">
        <w:rPr>
          <w:u w:val="single"/>
        </w:rPr>
        <w:t>ommunicabilité :</w:t>
      </w:r>
    </w:p>
    <w:p w14:paraId="29BCE26E" w14:textId="77777777" w:rsidR="008840C2" w:rsidRDefault="00317A4E" w:rsidP="008840C2">
      <w:r>
        <w:t>L</w:t>
      </w:r>
      <w:r w:rsidR="008840C2" w:rsidRPr="008840C2">
        <w:t xml:space="preserve">es photographies documentaires seront conservées </w:t>
      </w:r>
      <w:r w:rsidR="008840C2">
        <w:t xml:space="preserve">par </w:t>
      </w:r>
      <w:r>
        <w:t>l</w:t>
      </w:r>
      <w:r w:rsidR="008840C2">
        <w:t xml:space="preserve">e </w:t>
      </w:r>
      <w:r>
        <w:t>Mucem au titre d</w:t>
      </w:r>
      <w:r w:rsidR="006B307B">
        <w:t xml:space="preserve">es </w:t>
      </w:r>
      <w:r w:rsidR="008840C2" w:rsidRPr="008840C2">
        <w:t>archives</w:t>
      </w:r>
      <w:r w:rsidR="008840C2">
        <w:t xml:space="preserve"> publiques</w:t>
      </w:r>
      <w:r w:rsidR="008840C2" w:rsidRPr="008840C2">
        <w:t>.</w:t>
      </w:r>
      <w:r w:rsidR="008840C2">
        <w:t xml:space="preserve"> </w:t>
      </w:r>
      <w:r w:rsidR="006B307B">
        <w:t>Elles seront à ce titre utilisées à des fins documentaires et de valorisation des collections.</w:t>
      </w:r>
    </w:p>
    <w:p w14:paraId="4E475BF2" w14:textId="77777777" w:rsidR="00905635" w:rsidRDefault="00905635"/>
    <w:sectPr w:rsidR="00905635">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431F48" w16cid:durableId="2A310778"/>
  <w16cid:commentId w16cid:paraId="4DA0F782" w16cid:durableId="2A310779"/>
  <w16cid:commentId w16cid:paraId="62A5FDFD" w16cid:durableId="2A3107B3"/>
  <w16cid:commentId w16cid:paraId="6413BF95" w16cid:durableId="2A31077A"/>
  <w16cid:commentId w16cid:paraId="3B35EA9B" w16cid:durableId="2A31077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markup="0" w:comment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635"/>
    <w:rsid w:val="00006CCA"/>
    <w:rsid w:val="00024D57"/>
    <w:rsid w:val="000A1500"/>
    <w:rsid w:val="00110CB4"/>
    <w:rsid w:val="001A7CF5"/>
    <w:rsid w:val="001D45F1"/>
    <w:rsid w:val="0021187A"/>
    <w:rsid w:val="002413A5"/>
    <w:rsid w:val="00313595"/>
    <w:rsid w:val="00317A4E"/>
    <w:rsid w:val="003266FF"/>
    <w:rsid w:val="00495990"/>
    <w:rsid w:val="004A42C6"/>
    <w:rsid w:val="005027B2"/>
    <w:rsid w:val="00546720"/>
    <w:rsid w:val="005F6D57"/>
    <w:rsid w:val="00626DD4"/>
    <w:rsid w:val="006528CC"/>
    <w:rsid w:val="006B307B"/>
    <w:rsid w:val="006B40D1"/>
    <w:rsid w:val="006C2198"/>
    <w:rsid w:val="006F0F36"/>
    <w:rsid w:val="00713534"/>
    <w:rsid w:val="00781AC7"/>
    <w:rsid w:val="007878B5"/>
    <w:rsid w:val="00797272"/>
    <w:rsid w:val="007D3D78"/>
    <w:rsid w:val="007F730B"/>
    <w:rsid w:val="00805351"/>
    <w:rsid w:val="008702C4"/>
    <w:rsid w:val="008840C2"/>
    <w:rsid w:val="00886C9F"/>
    <w:rsid w:val="00895507"/>
    <w:rsid w:val="008B5FAC"/>
    <w:rsid w:val="008F44C9"/>
    <w:rsid w:val="00905635"/>
    <w:rsid w:val="00967775"/>
    <w:rsid w:val="0099122E"/>
    <w:rsid w:val="009F233F"/>
    <w:rsid w:val="00A02A49"/>
    <w:rsid w:val="00A72D4F"/>
    <w:rsid w:val="00B02258"/>
    <w:rsid w:val="00B37A7E"/>
    <w:rsid w:val="00BB08C2"/>
    <w:rsid w:val="00BB6D83"/>
    <w:rsid w:val="00CE0B9A"/>
    <w:rsid w:val="00D73ED5"/>
    <w:rsid w:val="00D8143A"/>
    <w:rsid w:val="00D9456E"/>
    <w:rsid w:val="00DA662B"/>
    <w:rsid w:val="00DF16B7"/>
    <w:rsid w:val="00F912BF"/>
    <w:rsid w:val="00FE300D"/>
    <w:rsid w:val="00FE48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AA438"/>
  <w15:chartTrackingRefBased/>
  <w15:docId w15:val="{2AAFDD7A-D4FA-475E-AF82-C33BA8FEE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056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05635"/>
    <w:rPr>
      <w:rFonts w:asciiTheme="majorHAnsi" w:eastAsiaTheme="majorEastAsia" w:hAnsiTheme="majorHAnsi" w:cstheme="majorBidi"/>
      <w:spacing w:val="-10"/>
      <w:kern w:val="28"/>
      <w:sz w:val="56"/>
      <w:szCs w:val="56"/>
    </w:rPr>
  </w:style>
  <w:style w:type="table" w:styleId="Grilledutableau">
    <w:name w:val="Table Grid"/>
    <w:basedOn w:val="TableauNormal"/>
    <w:uiPriority w:val="39"/>
    <w:rsid w:val="00DA6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9456E"/>
    <w:pPr>
      <w:ind w:left="720"/>
      <w:contextualSpacing/>
    </w:pPr>
  </w:style>
  <w:style w:type="paragraph" w:styleId="Textedebulles">
    <w:name w:val="Balloon Text"/>
    <w:basedOn w:val="Normal"/>
    <w:link w:val="TextedebullesCar"/>
    <w:uiPriority w:val="99"/>
    <w:semiHidden/>
    <w:unhideWhenUsed/>
    <w:rsid w:val="005F6D5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F6D57"/>
    <w:rPr>
      <w:rFonts w:ascii="Segoe UI" w:hAnsi="Segoe UI" w:cs="Segoe UI"/>
      <w:sz w:val="18"/>
      <w:szCs w:val="18"/>
    </w:rPr>
  </w:style>
  <w:style w:type="character" w:styleId="Marquedecommentaire">
    <w:name w:val="annotation reference"/>
    <w:basedOn w:val="Policepardfaut"/>
    <w:uiPriority w:val="99"/>
    <w:semiHidden/>
    <w:unhideWhenUsed/>
    <w:rsid w:val="005F6D57"/>
    <w:rPr>
      <w:sz w:val="16"/>
      <w:szCs w:val="16"/>
    </w:rPr>
  </w:style>
  <w:style w:type="paragraph" w:styleId="Commentaire">
    <w:name w:val="annotation text"/>
    <w:basedOn w:val="Normal"/>
    <w:link w:val="CommentaireCar"/>
    <w:uiPriority w:val="99"/>
    <w:semiHidden/>
    <w:unhideWhenUsed/>
    <w:rsid w:val="005F6D57"/>
    <w:pPr>
      <w:spacing w:line="240" w:lineRule="auto"/>
    </w:pPr>
    <w:rPr>
      <w:sz w:val="20"/>
      <w:szCs w:val="20"/>
    </w:rPr>
  </w:style>
  <w:style w:type="character" w:customStyle="1" w:styleId="CommentaireCar">
    <w:name w:val="Commentaire Car"/>
    <w:basedOn w:val="Policepardfaut"/>
    <w:link w:val="Commentaire"/>
    <w:uiPriority w:val="99"/>
    <w:semiHidden/>
    <w:rsid w:val="005F6D57"/>
    <w:rPr>
      <w:sz w:val="20"/>
      <w:szCs w:val="20"/>
    </w:rPr>
  </w:style>
  <w:style w:type="paragraph" w:styleId="Objetducommentaire">
    <w:name w:val="annotation subject"/>
    <w:basedOn w:val="Commentaire"/>
    <w:next w:val="Commentaire"/>
    <w:link w:val="ObjetducommentaireCar"/>
    <w:uiPriority w:val="99"/>
    <w:semiHidden/>
    <w:unhideWhenUsed/>
    <w:rsid w:val="005F6D57"/>
    <w:rPr>
      <w:b/>
      <w:bCs/>
    </w:rPr>
  </w:style>
  <w:style w:type="character" w:customStyle="1" w:styleId="ObjetducommentaireCar">
    <w:name w:val="Objet du commentaire Car"/>
    <w:basedOn w:val="CommentaireCar"/>
    <w:link w:val="Objetducommentaire"/>
    <w:uiPriority w:val="99"/>
    <w:semiHidden/>
    <w:rsid w:val="005F6D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3.xml"/><Relationship Id="rId3" Type="http://schemas.openxmlformats.org/officeDocument/2006/relationships/webSettings" Target="webSettings.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1.xml"/><Relationship Id="rId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DA4EF5D-D139-45BF-B0DF-67A31223CC2E}"/>
</file>

<file path=customXml/itemProps2.xml><?xml version="1.0" encoding="utf-8"?>
<ds:datastoreItem xmlns:ds="http://schemas.openxmlformats.org/officeDocument/2006/customXml" ds:itemID="{9C26D192-1766-421B-947A-1FDB37D200B3}"/>
</file>

<file path=customXml/itemProps3.xml><?xml version="1.0" encoding="utf-8"?>
<ds:datastoreItem xmlns:ds="http://schemas.openxmlformats.org/officeDocument/2006/customXml" ds:itemID="{E7A3DC81-730D-4906-9EAA-B87471C819CA}"/>
</file>

<file path=docProps/app.xml><?xml version="1.0" encoding="utf-8"?>
<Properties xmlns="http://schemas.openxmlformats.org/officeDocument/2006/extended-properties" xmlns:vt="http://schemas.openxmlformats.org/officeDocument/2006/docPropsVTypes">
  <Template>Normal.dotm</Template>
  <TotalTime>202</TotalTime>
  <Pages>3</Pages>
  <Words>561</Words>
  <Characters>3090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DURIN</dc:creator>
  <cp:keywords/>
  <dc:description/>
  <cp:lastModifiedBy>Sabrina PAUMIER</cp:lastModifiedBy>
  <cp:revision>44</cp:revision>
  <dcterms:created xsi:type="dcterms:W3CDTF">2024-07-02T08:28:00Z</dcterms:created>
  <dcterms:modified xsi:type="dcterms:W3CDTF">2024-09-12T14:02:00Z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