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6A2A5" w14:textId="2D095146" w:rsidR="00132EDD" w:rsidRDefault="00BC7C3A" w:rsidP="00132EDD">
      <w:pPr>
        <w:pStyle w:val="Titre4"/>
        <w:numPr>
          <w:ilvl w:val="0"/>
          <w:numId w:val="0"/>
        </w:numPr>
        <w:ind w:left="864"/>
      </w:pPr>
      <w:r w:rsidRPr="00986B15">
        <w:rPr>
          <w:noProof/>
        </w:rPr>
        <w:drawing>
          <wp:anchor distT="0" distB="0" distL="114300" distR="114300" simplePos="0" relativeHeight="251658240" behindDoc="0" locked="0" layoutInCell="1" allowOverlap="1" wp14:anchorId="35A9F2E9" wp14:editId="60BBD3D3">
            <wp:simplePos x="0" y="0"/>
            <wp:positionH relativeFrom="column">
              <wp:posOffset>1281430</wp:posOffset>
            </wp:positionH>
            <wp:positionV relativeFrom="paragraph">
              <wp:posOffset>0</wp:posOffset>
            </wp:positionV>
            <wp:extent cx="2944563" cy="745010"/>
            <wp:effectExtent l="0" t="0" r="8255" b="0"/>
            <wp:wrapTopAndBottom/>
            <wp:docPr id="7" name="Graphique 6">
              <a:extLst xmlns:a="http://schemas.openxmlformats.org/drawingml/2006/main">
                <a:ext uri="{FF2B5EF4-FFF2-40B4-BE49-F238E27FC236}">
                  <a16:creationId xmlns:a16="http://schemas.microsoft.com/office/drawing/2014/main" id="{3EE0D9DC-CE83-2341-86EE-66A54B22C5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6">
                      <a:extLst>
                        <a:ext uri="{FF2B5EF4-FFF2-40B4-BE49-F238E27FC236}">
                          <a16:creationId xmlns:a16="http://schemas.microsoft.com/office/drawing/2014/main" id="{3EE0D9DC-CE83-2341-86EE-66A54B22C577}"/>
                        </a:ext>
                      </a:extLst>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944563" cy="745010"/>
                    </a:xfrm>
                    <a:prstGeom prst="rect">
                      <a:avLst/>
                    </a:prstGeom>
                  </pic:spPr>
                </pic:pic>
              </a:graphicData>
            </a:graphic>
          </wp:anchor>
        </w:drawing>
      </w:r>
    </w:p>
    <w:p w14:paraId="2FECC698" w14:textId="77777777" w:rsidR="00BC7C3A" w:rsidRDefault="00BC7C3A" w:rsidP="00BC7C3A">
      <w:pPr>
        <w:spacing w:before="0" w:after="0"/>
        <w:jc w:val="center"/>
      </w:pPr>
      <w:r>
        <w:t>Institut national de recherche pour l'agriculture, l'alimentation et l'environnement</w:t>
      </w:r>
    </w:p>
    <w:p w14:paraId="298B7522" w14:textId="77777777" w:rsidR="00BC7C3A" w:rsidRDefault="00BC7C3A" w:rsidP="00BC7C3A">
      <w:pPr>
        <w:spacing w:before="0" w:after="0"/>
        <w:jc w:val="center"/>
      </w:pPr>
      <w:r>
        <w:t>Direction du Financement et des Achats</w:t>
      </w:r>
    </w:p>
    <w:p w14:paraId="661970DE" w14:textId="77777777" w:rsidR="00BC7C3A" w:rsidRPr="005A174E" w:rsidRDefault="00BC7C3A" w:rsidP="00BC7C3A">
      <w:pPr>
        <w:spacing w:before="0" w:after="0"/>
        <w:jc w:val="center"/>
      </w:pPr>
      <w:r>
        <w:t>Service des achats</w:t>
      </w:r>
    </w:p>
    <w:p w14:paraId="790BD47B" w14:textId="77777777" w:rsidR="00BC7C3A" w:rsidRPr="00986B15" w:rsidRDefault="00BC7C3A" w:rsidP="00BC7C3A">
      <w:pPr>
        <w:spacing w:before="0" w:after="0"/>
        <w:jc w:val="center"/>
      </w:pPr>
      <w:r>
        <w:t>147 rue de l’Université</w:t>
      </w:r>
    </w:p>
    <w:p w14:paraId="55E358BC" w14:textId="77777777" w:rsidR="00BC7C3A" w:rsidRPr="00986B15" w:rsidRDefault="00BC7C3A" w:rsidP="00BC7C3A">
      <w:pPr>
        <w:spacing w:before="0" w:after="0"/>
        <w:jc w:val="center"/>
        <w:rPr>
          <w:szCs w:val="24"/>
        </w:rPr>
      </w:pPr>
      <w:r>
        <w:t>75338 PARIS CEDEX 07</w:t>
      </w:r>
    </w:p>
    <w:p w14:paraId="69EA76B2" w14:textId="52DED5AB" w:rsidR="00132EDD" w:rsidRDefault="00132EDD" w:rsidP="00132EDD">
      <w:pPr>
        <w:rPr>
          <w:rFonts w:ascii="Calibri" w:eastAsia="Times New Roman" w:hAnsi="Calibri" w:cs="Arial"/>
          <w:sz w:val="20"/>
          <w:szCs w:val="20"/>
          <w:lang w:eastAsia="fr-FR"/>
        </w:rPr>
      </w:pPr>
    </w:p>
    <w:p w14:paraId="2EBD3FC4" w14:textId="6314B8FB" w:rsidR="00132EDD" w:rsidRDefault="00132EDD" w:rsidP="00132EDD">
      <w:pPr>
        <w:rPr>
          <w:b/>
        </w:rPr>
      </w:pPr>
    </w:p>
    <w:p w14:paraId="2D4418F9" w14:textId="77777777" w:rsidR="00132EDD" w:rsidRDefault="00132EDD" w:rsidP="00132EDD">
      <w:pPr>
        <w:rPr>
          <w:rFonts w:ascii="Calibri" w:eastAsia="Times New Roman" w:hAnsi="Calibri" w:cs="Arial"/>
          <w:sz w:val="20"/>
          <w:szCs w:val="20"/>
          <w:lang w:eastAsia="fr-FR"/>
        </w:rPr>
      </w:pPr>
    </w:p>
    <w:p w14:paraId="7B55228C" w14:textId="77777777" w:rsidR="00132EDD" w:rsidRDefault="00132EDD" w:rsidP="00132EDD">
      <w:pPr>
        <w:rPr>
          <w:rFonts w:ascii="Calibri" w:eastAsia="Times New Roman" w:hAnsi="Calibri" w:cs="Arial"/>
          <w:sz w:val="20"/>
          <w:szCs w:val="20"/>
          <w:lang w:eastAsia="fr-FR"/>
        </w:rPr>
      </w:pPr>
    </w:p>
    <w:p w14:paraId="0C1B4807" w14:textId="77777777" w:rsidR="00132EDD" w:rsidRDefault="00132EDD" w:rsidP="00132EDD">
      <w:pPr>
        <w:tabs>
          <w:tab w:val="left" w:pos="3735"/>
        </w:tabs>
      </w:pPr>
      <w:r>
        <w:tab/>
      </w:r>
    </w:p>
    <w:p w14:paraId="582E0D55" w14:textId="328077F7" w:rsidR="00132EDD" w:rsidRDefault="002A25AC" w:rsidP="00BC7C3A">
      <w:pPr>
        <w:pStyle w:val="Titre"/>
      </w:pPr>
      <w:bookmarkStart w:id="0" w:name="_Hlk201848235"/>
      <w:r>
        <w:t xml:space="preserve"> </w:t>
      </w:r>
    </w:p>
    <w:p w14:paraId="79C24B85" w14:textId="7F20E4E2" w:rsidR="00132EDD" w:rsidRPr="00BC7C3A" w:rsidRDefault="00132EDD" w:rsidP="00132EDD">
      <w:pPr>
        <w:pStyle w:val="Titre"/>
        <w:rPr>
          <w:rFonts w:eastAsiaTheme="minorHAnsi" w:cstheme="minorBidi"/>
          <w:bCs/>
          <w:sz w:val="40"/>
          <w:szCs w:val="40"/>
        </w:rPr>
      </w:pPr>
      <w:r w:rsidRPr="00BC7C3A">
        <w:rPr>
          <w:rFonts w:eastAsiaTheme="minorHAnsi" w:cstheme="minorBidi"/>
          <w:bCs/>
          <w:sz w:val="40"/>
          <w:szCs w:val="40"/>
        </w:rPr>
        <w:t xml:space="preserve">Règlement de Consultation </w:t>
      </w:r>
    </w:p>
    <w:p w14:paraId="2DD81EC2" w14:textId="77777777" w:rsidR="00132EDD" w:rsidRDefault="00132EDD" w:rsidP="00132EDD">
      <w:pPr>
        <w:jc w:val="center"/>
        <w:rPr>
          <w:rFonts w:ascii="Calibri" w:eastAsia="Times New Roman" w:hAnsi="Calibri" w:cs="Calibri"/>
          <w:b/>
          <w:bCs/>
          <w:sz w:val="20"/>
          <w:szCs w:val="20"/>
          <w:lang w:eastAsia="fr-FR"/>
        </w:rPr>
      </w:pPr>
    </w:p>
    <w:p w14:paraId="390000C6" w14:textId="77777777" w:rsidR="00BC7C3A" w:rsidRPr="00C76811" w:rsidRDefault="00BC7C3A" w:rsidP="00BC7C3A">
      <w:pPr>
        <w:pStyle w:val="Titre"/>
        <w:spacing w:line="242" w:lineRule="auto"/>
        <w:rPr>
          <w:rFonts w:eastAsiaTheme="minorHAnsi" w:cstheme="minorBidi"/>
          <w:b w:val="0"/>
          <w:bCs/>
          <w:sz w:val="40"/>
          <w:szCs w:val="40"/>
        </w:rPr>
      </w:pPr>
      <w:r w:rsidRPr="00C76811">
        <w:rPr>
          <w:rFonts w:eastAsiaTheme="minorHAnsi" w:cstheme="minorBidi"/>
          <w:b w:val="0"/>
          <w:sz w:val="40"/>
          <w:szCs w:val="40"/>
        </w:rPr>
        <w:t>Cart</w:t>
      </w:r>
      <w:r>
        <w:rPr>
          <w:rFonts w:eastAsiaTheme="minorHAnsi" w:cstheme="minorBidi"/>
          <w:b w:val="0"/>
          <w:sz w:val="40"/>
          <w:szCs w:val="40"/>
        </w:rPr>
        <w:t>es achat</w:t>
      </w:r>
      <w:r w:rsidRPr="00C76811">
        <w:rPr>
          <w:rFonts w:eastAsiaTheme="minorHAnsi" w:cstheme="minorBidi"/>
          <w:b w:val="0"/>
          <w:sz w:val="40"/>
          <w:szCs w:val="40"/>
        </w:rPr>
        <w:t xml:space="preserve"> et cartes </w:t>
      </w:r>
      <w:r>
        <w:rPr>
          <w:rFonts w:eastAsiaTheme="minorHAnsi" w:cstheme="minorBidi"/>
          <w:b w:val="0"/>
          <w:sz w:val="40"/>
          <w:szCs w:val="40"/>
        </w:rPr>
        <w:t>corporate</w:t>
      </w:r>
      <w:r w:rsidRPr="00C76811">
        <w:rPr>
          <w:rFonts w:eastAsiaTheme="minorHAnsi" w:cstheme="minorBidi"/>
          <w:b w:val="0"/>
          <w:sz w:val="40"/>
          <w:szCs w:val="40"/>
        </w:rPr>
        <w:t xml:space="preserve"> pour INRAE </w:t>
      </w:r>
    </w:p>
    <w:bookmarkEnd w:id="0"/>
    <w:p w14:paraId="5720D29D" w14:textId="77777777" w:rsidR="00132EDD" w:rsidRDefault="00132EDD" w:rsidP="00132EDD">
      <w:pPr>
        <w:jc w:val="center"/>
        <w:rPr>
          <w:rFonts w:ascii="Calibri" w:eastAsia="Times New Roman" w:hAnsi="Calibri" w:cs="Calibri"/>
          <w:b/>
          <w:bCs/>
          <w:sz w:val="20"/>
          <w:szCs w:val="20"/>
          <w:lang w:eastAsia="fr-FR"/>
        </w:rPr>
      </w:pPr>
    </w:p>
    <w:p w14:paraId="213CBE95" w14:textId="77777777" w:rsidR="009B1727" w:rsidRDefault="009B1727">
      <w:pPr>
        <w:rPr>
          <w:rFonts w:ascii="Arial" w:hAnsi="Arial"/>
        </w:rPr>
      </w:pPr>
    </w:p>
    <w:p w14:paraId="32682309" w14:textId="77777777" w:rsidR="009B1727" w:rsidRDefault="009B1727">
      <w:pPr>
        <w:rPr>
          <w:rFonts w:ascii="Arial" w:hAnsi="Arial"/>
        </w:rPr>
      </w:pPr>
    </w:p>
    <w:p w14:paraId="6014DFFE" w14:textId="77777777" w:rsidR="009B1727" w:rsidRDefault="009B1727">
      <w:pPr>
        <w:rPr>
          <w:rFonts w:ascii="Arial" w:hAnsi="Arial"/>
        </w:rPr>
      </w:pPr>
    </w:p>
    <w:p w14:paraId="1BE1F74E" w14:textId="77777777" w:rsidR="009B1727" w:rsidRPr="00132EDD" w:rsidRDefault="009B1727" w:rsidP="00132EDD">
      <w:pPr>
        <w:jc w:val="center"/>
        <w:rPr>
          <w:rFonts w:ascii="Arial" w:hAnsi="Arial"/>
          <w:color w:val="FF0000"/>
          <w:sz w:val="36"/>
          <w:szCs w:val="36"/>
        </w:rPr>
      </w:pPr>
    </w:p>
    <w:tbl>
      <w:tblPr>
        <w:tblStyle w:val="Grilledutableau"/>
        <w:tblW w:w="0" w:type="auto"/>
        <w:tblLook w:val="04A0" w:firstRow="1" w:lastRow="0" w:firstColumn="1" w:lastColumn="0" w:noHBand="0" w:noVBand="1"/>
      </w:tblPr>
      <w:tblGrid>
        <w:gridCol w:w="9062"/>
      </w:tblGrid>
      <w:tr w:rsidR="00BC7C3A" w14:paraId="423DCE0F" w14:textId="77777777" w:rsidTr="00591245">
        <w:tc>
          <w:tcPr>
            <w:tcW w:w="9062" w:type="dxa"/>
          </w:tcPr>
          <w:p w14:paraId="3D583254" w14:textId="77777777" w:rsidR="00BC7C3A" w:rsidRPr="00F75420" w:rsidRDefault="00BC7C3A" w:rsidP="00591245">
            <w:pPr>
              <w:jc w:val="center"/>
              <w:rPr>
                <w:b/>
                <w:bCs/>
                <w:szCs w:val="24"/>
              </w:rPr>
            </w:pPr>
            <w:r w:rsidRPr="00F75420">
              <w:rPr>
                <w:b/>
                <w:bCs/>
                <w:szCs w:val="24"/>
              </w:rPr>
              <w:t>DATE ET HEURE LIMITE DE REMISE DES PLIS</w:t>
            </w:r>
          </w:p>
          <w:p w14:paraId="7B8F8299" w14:textId="12F3987C" w:rsidR="00BC7C3A" w:rsidRPr="00F75420" w:rsidRDefault="00BC7C3A" w:rsidP="00591245">
            <w:pPr>
              <w:jc w:val="center"/>
              <w:rPr>
                <w:b/>
                <w:bCs/>
                <w:szCs w:val="24"/>
              </w:rPr>
            </w:pPr>
            <w:r w:rsidRPr="00F75420">
              <w:rPr>
                <w:b/>
                <w:bCs/>
                <w:szCs w:val="24"/>
              </w:rPr>
              <w:t xml:space="preserve">Le </w:t>
            </w:r>
            <w:r w:rsidR="00B11ACE">
              <w:rPr>
                <w:b/>
                <w:bCs/>
                <w:color w:val="FF0000"/>
                <w:szCs w:val="24"/>
                <w:highlight w:val="yellow"/>
              </w:rPr>
              <w:t>04/08/2025 – 16h00</w:t>
            </w:r>
          </w:p>
          <w:p w14:paraId="4B922FBA" w14:textId="77777777" w:rsidR="00BC7C3A" w:rsidRDefault="00BC7C3A" w:rsidP="00591245">
            <w:pPr>
              <w:jc w:val="center"/>
            </w:pPr>
            <w:r w:rsidRPr="00F75420">
              <w:rPr>
                <w:szCs w:val="24"/>
              </w:rPr>
              <w:t>(UTC+</w:t>
            </w:r>
            <w:proofErr w:type="gramStart"/>
            <w:r w:rsidRPr="00F75420">
              <w:rPr>
                <w:szCs w:val="24"/>
              </w:rPr>
              <w:t>01:</w:t>
            </w:r>
            <w:proofErr w:type="gramEnd"/>
            <w:r w:rsidRPr="00F75420">
              <w:rPr>
                <w:szCs w:val="24"/>
              </w:rPr>
              <w:t>00) Paris, Bruxelles, Copenhague, Madrid.</w:t>
            </w:r>
          </w:p>
        </w:tc>
      </w:tr>
    </w:tbl>
    <w:p w14:paraId="5816E6F8" w14:textId="77777777" w:rsidR="00BC7C3A" w:rsidRDefault="00BC7C3A" w:rsidP="00BC7C3A">
      <w:pPr>
        <w:jc w:val="left"/>
      </w:pPr>
    </w:p>
    <w:p w14:paraId="01A7A9EA" w14:textId="77777777" w:rsidR="00BC7C3A" w:rsidRDefault="00BC7C3A" w:rsidP="00BC7C3A">
      <w:pPr>
        <w:pStyle w:val="Default"/>
      </w:pPr>
      <w:r>
        <w:tab/>
      </w:r>
    </w:p>
    <w:p w14:paraId="182E261D" w14:textId="77777777" w:rsidR="00BC7C3A" w:rsidRPr="00632C92" w:rsidRDefault="00BC7C3A" w:rsidP="00BC7C3A">
      <w:pPr>
        <w:pStyle w:val="Default"/>
        <w:jc w:val="center"/>
        <w:rPr>
          <w:rFonts w:ascii="AvenirNext LT Pro Cn" w:hAnsi="AvenirNext LT Pro Cn"/>
          <w:sz w:val="22"/>
          <w:szCs w:val="22"/>
        </w:rPr>
      </w:pPr>
      <w:r w:rsidRPr="00632C92">
        <w:rPr>
          <w:rFonts w:ascii="AvenirNext LT Pro Cn" w:hAnsi="AvenirNext LT Pro Cn"/>
          <w:sz w:val="22"/>
          <w:szCs w:val="22"/>
        </w:rPr>
        <w:t>Adresse de la plateforme de dématérialisation PLACE</w:t>
      </w:r>
    </w:p>
    <w:p w14:paraId="3D78F18A" w14:textId="77777777" w:rsidR="00BC7C3A" w:rsidRPr="00632C92" w:rsidRDefault="0020731B" w:rsidP="00BC7C3A">
      <w:pPr>
        <w:pStyle w:val="Default"/>
        <w:jc w:val="center"/>
        <w:rPr>
          <w:rFonts w:ascii="AvenirNext LT Pro Cn" w:hAnsi="AvenirNext LT Pro Cn"/>
          <w:sz w:val="22"/>
          <w:szCs w:val="22"/>
        </w:rPr>
      </w:pPr>
      <w:hyperlink r:id="rId10" w:history="1">
        <w:r w:rsidR="00BC7C3A" w:rsidRPr="00632C92">
          <w:rPr>
            <w:rStyle w:val="Lienhypertexte"/>
            <w:rFonts w:ascii="AvenirNext LT Pro Cn" w:hAnsi="AvenirNext LT Pro Cn"/>
            <w:sz w:val="22"/>
            <w:szCs w:val="22"/>
          </w:rPr>
          <w:t>https://www.marches-publics.gouv.fr/</w:t>
        </w:r>
      </w:hyperlink>
    </w:p>
    <w:p w14:paraId="63D719A7" w14:textId="77777777" w:rsidR="00BC7C3A" w:rsidRPr="00632C92" w:rsidRDefault="00BC7C3A" w:rsidP="00BC7C3A">
      <w:pPr>
        <w:pStyle w:val="Default"/>
        <w:jc w:val="center"/>
        <w:rPr>
          <w:rFonts w:ascii="AvenirNext LT Pro Cn" w:hAnsi="AvenirNext LT Pro Cn"/>
          <w:sz w:val="22"/>
          <w:szCs w:val="22"/>
        </w:rPr>
      </w:pPr>
    </w:p>
    <w:p w14:paraId="4E000E02" w14:textId="77777777" w:rsidR="00BC7C3A" w:rsidRPr="00632C92" w:rsidRDefault="00BC7C3A" w:rsidP="00BC7C3A">
      <w:pPr>
        <w:pStyle w:val="Default"/>
        <w:jc w:val="center"/>
        <w:rPr>
          <w:rFonts w:ascii="AvenirNext LT Pro Cn" w:hAnsi="AvenirNext LT Pro Cn"/>
          <w:sz w:val="22"/>
          <w:szCs w:val="22"/>
        </w:rPr>
      </w:pPr>
      <w:r w:rsidRPr="00632C92">
        <w:rPr>
          <w:rFonts w:ascii="AvenirNext LT Pro Cn" w:hAnsi="AvenirNext LT Pro Cn"/>
          <w:sz w:val="22"/>
          <w:szCs w:val="22"/>
        </w:rPr>
        <w:t>Numéro d’assistance de PLACE</w:t>
      </w:r>
    </w:p>
    <w:p w14:paraId="7326439B" w14:textId="211180F9" w:rsidR="00BC7C3A" w:rsidRPr="00632C92" w:rsidRDefault="00BC7C3A" w:rsidP="00BC7C3A">
      <w:pPr>
        <w:tabs>
          <w:tab w:val="left" w:pos="3832"/>
        </w:tabs>
        <w:spacing w:before="0" w:after="0"/>
        <w:jc w:val="center"/>
        <w:rPr>
          <w:b/>
          <w:bCs/>
        </w:rPr>
        <w:sectPr w:rsidR="00BC7C3A" w:rsidRPr="00632C92">
          <w:footerReference w:type="first" r:id="rId11"/>
          <w:pgSz w:w="11906" w:h="16838"/>
          <w:pgMar w:top="1417" w:right="1417" w:bottom="1417" w:left="1417" w:header="708" w:footer="708" w:gutter="0"/>
          <w:cols w:space="708"/>
          <w:docGrid w:linePitch="360"/>
        </w:sectPr>
      </w:pPr>
      <w:r w:rsidRPr="00632C92">
        <w:rPr>
          <w:bCs/>
        </w:rPr>
        <w:t>+33 (</w:t>
      </w:r>
      <w:r w:rsidRPr="00632C92">
        <w:t>0)9 72 37 0</w:t>
      </w:r>
      <w:r>
        <w:t>1 30</w:t>
      </w:r>
    </w:p>
    <w:p w14:paraId="24A4B4F5" w14:textId="42B5486E" w:rsidR="009B1727" w:rsidRPr="00BC7C3A" w:rsidRDefault="00BC7C3A" w:rsidP="00BC7C3A">
      <w:pPr>
        <w:rPr>
          <w:sz w:val="28"/>
          <w:szCs w:val="28"/>
          <w:u w:val="single"/>
        </w:rPr>
      </w:pPr>
      <w:r w:rsidRPr="00BC7C3A">
        <w:rPr>
          <w:sz w:val="28"/>
          <w:szCs w:val="28"/>
          <w:u w:val="single"/>
        </w:rPr>
        <w:lastRenderedPageBreak/>
        <w:t>Sommaire</w:t>
      </w:r>
    </w:p>
    <w:p w14:paraId="4A703439" w14:textId="684A507E" w:rsidR="006136DA" w:rsidRDefault="00EB0916">
      <w:pPr>
        <w:pStyle w:val="TM1"/>
        <w:tabs>
          <w:tab w:val="left" w:pos="480"/>
          <w:tab w:val="right" w:leader="dot" w:pos="9062"/>
        </w:tabs>
        <w:rPr>
          <w:rFonts w:asciiTheme="minorHAnsi" w:eastAsiaTheme="minorEastAsia" w:hAnsiTheme="minorHAnsi"/>
          <w:noProof/>
          <w:szCs w:val="22"/>
          <w:lang w:eastAsia="fr-FR"/>
        </w:rPr>
      </w:pPr>
      <w:r>
        <w:fldChar w:fldCharType="begin"/>
      </w:r>
      <w:r>
        <w:instrText xml:space="preserve"> TOC \o "1-3" \h \z \u </w:instrText>
      </w:r>
      <w:r>
        <w:fldChar w:fldCharType="separate"/>
      </w:r>
      <w:hyperlink w:anchor="_Toc201851382" w:history="1">
        <w:r w:rsidR="006136DA" w:rsidRPr="00651F94">
          <w:rPr>
            <w:rStyle w:val="Lienhypertexte"/>
            <w:b/>
            <w:noProof/>
          </w:rPr>
          <w:t>1.</w:t>
        </w:r>
        <w:r w:rsidR="006136DA">
          <w:rPr>
            <w:rFonts w:asciiTheme="minorHAnsi" w:eastAsiaTheme="minorEastAsia" w:hAnsiTheme="minorHAnsi"/>
            <w:noProof/>
            <w:szCs w:val="22"/>
            <w:lang w:eastAsia="fr-FR"/>
          </w:rPr>
          <w:tab/>
        </w:r>
        <w:r w:rsidR="006136DA" w:rsidRPr="00651F94">
          <w:rPr>
            <w:rStyle w:val="Lienhypertexte"/>
            <w:noProof/>
          </w:rPr>
          <w:t>Acheteur</w:t>
        </w:r>
        <w:r w:rsidR="006136DA">
          <w:rPr>
            <w:noProof/>
            <w:webHidden/>
          </w:rPr>
          <w:tab/>
        </w:r>
        <w:r w:rsidR="006136DA">
          <w:rPr>
            <w:noProof/>
            <w:webHidden/>
          </w:rPr>
          <w:fldChar w:fldCharType="begin"/>
        </w:r>
        <w:r w:rsidR="006136DA">
          <w:rPr>
            <w:noProof/>
            <w:webHidden/>
          </w:rPr>
          <w:instrText xml:space="preserve"> PAGEREF _Toc201851382 \h </w:instrText>
        </w:r>
        <w:r w:rsidR="006136DA">
          <w:rPr>
            <w:noProof/>
            <w:webHidden/>
          </w:rPr>
        </w:r>
        <w:r w:rsidR="006136DA">
          <w:rPr>
            <w:noProof/>
            <w:webHidden/>
          </w:rPr>
          <w:fldChar w:fldCharType="separate"/>
        </w:r>
        <w:r w:rsidR="006136DA">
          <w:rPr>
            <w:noProof/>
            <w:webHidden/>
          </w:rPr>
          <w:t>4</w:t>
        </w:r>
        <w:r w:rsidR="006136DA">
          <w:rPr>
            <w:noProof/>
            <w:webHidden/>
          </w:rPr>
          <w:fldChar w:fldCharType="end"/>
        </w:r>
      </w:hyperlink>
    </w:p>
    <w:p w14:paraId="4D903A62" w14:textId="11ABEF70" w:rsidR="006136DA" w:rsidRDefault="0020731B">
      <w:pPr>
        <w:pStyle w:val="TM1"/>
        <w:tabs>
          <w:tab w:val="left" w:pos="480"/>
          <w:tab w:val="right" w:leader="dot" w:pos="9062"/>
        </w:tabs>
        <w:rPr>
          <w:rFonts w:asciiTheme="minorHAnsi" w:eastAsiaTheme="minorEastAsia" w:hAnsiTheme="minorHAnsi"/>
          <w:noProof/>
          <w:szCs w:val="22"/>
          <w:lang w:eastAsia="fr-FR"/>
        </w:rPr>
      </w:pPr>
      <w:hyperlink w:anchor="_Toc201851383" w:history="1">
        <w:r w:rsidR="006136DA" w:rsidRPr="00651F94">
          <w:rPr>
            <w:rStyle w:val="Lienhypertexte"/>
            <w:b/>
            <w:noProof/>
          </w:rPr>
          <w:t>2.</w:t>
        </w:r>
        <w:r w:rsidR="006136DA">
          <w:rPr>
            <w:rFonts w:asciiTheme="minorHAnsi" w:eastAsiaTheme="minorEastAsia" w:hAnsiTheme="minorHAnsi"/>
            <w:noProof/>
            <w:szCs w:val="22"/>
            <w:lang w:eastAsia="fr-FR"/>
          </w:rPr>
          <w:tab/>
        </w:r>
        <w:r w:rsidR="006136DA" w:rsidRPr="00651F94">
          <w:rPr>
            <w:rStyle w:val="Lienhypertexte"/>
            <w:noProof/>
          </w:rPr>
          <w:t>Objet de l’accord cadre</w:t>
        </w:r>
        <w:r w:rsidR="006136DA">
          <w:rPr>
            <w:noProof/>
            <w:webHidden/>
          </w:rPr>
          <w:tab/>
        </w:r>
        <w:r w:rsidR="006136DA">
          <w:rPr>
            <w:noProof/>
            <w:webHidden/>
          </w:rPr>
          <w:fldChar w:fldCharType="begin"/>
        </w:r>
        <w:r w:rsidR="006136DA">
          <w:rPr>
            <w:noProof/>
            <w:webHidden/>
          </w:rPr>
          <w:instrText xml:space="preserve"> PAGEREF _Toc201851383 \h </w:instrText>
        </w:r>
        <w:r w:rsidR="006136DA">
          <w:rPr>
            <w:noProof/>
            <w:webHidden/>
          </w:rPr>
        </w:r>
        <w:r w:rsidR="006136DA">
          <w:rPr>
            <w:noProof/>
            <w:webHidden/>
          </w:rPr>
          <w:fldChar w:fldCharType="separate"/>
        </w:r>
        <w:r w:rsidR="006136DA">
          <w:rPr>
            <w:noProof/>
            <w:webHidden/>
          </w:rPr>
          <w:t>4</w:t>
        </w:r>
        <w:r w:rsidR="006136DA">
          <w:rPr>
            <w:noProof/>
            <w:webHidden/>
          </w:rPr>
          <w:fldChar w:fldCharType="end"/>
        </w:r>
      </w:hyperlink>
    </w:p>
    <w:p w14:paraId="311CACFA" w14:textId="1E8CE736" w:rsidR="006136DA" w:rsidRDefault="0020731B">
      <w:pPr>
        <w:pStyle w:val="TM1"/>
        <w:tabs>
          <w:tab w:val="left" w:pos="480"/>
          <w:tab w:val="right" w:leader="dot" w:pos="9062"/>
        </w:tabs>
        <w:rPr>
          <w:rFonts w:asciiTheme="minorHAnsi" w:eastAsiaTheme="minorEastAsia" w:hAnsiTheme="minorHAnsi"/>
          <w:noProof/>
          <w:szCs w:val="22"/>
          <w:lang w:eastAsia="fr-FR"/>
        </w:rPr>
      </w:pPr>
      <w:hyperlink w:anchor="_Toc201851384" w:history="1">
        <w:r w:rsidR="006136DA" w:rsidRPr="00651F94">
          <w:rPr>
            <w:rStyle w:val="Lienhypertexte"/>
            <w:b/>
            <w:noProof/>
          </w:rPr>
          <w:t>3.</w:t>
        </w:r>
        <w:r w:rsidR="006136DA">
          <w:rPr>
            <w:rFonts w:asciiTheme="minorHAnsi" w:eastAsiaTheme="minorEastAsia" w:hAnsiTheme="minorHAnsi"/>
            <w:noProof/>
            <w:szCs w:val="22"/>
            <w:lang w:eastAsia="fr-FR"/>
          </w:rPr>
          <w:tab/>
        </w:r>
        <w:r w:rsidR="006136DA" w:rsidRPr="00651F94">
          <w:rPr>
            <w:rStyle w:val="Lienhypertexte"/>
            <w:noProof/>
          </w:rPr>
          <w:t>Nature de la consultation</w:t>
        </w:r>
        <w:r w:rsidR="006136DA">
          <w:rPr>
            <w:noProof/>
            <w:webHidden/>
          </w:rPr>
          <w:tab/>
        </w:r>
        <w:r w:rsidR="006136DA">
          <w:rPr>
            <w:noProof/>
            <w:webHidden/>
          </w:rPr>
          <w:fldChar w:fldCharType="begin"/>
        </w:r>
        <w:r w:rsidR="006136DA">
          <w:rPr>
            <w:noProof/>
            <w:webHidden/>
          </w:rPr>
          <w:instrText xml:space="preserve"> PAGEREF _Toc201851384 \h </w:instrText>
        </w:r>
        <w:r w:rsidR="006136DA">
          <w:rPr>
            <w:noProof/>
            <w:webHidden/>
          </w:rPr>
        </w:r>
        <w:r w:rsidR="006136DA">
          <w:rPr>
            <w:noProof/>
            <w:webHidden/>
          </w:rPr>
          <w:fldChar w:fldCharType="separate"/>
        </w:r>
        <w:r w:rsidR="006136DA">
          <w:rPr>
            <w:noProof/>
            <w:webHidden/>
          </w:rPr>
          <w:t>4</w:t>
        </w:r>
        <w:r w:rsidR="006136DA">
          <w:rPr>
            <w:noProof/>
            <w:webHidden/>
          </w:rPr>
          <w:fldChar w:fldCharType="end"/>
        </w:r>
      </w:hyperlink>
    </w:p>
    <w:p w14:paraId="3424B176" w14:textId="15CB7BA7" w:rsidR="006136DA" w:rsidRDefault="0020731B">
      <w:pPr>
        <w:pStyle w:val="TM1"/>
        <w:tabs>
          <w:tab w:val="left" w:pos="480"/>
          <w:tab w:val="right" w:leader="dot" w:pos="9062"/>
        </w:tabs>
        <w:rPr>
          <w:rFonts w:asciiTheme="minorHAnsi" w:eastAsiaTheme="minorEastAsia" w:hAnsiTheme="minorHAnsi"/>
          <w:noProof/>
          <w:szCs w:val="22"/>
          <w:lang w:eastAsia="fr-FR"/>
        </w:rPr>
      </w:pPr>
      <w:hyperlink w:anchor="_Toc201851385" w:history="1">
        <w:r w:rsidR="006136DA" w:rsidRPr="00651F94">
          <w:rPr>
            <w:rStyle w:val="Lienhypertexte"/>
            <w:b/>
            <w:noProof/>
          </w:rPr>
          <w:t>4.</w:t>
        </w:r>
        <w:r w:rsidR="006136DA">
          <w:rPr>
            <w:rFonts w:asciiTheme="minorHAnsi" w:eastAsiaTheme="minorEastAsia" w:hAnsiTheme="minorHAnsi"/>
            <w:noProof/>
            <w:szCs w:val="22"/>
            <w:lang w:eastAsia="fr-FR"/>
          </w:rPr>
          <w:tab/>
        </w:r>
        <w:r w:rsidR="006136DA" w:rsidRPr="00651F94">
          <w:rPr>
            <w:rStyle w:val="Lienhypertexte"/>
            <w:noProof/>
          </w:rPr>
          <w:t>Structuration du marché</w:t>
        </w:r>
        <w:r w:rsidR="006136DA">
          <w:rPr>
            <w:noProof/>
            <w:webHidden/>
          </w:rPr>
          <w:tab/>
        </w:r>
        <w:r w:rsidR="006136DA">
          <w:rPr>
            <w:noProof/>
            <w:webHidden/>
          </w:rPr>
          <w:fldChar w:fldCharType="begin"/>
        </w:r>
        <w:r w:rsidR="006136DA">
          <w:rPr>
            <w:noProof/>
            <w:webHidden/>
          </w:rPr>
          <w:instrText xml:space="preserve"> PAGEREF _Toc201851385 \h </w:instrText>
        </w:r>
        <w:r w:rsidR="006136DA">
          <w:rPr>
            <w:noProof/>
            <w:webHidden/>
          </w:rPr>
        </w:r>
        <w:r w:rsidR="006136DA">
          <w:rPr>
            <w:noProof/>
            <w:webHidden/>
          </w:rPr>
          <w:fldChar w:fldCharType="separate"/>
        </w:r>
        <w:r w:rsidR="006136DA">
          <w:rPr>
            <w:noProof/>
            <w:webHidden/>
          </w:rPr>
          <w:t>5</w:t>
        </w:r>
        <w:r w:rsidR="006136DA">
          <w:rPr>
            <w:noProof/>
            <w:webHidden/>
          </w:rPr>
          <w:fldChar w:fldCharType="end"/>
        </w:r>
      </w:hyperlink>
    </w:p>
    <w:p w14:paraId="7EB8D002" w14:textId="0D7F1DD8" w:rsidR="006136DA" w:rsidRDefault="0020731B">
      <w:pPr>
        <w:pStyle w:val="TM2"/>
        <w:tabs>
          <w:tab w:val="left" w:pos="880"/>
          <w:tab w:val="right" w:leader="dot" w:pos="9062"/>
        </w:tabs>
        <w:rPr>
          <w:rFonts w:asciiTheme="minorHAnsi" w:eastAsiaTheme="minorEastAsia" w:hAnsiTheme="minorHAnsi"/>
          <w:noProof/>
          <w:szCs w:val="22"/>
          <w:lang w:eastAsia="fr-FR"/>
        </w:rPr>
      </w:pPr>
      <w:hyperlink w:anchor="_Toc201851386" w:history="1">
        <w:r w:rsidR="006136DA" w:rsidRPr="00651F94">
          <w:rPr>
            <w:rStyle w:val="Lienhypertexte"/>
            <w:b/>
            <w:noProof/>
          </w:rPr>
          <w:t>4.1.</w:t>
        </w:r>
        <w:r w:rsidR="006136DA">
          <w:rPr>
            <w:rFonts w:asciiTheme="minorHAnsi" w:eastAsiaTheme="minorEastAsia" w:hAnsiTheme="minorHAnsi"/>
            <w:noProof/>
            <w:szCs w:val="22"/>
            <w:lang w:eastAsia="fr-FR"/>
          </w:rPr>
          <w:tab/>
        </w:r>
        <w:r w:rsidR="006136DA" w:rsidRPr="00651F94">
          <w:rPr>
            <w:rStyle w:val="Lienhypertexte"/>
            <w:noProof/>
          </w:rPr>
          <w:t>Allotissement</w:t>
        </w:r>
        <w:r w:rsidR="006136DA">
          <w:rPr>
            <w:noProof/>
            <w:webHidden/>
          </w:rPr>
          <w:tab/>
        </w:r>
        <w:r w:rsidR="006136DA">
          <w:rPr>
            <w:noProof/>
            <w:webHidden/>
          </w:rPr>
          <w:fldChar w:fldCharType="begin"/>
        </w:r>
        <w:r w:rsidR="006136DA">
          <w:rPr>
            <w:noProof/>
            <w:webHidden/>
          </w:rPr>
          <w:instrText xml:space="preserve"> PAGEREF _Toc201851386 \h </w:instrText>
        </w:r>
        <w:r w:rsidR="006136DA">
          <w:rPr>
            <w:noProof/>
            <w:webHidden/>
          </w:rPr>
        </w:r>
        <w:r w:rsidR="006136DA">
          <w:rPr>
            <w:noProof/>
            <w:webHidden/>
          </w:rPr>
          <w:fldChar w:fldCharType="separate"/>
        </w:r>
        <w:r w:rsidR="006136DA">
          <w:rPr>
            <w:noProof/>
            <w:webHidden/>
          </w:rPr>
          <w:t>5</w:t>
        </w:r>
        <w:r w:rsidR="006136DA">
          <w:rPr>
            <w:noProof/>
            <w:webHidden/>
          </w:rPr>
          <w:fldChar w:fldCharType="end"/>
        </w:r>
      </w:hyperlink>
    </w:p>
    <w:p w14:paraId="1310DC42" w14:textId="3D4C50AA" w:rsidR="006136DA" w:rsidRDefault="0020731B">
      <w:pPr>
        <w:pStyle w:val="TM2"/>
        <w:tabs>
          <w:tab w:val="left" w:pos="880"/>
          <w:tab w:val="right" w:leader="dot" w:pos="9062"/>
        </w:tabs>
        <w:rPr>
          <w:rFonts w:asciiTheme="minorHAnsi" w:eastAsiaTheme="minorEastAsia" w:hAnsiTheme="minorHAnsi"/>
          <w:noProof/>
          <w:szCs w:val="22"/>
          <w:lang w:eastAsia="fr-FR"/>
        </w:rPr>
      </w:pPr>
      <w:hyperlink w:anchor="_Toc201851387" w:history="1">
        <w:r w:rsidR="006136DA" w:rsidRPr="00651F94">
          <w:rPr>
            <w:rStyle w:val="Lienhypertexte"/>
            <w:b/>
            <w:noProof/>
          </w:rPr>
          <w:t>4.2.</w:t>
        </w:r>
        <w:r w:rsidR="006136DA">
          <w:rPr>
            <w:rFonts w:asciiTheme="minorHAnsi" w:eastAsiaTheme="minorEastAsia" w:hAnsiTheme="minorHAnsi"/>
            <w:noProof/>
            <w:szCs w:val="22"/>
            <w:lang w:eastAsia="fr-FR"/>
          </w:rPr>
          <w:tab/>
        </w:r>
        <w:r w:rsidR="006136DA" w:rsidRPr="00651F94">
          <w:rPr>
            <w:rStyle w:val="Lienhypertexte"/>
            <w:noProof/>
          </w:rPr>
          <w:t>Forme du marché</w:t>
        </w:r>
        <w:r w:rsidR="006136DA">
          <w:rPr>
            <w:noProof/>
            <w:webHidden/>
          </w:rPr>
          <w:tab/>
        </w:r>
        <w:r w:rsidR="006136DA">
          <w:rPr>
            <w:noProof/>
            <w:webHidden/>
          </w:rPr>
          <w:fldChar w:fldCharType="begin"/>
        </w:r>
        <w:r w:rsidR="006136DA">
          <w:rPr>
            <w:noProof/>
            <w:webHidden/>
          </w:rPr>
          <w:instrText xml:space="preserve"> PAGEREF _Toc201851387 \h </w:instrText>
        </w:r>
        <w:r w:rsidR="006136DA">
          <w:rPr>
            <w:noProof/>
            <w:webHidden/>
          </w:rPr>
        </w:r>
        <w:r w:rsidR="006136DA">
          <w:rPr>
            <w:noProof/>
            <w:webHidden/>
          </w:rPr>
          <w:fldChar w:fldCharType="separate"/>
        </w:r>
        <w:r w:rsidR="006136DA">
          <w:rPr>
            <w:noProof/>
            <w:webHidden/>
          </w:rPr>
          <w:t>5</w:t>
        </w:r>
        <w:r w:rsidR="006136DA">
          <w:rPr>
            <w:noProof/>
            <w:webHidden/>
          </w:rPr>
          <w:fldChar w:fldCharType="end"/>
        </w:r>
      </w:hyperlink>
    </w:p>
    <w:p w14:paraId="08DE8973" w14:textId="7BF66A2E" w:rsidR="006136DA" w:rsidRDefault="0020731B">
      <w:pPr>
        <w:pStyle w:val="TM1"/>
        <w:tabs>
          <w:tab w:val="left" w:pos="480"/>
          <w:tab w:val="right" w:leader="dot" w:pos="9062"/>
        </w:tabs>
        <w:rPr>
          <w:rFonts w:asciiTheme="minorHAnsi" w:eastAsiaTheme="minorEastAsia" w:hAnsiTheme="minorHAnsi"/>
          <w:noProof/>
          <w:szCs w:val="22"/>
          <w:lang w:eastAsia="fr-FR"/>
        </w:rPr>
      </w:pPr>
      <w:hyperlink w:anchor="_Toc201851388" w:history="1">
        <w:r w:rsidR="006136DA" w:rsidRPr="00651F94">
          <w:rPr>
            <w:rStyle w:val="Lienhypertexte"/>
            <w:b/>
            <w:noProof/>
          </w:rPr>
          <w:t>5.</w:t>
        </w:r>
        <w:r w:rsidR="006136DA">
          <w:rPr>
            <w:rFonts w:asciiTheme="minorHAnsi" w:eastAsiaTheme="minorEastAsia" w:hAnsiTheme="minorHAnsi"/>
            <w:noProof/>
            <w:szCs w:val="22"/>
            <w:lang w:eastAsia="fr-FR"/>
          </w:rPr>
          <w:tab/>
        </w:r>
        <w:r w:rsidR="006136DA" w:rsidRPr="00651F94">
          <w:rPr>
            <w:rStyle w:val="Lienhypertexte"/>
            <w:noProof/>
          </w:rPr>
          <w:t>Durée de l’accord cadre</w:t>
        </w:r>
        <w:r w:rsidR="006136DA">
          <w:rPr>
            <w:noProof/>
            <w:webHidden/>
          </w:rPr>
          <w:tab/>
        </w:r>
        <w:r w:rsidR="006136DA">
          <w:rPr>
            <w:noProof/>
            <w:webHidden/>
          </w:rPr>
          <w:fldChar w:fldCharType="begin"/>
        </w:r>
        <w:r w:rsidR="006136DA">
          <w:rPr>
            <w:noProof/>
            <w:webHidden/>
          </w:rPr>
          <w:instrText xml:space="preserve"> PAGEREF _Toc201851388 \h </w:instrText>
        </w:r>
        <w:r w:rsidR="006136DA">
          <w:rPr>
            <w:noProof/>
            <w:webHidden/>
          </w:rPr>
        </w:r>
        <w:r w:rsidR="006136DA">
          <w:rPr>
            <w:noProof/>
            <w:webHidden/>
          </w:rPr>
          <w:fldChar w:fldCharType="separate"/>
        </w:r>
        <w:r w:rsidR="006136DA">
          <w:rPr>
            <w:noProof/>
            <w:webHidden/>
          </w:rPr>
          <w:t>5</w:t>
        </w:r>
        <w:r w:rsidR="006136DA">
          <w:rPr>
            <w:noProof/>
            <w:webHidden/>
          </w:rPr>
          <w:fldChar w:fldCharType="end"/>
        </w:r>
      </w:hyperlink>
    </w:p>
    <w:p w14:paraId="5C4BC077" w14:textId="3533C126" w:rsidR="006136DA" w:rsidRDefault="0020731B">
      <w:pPr>
        <w:pStyle w:val="TM2"/>
        <w:tabs>
          <w:tab w:val="left" w:pos="880"/>
          <w:tab w:val="right" w:leader="dot" w:pos="9062"/>
        </w:tabs>
        <w:rPr>
          <w:rFonts w:asciiTheme="minorHAnsi" w:eastAsiaTheme="minorEastAsia" w:hAnsiTheme="minorHAnsi"/>
          <w:noProof/>
          <w:szCs w:val="22"/>
          <w:lang w:eastAsia="fr-FR"/>
        </w:rPr>
      </w:pPr>
      <w:hyperlink w:anchor="_Toc201851389" w:history="1">
        <w:r w:rsidR="006136DA" w:rsidRPr="00651F94">
          <w:rPr>
            <w:rStyle w:val="Lienhypertexte"/>
            <w:b/>
            <w:noProof/>
          </w:rPr>
          <w:t>5.1.</w:t>
        </w:r>
        <w:r w:rsidR="006136DA">
          <w:rPr>
            <w:rFonts w:asciiTheme="minorHAnsi" w:eastAsiaTheme="minorEastAsia" w:hAnsiTheme="minorHAnsi"/>
            <w:noProof/>
            <w:szCs w:val="22"/>
            <w:lang w:eastAsia="fr-FR"/>
          </w:rPr>
          <w:tab/>
        </w:r>
        <w:r w:rsidR="006136DA" w:rsidRPr="00651F94">
          <w:rPr>
            <w:rStyle w:val="Lienhypertexte"/>
            <w:noProof/>
          </w:rPr>
          <w:t>Date de début d’exécution</w:t>
        </w:r>
        <w:r w:rsidR="006136DA">
          <w:rPr>
            <w:noProof/>
            <w:webHidden/>
          </w:rPr>
          <w:tab/>
        </w:r>
        <w:r w:rsidR="006136DA">
          <w:rPr>
            <w:noProof/>
            <w:webHidden/>
          </w:rPr>
          <w:fldChar w:fldCharType="begin"/>
        </w:r>
        <w:r w:rsidR="006136DA">
          <w:rPr>
            <w:noProof/>
            <w:webHidden/>
          </w:rPr>
          <w:instrText xml:space="preserve"> PAGEREF _Toc201851389 \h </w:instrText>
        </w:r>
        <w:r w:rsidR="006136DA">
          <w:rPr>
            <w:noProof/>
            <w:webHidden/>
          </w:rPr>
        </w:r>
        <w:r w:rsidR="006136DA">
          <w:rPr>
            <w:noProof/>
            <w:webHidden/>
          </w:rPr>
          <w:fldChar w:fldCharType="separate"/>
        </w:r>
        <w:r w:rsidR="006136DA">
          <w:rPr>
            <w:noProof/>
            <w:webHidden/>
          </w:rPr>
          <w:t>5</w:t>
        </w:r>
        <w:r w:rsidR="006136DA">
          <w:rPr>
            <w:noProof/>
            <w:webHidden/>
          </w:rPr>
          <w:fldChar w:fldCharType="end"/>
        </w:r>
      </w:hyperlink>
    </w:p>
    <w:p w14:paraId="61237E34" w14:textId="23269580" w:rsidR="006136DA" w:rsidRDefault="0020731B">
      <w:pPr>
        <w:pStyle w:val="TM2"/>
        <w:tabs>
          <w:tab w:val="left" w:pos="880"/>
          <w:tab w:val="right" w:leader="dot" w:pos="9062"/>
        </w:tabs>
        <w:rPr>
          <w:rFonts w:asciiTheme="minorHAnsi" w:eastAsiaTheme="minorEastAsia" w:hAnsiTheme="minorHAnsi"/>
          <w:noProof/>
          <w:szCs w:val="22"/>
          <w:lang w:eastAsia="fr-FR"/>
        </w:rPr>
      </w:pPr>
      <w:hyperlink w:anchor="_Toc201851390" w:history="1">
        <w:r w:rsidR="006136DA" w:rsidRPr="00651F94">
          <w:rPr>
            <w:rStyle w:val="Lienhypertexte"/>
            <w:b/>
            <w:noProof/>
          </w:rPr>
          <w:t>5.2.</w:t>
        </w:r>
        <w:r w:rsidR="006136DA">
          <w:rPr>
            <w:rFonts w:asciiTheme="minorHAnsi" w:eastAsiaTheme="minorEastAsia" w:hAnsiTheme="minorHAnsi"/>
            <w:noProof/>
            <w:szCs w:val="22"/>
            <w:lang w:eastAsia="fr-FR"/>
          </w:rPr>
          <w:tab/>
        </w:r>
        <w:r w:rsidR="006136DA" w:rsidRPr="00651F94">
          <w:rPr>
            <w:rStyle w:val="Lienhypertexte"/>
            <w:noProof/>
          </w:rPr>
          <w:t>Reconduction de l’accord cadre</w:t>
        </w:r>
        <w:r w:rsidR="006136DA">
          <w:rPr>
            <w:noProof/>
            <w:webHidden/>
          </w:rPr>
          <w:tab/>
        </w:r>
        <w:r w:rsidR="006136DA">
          <w:rPr>
            <w:noProof/>
            <w:webHidden/>
          </w:rPr>
          <w:fldChar w:fldCharType="begin"/>
        </w:r>
        <w:r w:rsidR="006136DA">
          <w:rPr>
            <w:noProof/>
            <w:webHidden/>
          </w:rPr>
          <w:instrText xml:space="preserve"> PAGEREF _Toc201851390 \h </w:instrText>
        </w:r>
        <w:r w:rsidR="006136DA">
          <w:rPr>
            <w:noProof/>
            <w:webHidden/>
          </w:rPr>
        </w:r>
        <w:r w:rsidR="006136DA">
          <w:rPr>
            <w:noProof/>
            <w:webHidden/>
          </w:rPr>
          <w:fldChar w:fldCharType="separate"/>
        </w:r>
        <w:r w:rsidR="006136DA">
          <w:rPr>
            <w:noProof/>
            <w:webHidden/>
          </w:rPr>
          <w:t>5</w:t>
        </w:r>
        <w:r w:rsidR="006136DA">
          <w:rPr>
            <w:noProof/>
            <w:webHidden/>
          </w:rPr>
          <w:fldChar w:fldCharType="end"/>
        </w:r>
      </w:hyperlink>
    </w:p>
    <w:p w14:paraId="29AD7D17" w14:textId="7960ACCE" w:rsidR="006136DA" w:rsidRDefault="0020731B">
      <w:pPr>
        <w:pStyle w:val="TM1"/>
        <w:tabs>
          <w:tab w:val="left" w:pos="480"/>
          <w:tab w:val="right" w:leader="dot" w:pos="9062"/>
        </w:tabs>
        <w:rPr>
          <w:rFonts w:asciiTheme="minorHAnsi" w:eastAsiaTheme="minorEastAsia" w:hAnsiTheme="minorHAnsi"/>
          <w:noProof/>
          <w:szCs w:val="22"/>
          <w:lang w:eastAsia="fr-FR"/>
        </w:rPr>
      </w:pPr>
      <w:hyperlink w:anchor="_Toc201851391" w:history="1">
        <w:r w:rsidR="006136DA" w:rsidRPr="00651F94">
          <w:rPr>
            <w:rStyle w:val="Lienhypertexte"/>
            <w:b/>
            <w:noProof/>
          </w:rPr>
          <w:t>6.</w:t>
        </w:r>
        <w:r w:rsidR="006136DA">
          <w:rPr>
            <w:rFonts w:asciiTheme="minorHAnsi" w:eastAsiaTheme="minorEastAsia" w:hAnsiTheme="minorHAnsi"/>
            <w:noProof/>
            <w:szCs w:val="22"/>
            <w:lang w:eastAsia="fr-FR"/>
          </w:rPr>
          <w:tab/>
        </w:r>
        <w:r w:rsidR="006136DA" w:rsidRPr="00651F94">
          <w:rPr>
            <w:rStyle w:val="Lienhypertexte"/>
            <w:noProof/>
          </w:rPr>
          <w:t>Variantes et prestations supplémentaires éventuelles</w:t>
        </w:r>
        <w:r w:rsidR="006136DA">
          <w:rPr>
            <w:noProof/>
            <w:webHidden/>
          </w:rPr>
          <w:tab/>
        </w:r>
        <w:r w:rsidR="006136DA">
          <w:rPr>
            <w:noProof/>
            <w:webHidden/>
          </w:rPr>
          <w:fldChar w:fldCharType="begin"/>
        </w:r>
        <w:r w:rsidR="006136DA">
          <w:rPr>
            <w:noProof/>
            <w:webHidden/>
          </w:rPr>
          <w:instrText xml:space="preserve"> PAGEREF _Toc201851391 \h </w:instrText>
        </w:r>
        <w:r w:rsidR="006136DA">
          <w:rPr>
            <w:noProof/>
            <w:webHidden/>
          </w:rPr>
        </w:r>
        <w:r w:rsidR="006136DA">
          <w:rPr>
            <w:noProof/>
            <w:webHidden/>
          </w:rPr>
          <w:fldChar w:fldCharType="separate"/>
        </w:r>
        <w:r w:rsidR="006136DA">
          <w:rPr>
            <w:noProof/>
            <w:webHidden/>
          </w:rPr>
          <w:t>6</w:t>
        </w:r>
        <w:r w:rsidR="006136DA">
          <w:rPr>
            <w:noProof/>
            <w:webHidden/>
          </w:rPr>
          <w:fldChar w:fldCharType="end"/>
        </w:r>
      </w:hyperlink>
    </w:p>
    <w:p w14:paraId="7FA499EB" w14:textId="1E46F55F" w:rsidR="006136DA" w:rsidRDefault="0020731B">
      <w:pPr>
        <w:pStyle w:val="TM2"/>
        <w:tabs>
          <w:tab w:val="left" w:pos="880"/>
          <w:tab w:val="right" w:leader="dot" w:pos="9062"/>
        </w:tabs>
        <w:rPr>
          <w:rFonts w:asciiTheme="minorHAnsi" w:eastAsiaTheme="minorEastAsia" w:hAnsiTheme="minorHAnsi"/>
          <w:noProof/>
          <w:szCs w:val="22"/>
          <w:lang w:eastAsia="fr-FR"/>
        </w:rPr>
      </w:pPr>
      <w:hyperlink w:anchor="_Toc201851392" w:history="1">
        <w:r w:rsidR="006136DA" w:rsidRPr="00651F94">
          <w:rPr>
            <w:rStyle w:val="Lienhypertexte"/>
            <w:b/>
            <w:noProof/>
          </w:rPr>
          <w:t>6.1.</w:t>
        </w:r>
        <w:r w:rsidR="006136DA">
          <w:rPr>
            <w:rFonts w:asciiTheme="minorHAnsi" w:eastAsiaTheme="minorEastAsia" w:hAnsiTheme="minorHAnsi"/>
            <w:noProof/>
            <w:szCs w:val="22"/>
            <w:lang w:eastAsia="fr-FR"/>
          </w:rPr>
          <w:tab/>
        </w:r>
        <w:r w:rsidR="006136DA" w:rsidRPr="00651F94">
          <w:rPr>
            <w:rStyle w:val="Lienhypertexte"/>
            <w:noProof/>
          </w:rPr>
          <w:t>Variantes à l’initiative du candidat (variantes libres)</w:t>
        </w:r>
        <w:r w:rsidR="006136DA">
          <w:rPr>
            <w:noProof/>
            <w:webHidden/>
          </w:rPr>
          <w:tab/>
        </w:r>
        <w:r w:rsidR="006136DA">
          <w:rPr>
            <w:noProof/>
            <w:webHidden/>
          </w:rPr>
          <w:fldChar w:fldCharType="begin"/>
        </w:r>
        <w:r w:rsidR="006136DA">
          <w:rPr>
            <w:noProof/>
            <w:webHidden/>
          </w:rPr>
          <w:instrText xml:space="preserve"> PAGEREF _Toc201851392 \h </w:instrText>
        </w:r>
        <w:r w:rsidR="006136DA">
          <w:rPr>
            <w:noProof/>
            <w:webHidden/>
          </w:rPr>
        </w:r>
        <w:r w:rsidR="006136DA">
          <w:rPr>
            <w:noProof/>
            <w:webHidden/>
          </w:rPr>
          <w:fldChar w:fldCharType="separate"/>
        </w:r>
        <w:r w:rsidR="006136DA">
          <w:rPr>
            <w:noProof/>
            <w:webHidden/>
          </w:rPr>
          <w:t>6</w:t>
        </w:r>
        <w:r w:rsidR="006136DA">
          <w:rPr>
            <w:noProof/>
            <w:webHidden/>
          </w:rPr>
          <w:fldChar w:fldCharType="end"/>
        </w:r>
      </w:hyperlink>
    </w:p>
    <w:p w14:paraId="68B1BFE9" w14:textId="2A47B8D5" w:rsidR="006136DA" w:rsidRDefault="0020731B">
      <w:pPr>
        <w:pStyle w:val="TM2"/>
        <w:tabs>
          <w:tab w:val="left" w:pos="880"/>
          <w:tab w:val="right" w:leader="dot" w:pos="9062"/>
        </w:tabs>
        <w:rPr>
          <w:rFonts w:asciiTheme="minorHAnsi" w:eastAsiaTheme="minorEastAsia" w:hAnsiTheme="minorHAnsi"/>
          <w:noProof/>
          <w:szCs w:val="22"/>
          <w:lang w:eastAsia="fr-FR"/>
        </w:rPr>
      </w:pPr>
      <w:hyperlink w:anchor="_Toc201851393" w:history="1">
        <w:r w:rsidR="006136DA" w:rsidRPr="00651F94">
          <w:rPr>
            <w:rStyle w:val="Lienhypertexte"/>
            <w:b/>
            <w:noProof/>
          </w:rPr>
          <w:t>6.2.</w:t>
        </w:r>
        <w:r w:rsidR="006136DA">
          <w:rPr>
            <w:rFonts w:asciiTheme="minorHAnsi" w:eastAsiaTheme="minorEastAsia" w:hAnsiTheme="minorHAnsi"/>
            <w:noProof/>
            <w:szCs w:val="22"/>
            <w:lang w:eastAsia="fr-FR"/>
          </w:rPr>
          <w:tab/>
        </w:r>
        <w:r w:rsidR="006136DA" w:rsidRPr="00651F94">
          <w:rPr>
            <w:rStyle w:val="Lienhypertexte"/>
            <w:noProof/>
          </w:rPr>
          <w:t>Variantes à l’initiative de l’acheteur (variantes exigées)</w:t>
        </w:r>
        <w:r w:rsidR="006136DA">
          <w:rPr>
            <w:noProof/>
            <w:webHidden/>
          </w:rPr>
          <w:tab/>
        </w:r>
        <w:r w:rsidR="006136DA">
          <w:rPr>
            <w:noProof/>
            <w:webHidden/>
          </w:rPr>
          <w:fldChar w:fldCharType="begin"/>
        </w:r>
        <w:r w:rsidR="006136DA">
          <w:rPr>
            <w:noProof/>
            <w:webHidden/>
          </w:rPr>
          <w:instrText xml:space="preserve"> PAGEREF _Toc201851393 \h </w:instrText>
        </w:r>
        <w:r w:rsidR="006136DA">
          <w:rPr>
            <w:noProof/>
            <w:webHidden/>
          </w:rPr>
        </w:r>
        <w:r w:rsidR="006136DA">
          <w:rPr>
            <w:noProof/>
            <w:webHidden/>
          </w:rPr>
          <w:fldChar w:fldCharType="separate"/>
        </w:r>
        <w:r w:rsidR="006136DA">
          <w:rPr>
            <w:noProof/>
            <w:webHidden/>
          </w:rPr>
          <w:t>6</w:t>
        </w:r>
        <w:r w:rsidR="006136DA">
          <w:rPr>
            <w:noProof/>
            <w:webHidden/>
          </w:rPr>
          <w:fldChar w:fldCharType="end"/>
        </w:r>
      </w:hyperlink>
    </w:p>
    <w:p w14:paraId="061C2B15" w14:textId="39BC4461" w:rsidR="006136DA" w:rsidRDefault="0020731B">
      <w:pPr>
        <w:pStyle w:val="TM2"/>
        <w:tabs>
          <w:tab w:val="left" w:pos="880"/>
          <w:tab w:val="right" w:leader="dot" w:pos="9062"/>
        </w:tabs>
        <w:rPr>
          <w:rFonts w:asciiTheme="minorHAnsi" w:eastAsiaTheme="minorEastAsia" w:hAnsiTheme="minorHAnsi"/>
          <w:noProof/>
          <w:szCs w:val="22"/>
          <w:lang w:eastAsia="fr-FR"/>
        </w:rPr>
      </w:pPr>
      <w:hyperlink w:anchor="_Toc201851394" w:history="1">
        <w:r w:rsidR="006136DA" w:rsidRPr="00651F94">
          <w:rPr>
            <w:rStyle w:val="Lienhypertexte"/>
            <w:b/>
            <w:noProof/>
          </w:rPr>
          <w:t>6.3.</w:t>
        </w:r>
        <w:r w:rsidR="006136DA">
          <w:rPr>
            <w:rFonts w:asciiTheme="minorHAnsi" w:eastAsiaTheme="minorEastAsia" w:hAnsiTheme="minorHAnsi"/>
            <w:noProof/>
            <w:szCs w:val="22"/>
            <w:lang w:eastAsia="fr-FR"/>
          </w:rPr>
          <w:tab/>
        </w:r>
        <w:r w:rsidR="006136DA" w:rsidRPr="00651F94">
          <w:rPr>
            <w:rStyle w:val="Lienhypertexte"/>
            <w:noProof/>
          </w:rPr>
          <w:t>Prestations supplémentaires éventuelles</w:t>
        </w:r>
        <w:r w:rsidR="006136DA">
          <w:rPr>
            <w:noProof/>
            <w:webHidden/>
          </w:rPr>
          <w:tab/>
        </w:r>
        <w:r w:rsidR="006136DA">
          <w:rPr>
            <w:noProof/>
            <w:webHidden/>
          </w:rPr>
          <w:fldChar w:fldCharType="begin"/>
        </w:r>
        <w:r w:rsidR="006136DA">
          <w:rPr>
            <w:noProof/>
            <w:webHidden/>
          </w:rPr>
          <w:instrText xml:space="preserve"> PAGEREF _Toc201851394 \h </w:instrText>
        </w:r>
        <w:r w:rsidR="006136DA">
          <w:rPr>
            <w:noProof/>
            <w:webHidden/>
          </w:rPr>
        </w:r>
        <w:r w:rsidR="006136DA">
          <w:rPr>
            <w:noProof/>
            <w:webHidden/>
          </w:rPr>
          <w:fldChar w:fldCharType="separate"/>
        </w:r>
        <w:r w:rsidR="006136DA">
          <w:rPr>
            <w:noProof/>
            <w:webHidden/>
          </w:rPr>
          <w:t>6</w:t>
        </w:r>
        <w:r w:rsidR="006136DA">
          <w:rPr>
            <w:noProof/>
            <w:webHidden/>
          </w:rPr>
          <w:fldChar w:fldCharType="end"/>
        </w:r>
      </w:hyperlink>
    </w:p>
    <w:p w14:paraId="01AD8B84" w14:textId="373AFBF3" w:rsidR="006136DA" w:rsidRDefault="0020731B">
      <w:pPr>
        <w:pStyle w:val="TM1"/>
        <w:tabs>
          <w:tab w:val="left" w:pos="480"/>
          <w:tab w:val="right" w:leader="dot" w:pos="9062"/>
        </w:tabs>
        <w:rPr>
          <w:rFonts w:asciiTheme="minorHAnsi" w:eastAsiaTheme="minorEastAsia" w:hAnsiTheme="minorHAnsi"/>
          <w:noProof/>
          <w:szCs w:val="22"/>
          <w:lang w:eastAsia="fr-FR"/>
        </w:rPr>
      </w:pPr>
      <w:hyperlink w:anchor="_Toc201851395" w:history="1">
        <w:r w:rsidR="006136DA" w:rsidRPr="00651F94">
          <w:rPr>
            <w:rStyle w:val="Lienhypertexte"/>
            <w:b/>
            <w:noProof/>
          </w:rPr>
          <w:t>7.</w:t>
        </w:r>
        <w:r w:rsidR="006136DA">
          <w:rPr>
            <w:rFonts w:asciiTheme="minorHAnsi" w:eastAsiaTheme="minorEastAsia" w:hAnsiTheme="minorHAnsi"/>
            <w:noProof/>
            <w:szCs w:val="22"/>
            <w:lang w:eastAsia="fr-FR"/>
          </w:rPr>
          <w:tab/>
        </w:r>
        <w:r w:rsidR="006136DA" w:rsidRPr="00651F94">
          <w:rPr>
            <w:rStyle w:val="Lienhypertexte"/>
            <w:noProof/>
          </w:rPr>
          <w:t>Documents de la consultation et compléments</w:t>
        </w:r>
        <w:r w:rsidR="006136DA">
          <w:rPr>
            <w:noProof/>
            <w:webHidden/>
          </w:rPr>
          <w:tab/>
        </w:r>
        <w:r w:rsidR="006136DA">
          <w:rPr>
            <w:noProof/>
            <w:webHidden/>
          </w:rPr>
          <w:fldChar w:fldCharType="begin"/>
        </w:r>
        <w:r w:rsidR="006136DA">
          <w:rPr>
            <w:noProof/>
            <w:webHidden/>
          </w:rPr>
          <w:instrText xml:space="preserve"> PAGEREF _Toc201851395 \h </w:instrText>
        </w:r>
        <w:r w:rsidR="006136DA">
          <w:rPr>
            <w:noProof/>
            <w:webHidden/>
          </w:rPr>
        </w:r>
        <w:r w:rsidR="006136DA">
          <w:rPr>
            <w:noProof/>
            <w:webHidden/>
          </w:rPr>
          <w:fldChar w:fldCharType="separate"/>
        </w:r>
        <w:r w:rsidR="006136DA">
          <w:rPr>
            <w:noProof/>
            <w:webHidden/>
          </w:rPr>
          <w:t>6</w:t>
        </w:r>
        <w:r w:rsidR="006136DA">
          <w:rPr>
            <w:noProof/>
            <w:webHidden/>
          </w:rPr>
          <w:fldChar w:fldCharType="end"/>
        </w:r>
      </w:hyperlink>
    </w:p>
    <w:p w14:paraId="79CDF3FB" w14:textId="107B2B13" w:rsidR="006136DA" w:rsidRDefault="0020731B">
      <w:pPr>
        <w:pStyle w:val="TM2"/>
        <w:tabs>
          <w:tab w:val="left" w:pos="880"/>
          <w:tab w:val="right" w:leader="dot" w:pos="9062"/>
        </w:tabs>
        <w:rPr>
          <w:rFonts w:asciiTheme="minorHAnsi" w:eastAsiaTheme="minorEastAsia" w:hAnsiTheme="minorHAnsi"/>
          <w:noProof/>
          <w:szCs w:val="22"/>
          <w:lang w:eastAsia="fr-FR"/>
        </w:rPr>
      </w:pPr>
      <w:hyperlink w:anchor="_Toc201851396" w:history="1">
        <w:r w:rsidR="006136DA" w:rsidRPr="00651F94">
          <w:rPr>
            <w:rStyle w:val="Lienhypertexte"/>
            <w:b/>
            <w:noProof/>
            <w:lang w:eastAsia="fr-FR"/>
          </w:rPr>
          <w:t>7.1.</w:t>
        </w:r>
        <w:r w:rsidR="006136DA">
          <w:rPr>
            <w:rFonts w:asciiTheme="minorHAnsi" w:eastAsiaTheme="minorEastAsia" w:hAnsiTheme="minorHAnsi"/>
            <w:noProof/>
            <w:szCs w:val="22"/>
            <w:lang w:eastAsia="fr-FR"/>
          </w:rPr>
          <w:tab/>
        </w:r>
        <w:r w:rsidR="006136DA" w:rsidRPr="00651F94">
          <w:rPr>
            <w:rStyle w:val="Lienhypertexte"/>
            <w:noProof/>
            <w:lang w:eastAsia="fr-FR"/>
          </w:rPr>
          <w:t>Documents de la consultation</w:t>
        </w:r>
        <w:r w:rsidR="006136DA">
          <w:rPr>
            <w:noProof/>
            <w:webHidden/>
          </w:rPr>
          <w:tab/>
        </w:r>
        <w:r w:rsidR="006136DA">
          <w:rPr>
            <w:noProof/>
            <w:webHidden/>
          </w:rPr>
          <w:fldChar w:fldCharType="begin"/>
        </w:r>
        <w:r w:rsidR="006136DA">
          <w:rPr>
            <w:noProof/>
            <w:webHidden/>
          </w:rPr>
          <w:instrText xml:space="preserve"> PAGEREF _Toc201851396 \h </w:instrText>
        </w:r>
        <w:r w:rsidR="006136DA">
          <w:rPr>
            <w:noProof/>
            <w:webHidden/>
          </w:rPr>
        </w:r>
        <w:r w:rsidR="006136DA">
          <w:rPr>
            <w:noProof/>
            <w:webHidden/>
          </w:rPr>
          <w:fldChar w:fldCharType="separate"/>
        </w:r>
        <w:r w:rsidR="006136DA">
          <w:rPr>
            <w:noProof/>
            <w:webHidden/>
          </w:rPr>
          <w:t>6</w:t>
        </w:r>
        <w:r w:rsidR="006136DA">
          <w:rPr>
            <w:noProof/>
            <w:webHidden/>
          </w:rPr>
          <w:fldChar w:fldCharType="end"/>
        </w:r>
      </w:hyperlink>
    </w:p>
    <w:p w14:paraId="6D15EAC1" w14:textId="7834E506" w:rsidR="006136DA" w:rsidRDefault="0020731B">
      <w:pPr>
        <w:pStyle w:val="TM2"/>
        <w:tabs>
          <w:tab w:val="left" w:pos="880"/>
          <w:tab w:val="right" w:leader="dot" w:pos="9062"/>
        </w:tabs>
        <w:rPr>
          <w:rFonts w:asciiTheme="minorHAnsi" w:eastAsiaTheme="minorEastAsia" w:hAnsiTheme="minorHAnsi"/>
          <w:noProof/>
          <w:szCs w:val="22"/>
          <w:lang w:eastAsia="fr-FR"/>
        </w:rPr>
      </w:pPr>
      <w:hyperlink w:anchor="_Toc201851397" w:history="1">
        <w:r w:rsidR="006136DA" w:rsidRPr="00651F94">
          <w:rPr>
            <w:rStyle w:val="Lienhypertexte"/>
            <w:b/>
            <w:noProof/>
            <w:lang w:eastAsia="fr-FR"/>
          </w:rPr>
          <w:t>7.2.</w:t>
        </w:r>
        <w:r w:rsidR="006136DA">
          <w:rPr>
            <w:rFonts w:asciiTheme="minorHAnsi" w:eastAsiaTheme="minorEastAsia" w:hAnsiTheme="minorHAnsi"/>
            <w:noProof/>
            <w:szCs w:val="22"/>
            <w:lang w:eastAsia="fr-FR"/>
          </w:rPr>
          <w:tab/>
        </w:r>
        <w:r w:rsidR="006136DA" w:rsidRPr="00651F94">
          <w:rPr>
            <w:rStyle w:val="Lienhypertexte"/>
            <w:noProof/>
            <w:lang w:eastAsia="fr-FR"/>
          </w:rPr>
          <w:t>Renseignements complémentaires</w:t>
        </w:r>
        <w:r w:rsidR="006136DA">
          <w:rPr>
            <w:noProof/>
            <w:webHidden/>
          </w:rPr>
          <w:tab/>
        </w:r>
        <w:r w:rsidR="006136DA">
          <w:rPr>
            <w:noProof/>
            <w:webHidden/>
          </w:rPr>
          <w:fldChar w:fldCharType="begin"/>
        </w:r>
        <w:r w:rsidR="006136DA">
          <w:rPr>
            <w:noProof/>
            <w:webHidden/>
          </w:rPr>
          <w:instrText xml:space="preserve"> PAGEREF _Toc201851397 \h </w:instrText>
        </w:r>
        <w:r w:rsidR="006136DA">
          <w:rPr>
            <w:noProof/>
            <w:webHidden/>
          </w:rPr>
        </w:r>
        <w:r w:rsidR="006136DA">
          <w:rPr>
            <w:noProof/>
            <w:webHidden/>
          </w:rPr>
          <w:fldChar w:fldCharType="separate"/>
        </w:r>
        <w:r w:rsidR="006136DA">
          <w:rPr>
            <w:noProof/>
            <w:webHidden/>
          </w:rPr>
          <w:t>6</w:t>
        </w:r>
        <w:r w:rsidR="006136DA">
          <w:rPr>
            <w:noProof/>
            <w:webHidden/>
          </w:rPr>
          <w:fldChar w:fldCharType="end"/>
        </w:r>
      </w:hyperlink>
    </w:p>
    <w:p w14:paraId="7CDBE7B8" w14:textId="65DB5EB9" w:rsidR="006136DA" w:rsidRDefault="0020731B">
      <w:pPr>
        <w:pStyle w:val="TM1"/>
        <w:tabs>
          <w:tab w:val="left" w:pos="480"/>
          <w:tab w:val="right" w:leader="dot" w:pos="9062"/>
        </w:tabs>
        <w:rPr>
          <w:rFonts w:asciiTheme="minorHAnsi" w:eastAsiaTheme="minorEastAsia" w:hAnsiTheme="minorHAnsi"/>
          <w:noProof/>
          <w:szCs w:val="22"/>
          <w:lang w:eastAsia="fr-FR"/>
        </w:rPr>
      </w:pPr>
      <w:hyperlink w:anchor="_Toc201851398" w:history="1">
        <w:r w:rsidR="006136DA" w:rsidRPr="00651F94">
          <w:rPr>
            <w:rStyle w:val="Lienhypertexte"/>
            <w:b/>
            <w:noProof/>
            <w:lang w:eastAsia="fr-FR"/>
          </w:rPr>
          <w:t>8.</w:t>
        </w:r>
        <w:r w:rsidR="006136DA">
          <w:rPr>
            <w:rFonts w:asciiTheme="minorHAnsi" w:eastAsiaTheme="minorEastAsia" w:hAnsiTheme="minorHAnsi"/>
            <w:noProof/>
            <w:szCs w:val="22"/>
            <w:lang w:eastAsia="fr-FR"/>
          </w:rPr>
          <w:tab/>
        </w:r>
        <w:r w:rsidR="006136DA" w:rsidRPr="00651F94">
          <w:rPr>
            <w:rStyle w:val="Lienhypertexte"/>
            <w:noProof/>
            <w:lang w:eastAsia="fr-FR"/>
          </w:rPr>
          <w:t>Modification du DCE</w:t>
        </w:r>
        <w:r w:rsidR="006136DA">
          <w:rPr>
            <w:noProof/>
            <w:webHidden/>
          </w:rPr>
          <w:tab/>
        </w:r>
        <w:r w:rsidR="006136DA">
          <w:rPr>
            <w:noProof/>
            <w:webHidden/>
          </w:rPr>
          <w:fldChar w:fldCharType="begin"/>
        </w:r>
        <w:r w:rsidR="006136DA">
          <w:rPr>
            <w:noProof/>
            <w:webHidden/>
          </w:rPr>
          <w:instrText xml:space="preserve"> PAGEREF _Toc201851398 \h </w:instrText>
        </w:r>
        <w:r w:rsidR="006136DA">
          <w:rPr>
            <w:noProof/>
            <w:webHidden/>
          </w:rPr>
        </w:r>
        <w:r w:rsidR="006136DA">
          <w:rPr>
            <w:noProof/>
            <w:webHidden/>
          </w:rPr>
          <w:fldChar w:fldCharType="separate"/>
        </w:r>
        <w:r w:rsidR="006136DA">
          <w:rPr>
            <w:noProof/>
            <w:webHidden/>
          </w:rPr>
          <w:t>7</w:t>
        </w:r>
        <w:r w:rsidR="006136DA">
          <w:rPr>
            <w:noProof/>
            <w:webHidden/>
          </w:rPr>
          <w:fldChar w:fldCharType="end"/>
        </w:r>
      </w:hyperlink>
    </w:p>
    <w:p w14:paraId="1B55768E" w14:textId="3867D4C5" w:rsidR="006136DA" w:rsidRDefault="0020731B">
      <w:pPr>
        <w:pStyle w:val="TM1"/>
        <w:tabs>
          <w:tab w:val="left" w:pos="480"/>
          <w:tab w:val="right" w:leader="dot" w:pos="9062"/>
        </w:tabs>
        <w:rPr>
          <w:rFonts w:asciiTheme="minorHAnsi" w:eastAsiaTheme="minorEastAsia" w:hAnsiTheme="minorHAnsi"/>
          <w:noProof/>
          <w:szCs w:val="22"/>
          <w:lang w:eastAsia="fr-FR"/>
        </w:rPr>
      </w:pPr>
      <w:hyperlink w:anchor="_Toc201851399" w:history="1">
        <w:r w:rsidR="006136DA" w:rsidRPr="00651F94">
          <w:rPr>
            <w:rStyle w:val="Lienhypertexte"/>
            <w:b/>
            <w:noProof/>
            <w:lang w:eastAsia="fr-FR"/>
          </w:rPr>
          <w:t>9.</w:t>
        </w:r>
        <w:r w:rsidR="006136DA">
          <w:rPr>
            <w:rFonts w:asciiTheme="minorHAnsi" w:eastAsiaTheme="minorEastAsia" w:hAnsiTheme="minorHAnsi"/>
            <w:noProof/>
            <w:szCs w:val="22"/>
            <w:lang w:eastAsia="fr-FR"/>
          </w:rPr>
          <w:tab/>
        </w:r>
        <w:r w:rsidR="006136DA" w:rsidRPr="00651F94">
          <w:rPr>
            <w:rStyle w:val="Lienhypertexte"/>
            <w:noProof/>
            <w:lang w:eastAsia="fr-FR"/>
          </w:rPr>
          <w:t>Modalités de communication entre INRAE et les candidats</w:t>
        </w:r>
        <w:r w:rsidR="006136DA">
          <w:rPr>
            <w:noProof/>
            <w:webHidden/>
          </w:rPr>
          <w:tab/>
        </w:r>
        <w:r w:rsidR="006136DA">
          <w:rPr>
            <w:noProof/>
            <w:webHidden/>
          </w:rPr>
          <w:fldChar w:fldCharType="begin"/>
        </w:r>
        <w:r w:rsidR="006136DA">
          <w:rPr>
            <w:noProof/>
            <w:webHidden/>
          </w:rPr>
          <w:instrText xml:space="preserve"> PAGEREF _Toc201851399 \h </w:instrText>
        </w:r>
        <w:r w:rsidR="006136DA">
          <w:rPr>
            <w:noProof/>
            <w:webHidden/>
          </w:rPr>
        </w:r>
        <w:r w:rsidR="006136DA">
          <w:rPr>
            <w:noProof/>
            <w:webHidden/>
          </w:rPr>
          <w:fldChar w:fldCharType="separate"/>
        </w:r>
        <w:r w:rsidR="006136DA">
          <w:rPr>
            <w:noProof/>
            <w:webHidden/>
          </w:rPr>
          <w:t>7</w:t>
        </w:r>
        <w:r w:rsidR="006136DA">
          <w:rPr>
            <w:noProof/>
            <w:webHidden/>
          </w:rPr>
          <w:fldChar w:fldCharType="end"/>
        </w:r>
      </w:hyperlink>
    </w:p>
    <w:p w14:paraId="38B1F10A" w14:textId="368E38D1" w:rsidR="006136DA" w:rsidRDefault="0020731B">
      <w:pPr>
        <w:pStyle w:val="TM2"/>
        <w:tabs>
          <w:tab w:val="left" w:pos="880"/>
          <w:tab w:val="right" w:leader="dot" w:pos="9062"/>
        </w:tabs>
        <w:rPr>
          <w:rFonts w:asciiTheme="minorHAnsi" w:eastAsiaTheme="minorEastAsia" w:hAnsiTheme="minorHAnsi"/>
          <w:noProof/>
          <w:szCs w:val="22"/>
          <w:lang w:eastAsia="fr-FR"/>
        </w:rPr>
      </w:pPr>
      <w:hyperlink w:anchor="_Toc201851400" w:history="1">
        <w:r w:rsidR="006136DA" w:rsidRPr="00651F94">
          <w:rPr>
            <w:rStyle w:val="Lienhypertexte"/>
            <w:b/>
            <w:noProof/>
            <w:lang w:eastAsia="fr-FR"/>
          </w:rPr>
          <w:t>9.1.</w:t>
        </w:r>
        <w:r w:rsidR="006136DA">
          <w:rPr>
            <w:rFonts w:asciiTheme="minorHAnsi" w:eastAsiaTheme="minorEastAsia" w:hAnsiTheme="minorHAnsi"/>
            <w:noProof/>
            <w:szCs w:val="22"/>
            <w:lang w:eastAsia="fr-FR"/>
          </w:rPr>
          <w:tab/>
        </w:r>
        <w:r w:rsidR="006136DA" w:rsidRPr="00651F94">
          <w:rPr>
            <w:rStyle w:val="Lienhypertexte"/>
            <w:noProof/>
            <w:lang w:eastAsia="fr-FR"/>
          </w:rPr>
          <w:t>Langue</w:t>
        </w:r>
        <w:r w:rsidR="006136DA">
          <w:rPr>
            <w:noProof/>
            <w:webHidden/>
          </w:rPr>
          <w:tab/>
        </w:r>
        <w:r w:rsidR="006136DA">
          <w:rPr>
            <w:noProof/>
            <w:webHidden/>
          </w:rPr>
          <w:fldChar w:fldCharType="begin"/>
        </w:r>
        <w:r w:rsidR="006136DA">
          <w:rPr>
            <w:noProof/>
            <w:webHidden/>
          </w:rPr>
          <w:instrText xml:space="preserve"> PAGEREF _Toc201851400 \h </w:instrText>
        </w:r>
        <w:r w:rsidR="006136DA">
          <w:rPr>
            <w:noProof/>
            <w:webHidden/>
          </w:rPr>
        </w:r>
        <w:r w:rsidR="006136DA">
          <w:rPr>
            <w:noProof/>
            <w:webHidden/>
          </w:rPr>
          <w:fldChar w:fldCharType="separate"/>
        </w:r>
        <w:r w:rsidR="006136DA">
          <w:rPr>
            <w:noProof/>
            <w:webHidden/>
          </w:rPr>
          <w:t>7</w:t>
        </w:r>
        <w:r w:rsidR="006136DA">
          <w:rPr>
            <w:noProof/>
            <w:webHidden/>
          </w:rPr>
          <w:fldChar w:fldCharType="end"/>
        </w:r>
      </w:hyperlink>
    </w:p>
    <w:p w14:paraId="1D78E31A" w14:textId="7BAE0284" w:rsidR="006136DA" w:rsidRDefault="0020731B">
      <w:pPr>
        <w:pStyle w:val="TM2"/>
        <w:tabs>
          <w:tab w:val="left" w:pos="880"/>
          <w:tab w:val="right" w:leader="dot" w:pos="9062"/>
        </w:tabs>
        <w:rPr>
          <w:rFonts w:asciiTheme="minorHAnsi" w:eastAsiaTheme="minorEastAsia" w:hAnsiTheme="minorHAnsi"/>
          <w:noProof/>
          <w:szCs w:val="22"/>
          <w:lang w:eastAsia="fr-FR"/>
        </w:rPr>
      </w:pPr>
      <w:hyperlink w:anchor="_Toc201851401" w:history="1">
        <w:r w:rsidR="006136DA" w:rsidRPr="00651F94">
          <w:rPr>
            <w:rStyle w:val="Lienhypertexte"/>
            <w:b/>
            <w:noProof/>
          </w:rPr>
          <w:t>9.2.</w:t>
        </w:r>
        <w:r w:rsidR="006136DA">
          <w:rPr>
            <w:rFonts w:asciiTheme="minorHAnsi" w:eastAsiaTheme="minorEastAsia" w:hAnsiTheme="minorHAnsi"/>
            <w:noProof/>
            <w:szCs w:val="22"/>
            <w:lang w:eastAsia="fr-FR"/>
          </w:rPr>
          <w:tab/>
        </w:r>
        <w:r w:rsidR="006136DA" w:rsidRPr="00651F94">
          <w:rPr>
            <w:rStyle w:val="Lienhypertexte"/>
            <w:noProof/>
          </w:rPr>
          <w:t>Echanges électroniques</w:t>
        </w:r>
        <w:r w:rsidR="006136DA">
          <w:rPr>
            <w:noProof/>
            <w:webHidden/>
          </w:rPr>
          <w:tab/>
        </w:r>
        <w:r w:rsidR="006136DA">
          <w:rPr>
            <w:noProof/>
            <w:webHidden/>
          </w:rPr>
          <w:fldChar w:fldCharType="begin"/>
        </w:r>
        <w:r w:rsidR="006136DA">
          <w:rPr>
            <w:noProof/>
            <w:webHidden/>
          </w:rPr>
          <w:instrText xml:space="preserve"> PAGEREF _Toc201851401 \h </w:instrText>
        </w:r>
        <w:r w:rsidR="006136DA">
          <w:rPr>
            <w:noProof/>
            <w:webHidden/>
          </w:rPr>
        </w:r>
        <w:r w:rsidR="006136DA">
          <w:rPr>
            <w:noProof/>
            <w:webHidden/>
          </w:rPr>
          <w:fldChar w:fldCharType="separate"/>
        </w:r>
        <w:r w:rsidR="006136DA">
          <w:rPr>
            <w:noProof/>
            <w:webHidden/>
          </w:rPr>
          <w:t>7</w:t>
        </w:r>
        <w:r w:rsidR="006136DA">
          <w:rPr>
            <w:noProof/>
            <w:webHidden/>
          </w:rPr>
          <w:fldChar w:fldCharType="end"/>
        </w:r>
      </w:hyperlink>
    </w:p>
    <w:p w14:paraId="41AD2773" w14:textId="2F6EC37B" w:rsidR="006136DA" w:rsidRDefault="0020731B">
      <w:pPr>
        <w:pStyle w:val="TM1"/>
        <w:tabs>
          <w:tab w:val="left" w:pos="660"/>
          <w:tab w:val="right" w:leader="dot" w:pos="9062"/>
        </w:tabs>
        <w:rPr>
          <w:rFonts w:asciiTheme="minorHAnsi" w:eastAsiaTheme="minorEastAsia" w:hAnsiTheme="minorHAnsi"/>
          <w:noProof/>
          <w:szCs w:val="22"/>
          <w:lang w:eastAsia="fr-FR"/>
        </w:rPr>
      </w:pPr>
      <w:hyperlink w:anchor="_Toc201851402" w:history="1">
        <w:r w:rsidR="006136DA" w:rsidRPr="00651F94">
          <w:rPr>
            <w:rStyle w:val="Lienhypertexte"/>
            <w:b/>
            <w:noProof/>
          </w:rPr>
          <w:t>10.</w:t>
        </w:r>
        <w:r w:rsidR="006136DA">
          <w:rPr>
            <w:rFonts w:asciiTheme="minorHAnsi" w:eastAsiaTheme="minorEastAsia" w:hAnsiTheme="minorHAnsi"/>
            <w:noProof/>
            <w:szCs w:val="22"/>
            <w:lang w:eastAsia="fr-FR"/>
          </w:rPr>
          <w:tab/>
        </w:r>
        <w:r w:rsidR="006136DA" w:rsidRPr="00651F94">
          <w:rPr>
            <w:rStyle w:val="Lienhypertexte"/>
            <w:noProof/>
            <w:lang w:eastAsia="fr-FR"/>
          </w:rPr>
          <w:t>Visites des locaux par les candidats</w:t>
        </w:r>
        <w:r w:rsidR="006136DA">
          <w:rPr>
            <w:noProof/>
            <w:webHidden/>
          </w:rPr>
          <w:tab/>
        </w:r>
        <w:r w:rsidR="006136DA">
          <w:rPr>
            <w:noProof/>
            <w:webHidden/>
          </w:rPr>
          <w:fldChar w:fldCharType="begin"/>
        </w:r>
        <w:r w:rsidR="006136DA">
          <w:rPr>
            <w:noProof/>
            <w:webHidden/>
          </w:rPr>
          <w:instrText xml:space="preserve"> PAGEREF _Toc201851402 \h </w:instrText>
        </w:r>
        <w:r w:rsidR="006136DA">
          <w:rPr>
            <w:noProof/>
            <w:webHidden/>
          </w:rPr>
        </w:r>
        <w:r w:rsidR="006136DA">
          <w:rPr>
            <w:noProof/>
            <w:webHidden/>
          </w:rPr>
          <w:fldChar w:fldCharType="separate"/>
        </w:r>
        <w:r w:rsidR="006136DA">
          <w:rPr>
            <w:noProof/>
            <w:webHidden/>
          </w:rPr>
          <w:t>7</w:t>
        </w:r>
        <w:r w:rsidR="006136DA">
          <w:rPr>
            <w:noProof/>
            <w:webHidden/>
          </w:rPr>
          <w:fldChar w:fldCharType="end"/>
        </w:r>
      </w:hyperlink>
    </w:p>
    <w:p w14:paraId="2ACF39CD" w14:textId="5F91EFDF" w:rsidR="006136DA" w:rsidRDefault="0020731B">
      <w:pPr>
        <w:pStyle w:val="TM1"/>
        <w:tabs>
          <w:tab w:val="left" w:pos="660"/>
          <w:tab w:val="right" w:leader="dot" w:pos="9062"/>
        </w:tabs>
        <w:rPr>
          <w:rFonts w:asciiTheme="minorHAnsi" w:eastAsiaTheme="minorEastAsia" w:hAnsiTheme="minorHAnsi"/>
          <w:noProof/>
          <w:szCs w:val="22"/>
          <w:lang w:eastAsia="fr-FR"/>
        </w:rPr>
      </w:pPr>
      <w:hyperlink w:anchor="_Toc201851403" w:history="1">
        <w:r w:rsidR="006136DA" w:rsidRPr="00651F94">
          <w:rPr>
            <w:rStyle w:val="Lienhypertexte"/>
            <w:b/>
            <w:noProof/>
          </w:rPr>
          <w:t>11.</w:t>
        </w:r>
        <w:r w:rsidR="006136DA">
          <w:rPr>
            <w:rFonts w:asciiTheme="minorHAnsi" w:eastAsiaTheme="minorEastAsia" w:hAnsiTheme="minorHAnsi"/>
            <w:noProof/>
            <w:szCs w:val="22"/>
            <w:lang w:eastAsia="fr-FR"/>
          </w:rPr>
          <w:tab/>
        </w:r>
        <w:r w:rsidR="006136DA" w:rsidRPr="00651F94">
          <w:rPr>
            <w:rStyle w:val="Lienhypertexte"/>
            <w:noProof/>
          </w:rPr>
          <w:t>Groupement d’entreprises</w:t>
        </w:r>
        <w:r w:rsidR="006136DA">
          <w:rPr>
            <w:noProof/>
            <w:webHidden/>
          </w:rPr>
          <w:tab/>
        </w:r>
        <w:r w:rsidR="006136DA">
          <w:rPr>
            <w:noProof/>
            <w:webHidden/>
          </w:rPr>
          <w:fldChar w:fldCharType="begin"/>
        </w:r>
        <w:r w:rsidR="006136DA">
          <w:rPr>
            <w:noProof/>
            <w:webHidden/>
          </w:rPr>
          <w:instrText xml:space="preserve"> PAGEREF _Toc201851403 \h </w:instrText>
        </w:r>
        <w:r w:rsidR="006136DA">
          <w:rPr>
            <w:noProof/>
            <w:webHidden/>
          </w:rPr>
        </w:r>
        <w:r w:rsidR="006136DA">
          <w:rPr>
            <w:noProof/>
            <w:webHidden/>
          </w:rPr>
          <w:fldChar w:fldCharType="separate"/>
        </w:r>
        <w:r w:rsidR="006136DA">
          <w:rPr>
            <w:noProof/>
            <w:webHidden/>
          </w:rPr>
          <w:t>8</w:t>
        </w:r>
        <w:r w:rsidR="006136DA">
          <w:rPr>
            <w:noProof/>
            <w:webHidden/>
          </w:rPr>
          <w:fldChar w:fldCharType="end"/>
        </w:r>
      </w:hyperlink>
    </w:p>
    <w:p w14:paraId="6AE92AD6" w14:textId="2F622626" w:rsidR="006136DA" w:rsidRDefault="0020731B">
      <w:pPr>
        <w:pStyle w:val="TM1"/>
        <w:tabs>
          <w:tab w:val="left" w:pos="660"/>
          <w:tab w:val="right" w:leader="dot" w:pos="9062"/>
        </w:tabs>
        <w:rPr>
          <w:rFonts w:asciiTheme="minorHAnsi" w:eastAsiaTheme="minorEastAsia" w:hAnsiTheme="minorHAnsi"/>
          <w:noProof/>
          <w:szCs w:val="22"/>
          <w:lang w:eastAsia="fr-FR"/>
        </w:rPr>
      </w:pPr>
      <w:hyperlink w:anchor="_Toc201851404" w:history="1">
        <w:r w:rsidR="006136DA" w:rsidRPr="00651F94">
          <w:rPr>
            <w:rStyle w:val="Lienhypertexte"/>
            <w:b/>
            <w:noProof/>
          </w:rPr>
          <w:t>12.</w:t>
        </w:r>
        <w:r w:rsidR="006136DA">
          <w:rPr>
            <w:rFonts w:asciiTheme="minorHAnsi" w:eastAsiaTheme="minorEastAsia" w:hAnsiTheme="minorHAnsi"/>
            <w:noProof/>
            <w:szCs w:val="22"/>
            <w:lang w:eastAsia="fr-FR"/>
          </w:rPr>
          <w:tab/>
        </w:r>
        <w:r w:rsidR="006136DA" w:rsidRPr="00651F94">
          <w:rPr>
            <w:rStyle w:val="Lienhypertexte"/>
            <w:noProof/>
          </w:rPr>
          <w:t>Sous-traitance</w:t>
        </w:r>
        <w:r w:rsidR="006136DA">
          <w:rPr>
            <w:noProof/>
            <w:webHidden/>
          </w:rPr>
          <w:tab/>
        </w:r>
        <w:r w:rsidR="006136DA">
          <w:rPr>
            <w:noProof/>
            <w:webHidden/>
          </w:rPr>
          <w:fldChar w:fldCharType="begin"/>
        </w:r>
        <w:r w:rsidR="006136DA">
          <w:rPr>
            <w:noProof/>
            <w:webHidden/>
          </w:rPr>
          <w:instrText xml:space="preserve"> PAGEREF _Toc201851404 \h </w:instrText>
        </w:r>
        <w:r w:rsidR="006136DA">
          <w:rPr>
            <w:noProof/>
            <w:webHidden/>
          </w:rPr>
        </w:r>
        <w:r w:rsidR="006136DA">
          <w:rPr>
            <w:noProof/>
            <w:webHidden/>
          </w:rPr>
          <w:fldChar w:fldCharType="separate"/>
        </w:r>
        <w:r w:rsidR="006136DA">
          <w:rPr>
            <w:noProof/>
            <w:webHidden/>
          </w:rPr>
          <w:t>9</w:t>
        </w:r>
        <w:r w:rsidR="006136DA">
          <w:rPr>
            <w:noProof/>
            <w:webHidden/>
          </w:rPr>
          <w:fldChar w:fldCharType="end"/>
        </w:r>
      </w:hyperlink>
    </w:p>
    <w:p w14:paraId="0E1D4AE2" w14:textId="2535A2DB" w:rsidR="006136DA" w:rsidRDefault="0020731B">
      <w:pPr>
        <w:pStyle w:val="TM1"/>
        <w:tabs>
          <w:tab w:val="left" w:pos="660"/>
          <w:tab w:val="right" w:leader="dot" w:pos="9062"/>
        </w:tabs>
        <w:rPr>
          <w:rFonts w:asciiTheme="minorHAnsi" w:eastAsiaTheme="minorEastAsia" w:hAnsiTheme="minorHAnsi"/>
          <w:noProof/>
          <w:szCs w:val="22"/>
          <w:lang w:eastAsia="fr-FR"/>
        </w:rPr>
      </w:pPr>
      <w:hyperlink w:anchor="_Toc201851405" w:history="1">
        <w:r w:rsidR="006136DA" w:rsidRPr="00651F94">
          <w:rPr>
            <w:rStyle w:val="Lienhypertexte"/>
            <w:b/>
            <w:noProof/>
          </w:rPr>
          <w:t>13.</w:t>
        </w:r>
        <w:r w:rsidR="006136DA">
          <w:rPr>
            <w:rFonts w:asciiTheme="minorHAnsi" w:eastAsiaTheme="minorEastAsia" w:hAnsiTheme="minorHAnsi"/>
            <w:noProof/>
            <w:szCs w:val="22"/>
            <w:lang w:eastAsia="fr-FR"/>
          </w:rPr>
          <w:tab/>
        </w:r>
        <w:r w:rsidR="006136DA" w:rsidRPr="00651F94">
          <w:rPr>
            <w:rStyle w:val="Lienhypertexte"/>
            <w:noProof/>
          </w:rPr>
          <w:t>Avance</w:t>
        </w:r>
        <w:r w:rsidR="006136DA">
          <w:rPr>
            <w:noProof/>
            <w:webHidden/>
          </w:rPr>
          <w:tab/>
        </w:r>
        <w:r w:rsidR="006136DA">
          <w:rPr>
            <w:noProof/>
            <w:webHidden/>
          </w:rPr>
          <w:fldChar w:fldCharType="begin"/>
        </w:r>
        <w:r w:rsidR="006136DA">
          <w:rPr>
            <w:noProof/>
            <w:webHidden/>
          </w:rPr>
          <w:instrText xml:space="preserve"> PAGEREF _Toc201851405 \h </w:instrText>
        </w:r>
        <w:r w:rsidR="006136DA">
          <w:rPr>
            <w:noProof/>
            <w:webHidden/>
          </w:rPr>
        </w:r>
        <w:r w:rsidR="006136DA">
          <w:rPr>
            <w:noProof/>
            <w:webHidden/>
          </w:rPr>
          <w:fldChar w:fldCharType="separate"/>
        </w:r>
        <w:r w:rsidR="006136DA">
          <w:rPr>
            <w:noProof/>
            <w:webHidden/>
          </w:rPr>
          <w:t>9</w:t>
        </w:r>
        <w:r w:rsidR="006136DA">
          <w:rPr>
            <w:noProof/>
            <w:webHidden/>
          </w:rPr>
          <w:fldChar w:fldCharType="end"/>
        </w:r>
      </w:hyperlink>
    </w:p>
    <w:p w14:paraId="14CE6C63" w14:textId="64F33046" w:rsidR="006136DA" w:rsidRDefault="0020731B">
      <w:pPr>
        <w:pStyle w:val="TM1"/>
        <w:tabs>
          <w:tab w:val="left" w:pos="660"/>
          <w:tab w:val="right" w:leader="dot" w:pos="9062"/>
        </w:tabs>
        <w:rPr>
          <w:rFonts w:asciiTheme="minorHAnsi" w:eastAsiaTheme="minorEastAsia" w:hAnsiTheme="minorHAnsi"/>
          <w:noProof/>
          <w:szCs w:val="22"/>
          <w:lang w:eastAsia="fr-FR"/>
        </w:rPr>
      </w:pPr>
      <w:hyperlink w:anchor="_Toc201851406" w:history="1">
        <w:r w:rsidR="006136DA" w:rsidRPr="00651F94">
          <w:rPr>
            <w:rStyle w:val="Lienhypertexte"/>
            <w:b/>
            <w:noProof/>
          </w:rPr>
          <w:t>14.</w:t>
        </w:r>
        <w:r w:rsidR="006136DA">
          <w:rPr>
            <w:rFonts w:asciiTheme="minorHAnsi" w:eastAsiaTheme="minorEastAsia" w:hAnsiTheme="minorHAnsi"/>
            <w:noProof/>
            <w:szCs w:val="22"/>
            <w:lang w:eastAsia="fr-FR"/>
          </w:rPr>
          <w:tab/>
        </w:r>
        <w:r w:rsidR="006136DA" w:rsidRPr="00651F94">
          <w:rPr>
            <w:rStyle w:val="Lienhypertexte"/>
            <w:noProof/>
          </w:rPr>
          <w:t>Modalités et critères d’attribution</w:t>
        </w:r>
        <w:r w:rsidR="006136DA">
          <w:rPr>
            <w:noProof/>
            <w:webHidden/>
          </w:rPr>
          <w:tab/>
        </w:r>
        <w:r w:rsidR="006136DA">
          <w:rPr>
            <w:noProof/>
            <w:webHidden/>
          </w:rPr>
          <w:fldChar w:fldCharType="begin"/>
        </w:r>
        <w:r w:rsidR="006136DA">
          <w:rPr>
            <w:noProof/>
            <w:webHidden/>
          </w:rPr>
          <w:instrText xml:space="preserve"> PAGEREF _Toc201851406 \h </w:instrText>
        </w:r>
        <w:r w:rsidR="006136DA">
          <w:rPr>
            <w:noProof/>
            <w:webHidden/>
          </w:rPr>
        </w:r>
        <w:r w:rsidR="006136DA">
          <w:rPr>
            <w:noProof/>
            <w:webHidden/>
          </w:rPr>
          <w:fldChar w:fldCharType="separate"/>
        </w:r>
        <w:r w:rsidR="006136DA">
          <w:rPr>
            <w:noProof/>
            <w:webHidden/>
          </w:rPr>
          <w:t>9</w:t>
        </w:r>
        <w:r w:rsidR="006136DA">
          <w:rPr>
            <w:noProof/>
            <w:webHidden/>
          </w:rPr>
          <w:fldChar w:fldCharType="end"/>
        </w:r>
      </w:hyperlink>
    </w:p>
    <w:p w14:paraId="4E20D2DA" w14:textId="38D1C5C3" w:rsidR="006136DA" w:rsidRDefault="0020731B">
      <w:pPr>
        <w:pStyle w:val="TM2"/>
        <w:tabs>
          <w:tab w:val="left" w:pos="1100"/>
          <w:tab w:val="right" w:leader="dot" w:pos="9062"/>
        </w:tabs>
        <w:rPr>
          <w:rFonts w:asciiTheme="minorHAnsi" w:eastAsiaTheme="minorEastAsia" w:hAnsiTheme="minorHAnsi"/>
          <w:noProof/>
          <w:szCs w:val="22"/>
          <w:lang w:eastAsia="fr-FR"/>
        </w:rPr>
      </w:pPr>
      <w:hyperlink w:anchor="_Toc201851407" w:history="1">
        <w:r w:rsidR="006136DA" w:rsidRPr="00651F94">
          <w:rPr>
            <w:rStyle w:val="Lienhypertexte"/>
            <w:b/>
            <w:noProof/>
          </w:rPr>
          <w:t>14.1.</w:t>
        </w:r>
        <w:r w:rsidR="006136DA">
          <w:rPr>
            <w:rFonts w:asciiTheme="minorHAnsi" w:eastAsiaTheme="minorEastAsia" w:hAnsiTheme="minorHAnsi"/>
            <w:noProof/>
            <w:szCs w:val="22"/>
            <w:lang w:eastAsia="fr-FR"/>
          </w:rPr>
          <w:tab/>
        </w:r>
        <w:r w:rsidR="006136DA" w:rsidRPr="00651F94">
          <w:rPr>
            <w:rStyle w:val="Lienhypertexte"/>
            <w:noProof/>
          </w:rPr>
          <w:t>Examen des candidatures</w:t>
        </w:r>
        <w:r w:rsidR="006136DA">
          <w:rPr>
            <w:noProof/>
            <w:webHidden/>
          </w:rPr>
          <w:tab/>
        </w:r>
        <w:r w:rsidR="006136DA">
          <w:rPr>
            <w:noProof/>
            <w:webHidden/>
          </w:rPr>
          <w:fldChar w:fldCharType="begin"/>
        </w:r>
        <w:r w:rsidR="006136DA">
          <w:rPr>
            <w:noProof/>
            <w:webHidden/>
          </w:rPr>
          <w:instrText xml:space="preserve"> PAGEREF _Toc201851407 \h </w:instrText>
        </w:r>
        <w:r w:rsidR="006136DA">
          <w:rPr>
            <w:noProof/>
            <w:webHidden/>
          </w:rPr>
        </w:r>
        <w:r w:rsidR="006136DA">
          <w:rPr>
            <w:noProof/>
            <w:webHidden/>
          </w:rPr>
          <w:fldChar w:fldCharType="separate"/>
        </w:r>
        <w:r w:rsidR="006136DA">
          <w:rPr>
            <w:noProof/>
            <w:webHidden/>
          </w:rPr>
          <w:t>9</w:t>
        </w:r>
        <w:r w:rsidR="006136DA">
          <w:rPr>
            <w:noProof/>
            <w:webHidden/>
          </w:rPr>
          <w:fldChar w:fldCharType="end"/>
        </w:r>
      </w:hyperlink>
    </w:p>
    <w:p w14:paraId="5C45DA92" w14:textId="6350622F" w:rsidR="006136DA" w:rsidRDefault="0020731B">
      <w:pPr>
        <w:pStyle w:val="TM2"/>
        <w:tabs>
          <w:tab w:val="left" w:pos="1100"/>
          <w:tab w:val="right" w:leader="dot" w:pos="9062"/>
        </w:tabs>
        <w:rPr>
          <w:rFonts w:asciiTheme="minorHAnsi" w:eastAsiaTheme="minorEastAsia" w:hAnsiTheme="minorHAnsi"/>
          <w:noProof/>
          <w:szCs w:val="22"/>
          <w:lang w:eastAsia="fr-FR"/>
        </w:rPr>
      </w:pPr>
      <w:hyperlink w:anchor="_Toc201851408" w:history="1">
        <w:r w:rsidR="006136DA" w:rsidRPr="00651F94">
          <w:rPr>
            <w:rStyle w:val="Lienhypertexte"/>
            <w:b/>
            <w:noProof/>
          </w:rPr>
          <w:t>14.2.</w:t>
        </w:r>
        <w:r w:rsidR="006136DA">
          <w:rPr>
            <w:rFonts w:asciiTheme="minorHAnsi" w:eastAsiaTheme="minorEastAsia" w:hAnsiTheme="minorHAnsi"/>
            <w:noProof/>
            <w:szCs w:val="22"/>
            <w:lang w:eastAsia="fr-FR"/>
          </w:rPr>
          <w:tab/>
        </w:r>
        <w:r w:rsidR="006136DA" w:rsidRPr="00651F94">
          <w:rPr>
            <w:rStyle w:val="Lienhypertexte"/>
            <w:noProof/>
          </w:rPr>
          <w:t>Examen et critères de sélection des offres</w:t>
        </w:r>
        <w:r w:rsidR="006136DA">
          <w:rPr>
            <w:noProof/>
            <w:webHidden/>
          </w:rPr>
          <w:tab/>
        </w:r>
        <w:r w:rsidR="006136DA">
          <w:rPr>
            <w:noProof/>
            <w:webHidden/>
          </w:rPr>
          <w:fldChar w:fldCharType="begin"/>
        </w:r>
        <w:r w:rsidR="006136DA">
          <w:rPr>
            <w:noProof/>
            <w:webHidden/>
          </w:rPr>
          <w:instrText xml:space="preserve"> PAGEREF _Toc201851408 \h </w:instrText>
        </w:r>
        <w:r w:rsidR="006136DA">
          <w:rPr>
            <w:noProof/>
            <w:webHidden/>
          </w:rPr>
        </w:r>
        <w:r w:rsidR="006136DA">
          <w:rPr>
            <w:noProof/>
            <w:webHidden/>
          </w:rPr>
          <w:fldChar w:fldCharType="separate"/>
        </w:r>
        <w:r w:rsidR="006136DA">
          <w:rPr>
            <w:noProof/>
            <w:webHidden/>
          </w:rPr>
          <w:t>9</w:t>
        </w:r>
        <w:r w:rsidR="006136DA">
          <w:rPr>
            <w:noProof/>
            <w:webHidden/>
          </w:rPr>
          <w:fldChar w:fldCharType="end"/>
        </w:r>
      </w:hyperlink>
    </w:p>
    <w:p w14:paraId="7EDF0A06" w14:textId="53449992" w:rsidR="006136DA" w:rsidRDefault="0020731B">
      <w:pPr>
        <w:pStyle w:val="TM1"/>
        <w:tabs>
          <w:tab w:val="left" w:pos="660"/>
          <w:tab w:val="right" w:leader="dot" w:pos="9062"/>
        </w:tabs>
        <w:rPr>
          <w:rFonts w:asciiTheme="minorHAnsi" w:eastAsiaTheme="minorEastAsia" w:hAnsiTheme="minorHAnsi"/>
          <w:noProof/>
          <w:szCs w:val="22"/>
          <w:lang w:eastAsia="fr-FR"/>
        </w:rPr>
      </w:pPr>
      <w:hyperlink w:anchor="_Toc201851409" w:history="1">
        <w:r w:rsidR="006136DA" w:rsidRPr="00651F94">
          <w:rPr>
            <w:rStyle w:val="Lienhypertexte"/>
            <w:b/>
            <w:noProof/>
          </w:rPr>
          <w:t>15.</w:t>
        </w:r>
        <w:r w:rsidR="006136DA">
          <w:rPr>
            <w:rFonts w:asciiTheme="minorHAnsi" w:eastAsiaTheme="minorEastAsia" w:hAnsiTheme="minorHAnsi"/>
            <w:noProof/>
            <w:szCs w:val="22"/>
            <w:lang w:eastAsia="fr-FR"/>
          </w:rPr>
          <w:tab/>
        </w:r>
        <w:r w:rsidR="006136DA" w:rsidRPr="00651F94">
          <w:rPr>
            <w:rStyle w:val="Lienhypertexte"/>
            <w:noProof/>
          </w:rPr>
          <w:t>Démonstration</w:t>
        </w:r>
        <w:r w:rsidR="006136DA">
          <w:rPr>
            <w:noProof/>
            <w:webHidden/>
          </w:rPr>
          <w:tab/>
        </w:r>
        <w:r w:rsidR="006136DA">
          <w:rPr>
            <w:noProof/>
            <w:webHidden/>
          </w:rPr>
          <w:fldChar w:fldCharType="begin"/>
        </w:r>
        <w:r w:rsidR="006136DA">
          <w:rPr>
            <w:noProof/>
            <w:webHidden/>
          </w:rPr>
          <w:instrText xml:space="preserve"> PAGEREF _Toc201851409 \h </w:instrText>
        </w:r>
        <w:r w:rsidR="006136DA">
          <w:rPr>
            <w:noProof/>
            <w:webHidden/>
          </w:rPr>
        </w:r>
        <w:r w:rsidR="006136DA">
          <w:rPr>
            <w:noProof/>
            <w:webHidden/>
          </w:rPr>
          <w:fldChar w:fldCharType="separate"/>
        </w:r>
        <w:r w:rsidR="006136DA">
          <w:rPr>
            <w:noProof/>
            <w:webHidden/>
          </w:rPr>
          <w:t>12</w:t>
        </w:r>
        <w:r w:rsidR="006136DA">
          <w:rPr>
            <w:noProof/>
            <w:webHidden/>
          </w:rPr>
          <w:fldChar w:fldCharType="end"/>
        </w:r>
      </w:hyperlink>
    </w:p>
    <w:p w14:paraId="4D90731A" w14:textId="4723B762" w:rsidR="006136DA" w:rsidRDefault="0020731B">
      <w:pPr>
        <w:pStyle w:val="TM1"/>
        <w:tabs>
          <w:tab w:val="left" w:pos="660"/>
          <w:tab w:val="right" w:leader="dot" w:pos="9062"/>
        </w:tabs>
        <w:rPr>
          <w:rFonts w:asciiTheme="minorHAnsi" w:eastAsiaTheme="minorEastAsia" w:hAnsiTheme="minorHAnsi"/>
          <w:noProof/>
          <w:szCs w:val="22"/>
          <w:lang w:eastAsia="fr-FR"/>
        </w:rPr>
      </w:pPr>
      <w:hyperlink w:anchor="_Toc201851410" w:history="1">
        <w:r w:rsidR="006136DA" w:rsidRPr="00651F94">
          <w:rPr>
            <w:rStyle w:val="Lienhypertexte"/>
            <w:b/>
            <w:noProof/>
          </w:rPr>
          <w:t>16.</w:t>
        </w:r>
        <w:r w:rsidR="006136DA">
          <w:rPr>
            <w:rFonts w:asciiTheme="minorHAnsi" w:eastAsiaTheme="minorEastAsia" w:hAnsiTheme="minorHAnsi"/>
            <w:noProof/>
            <w:szCs w:val="22"/>
            <w:lang w:eastAsia="fr-FR"/>
          </w:rPr>
          <w:tab/>
        </w:r>
        <w:r w:rsidR="006136DA" w:rsidRPr="00651F94">
          <w:rPr>
            <w:rStyle w:val="Lienhypertexte"/>
            <w:noProof/>
          </w:rPr>
          <w:t>Contenu des réponses</w:t>
        </w:r>
        <w:r w:rsidR="006136DA">
          <w:rPr>
            <w:noProof/>
            <w:webHidden/>
          </w:rPr>
          <w:tab/>
        </w:r>
        <w:r w:rsidR="006136DA">
          <w:rPr>
            <w:noProof/>
            <w:webHidden/>
          </w:rPr>
          <w:fldChar w:fldCharType="begin"/>
        </w:r>
        <w:r w:rsidR="006136DA">
          <w:rPr>
            <w:noProof/>
            <w:webHidden/>
          </w:rPr>
          <w:instrText xml:space="preserve"> PAGEREF _Toc201851410 \h </w:instrText>
        </w:r>
        <w:r w:rsidR="006136DA">
          <w:rPr>
            <w:noProof/>
            <w:webHidden/>
          </w:rPr>
        </w:r>
        <w:r w:rsidR="006136DA">
          <w:rPr>
            <w:noProof/>
            <w:webHidden/>
          </w:rPr>
          <w:fldChar w:fldCharType="separate"/>
        </w:r>
        <w:r w:rsidR="006136DA">
          <w:rPr>
            <w:noProof/>
            <w:webHidden/>
          </w:rPr>
          <w:t>12</w:t>
        </w:r>
        <w:r w:rsidR="006136DA">
          <w:rPr>
            <w:noProof/>
            <w:webHidden/>
          </w:rPr>
          <w:fldChar w:fldCharType="end"/>
        </w:r>
      </w:hyperlink>
    </w:p>
    <w:p w14:paraId="399C8E14" w14:textId="36F10579" w:rsidR="006136DA" w:rsidRDefault="0020731B">
      <w:pPr>
        <w:pStyle w:val="TM2"/>
        <w:tabs>
          <w:tab w:val="left" w:pos="1100"/>
          <w:tab w:val="right" w:leader="dot" w:pos="9062"/>
        </w:tabs>
        <w:rPr>
          <w:rFonts w:asciiTheme="minorHAnsi" w:eastAsiaTheme="minorEastAsia" w:hAnsiTheme="minorHAnsi"/>
          <w:noProof/>
          <w:szCs w:val="22"/>
          <w:lang w:eastAsia="fr-FR"/>
        </w:rPr>
      </w:pPr>
      <w:hyperlink w:anchor="_Toc201851411" w:history="1">
        <w:r w:rsidR="006136DA" w:rsidRPr="00651F94">
          <w:rPr>
            <w:rStyle w:val="Lienhypertexte"/>
            <w:b/>
            <w:noProof/>
          </w:rPr>
          <w:t>16.1.</w:t>
        </w:r>
        <w:r w:rsidR="006136DA">
          <w:rPr>
            <w:rFonts w:asciiTheme="minorHAnsi" w:eastAsiaTheme="minorEastAsia" w:hAnsiTheme="minorHAnsi"/>
            <w:noProof/>
            <w:szCs w:val="22"/>
            <w:lang w:eastAsia="fr-FR"/>
          </w:rPr>
          <w:tab/>
        </w:r>
        <w:r w:rsidR="006136DA" w:rsidRPr="00651F94">
          <w:rPr>
            <w:rStyle w:val="Lienhypertexte"/>
            <w:noProof/>
          </w:rPr>
          <w:t>Présentation de la candidature</w:t>
        </w:r>
        <w:r w:rsidR="006136DA">
          <w:rPr>
            <w:noProof/>
            <w:webHidden/>
          </w:rPr>
          <w:tab/>
        </w:r>
        <w:r w:rsidR="006136DA">
          <w:rPr>
            <w:noProof/>
            <w:webHidden/>
          </w:rPr>
          <w:fldChar w:fldCharType="begin"/>
        </w:r>
        <w:r w:rsidR="006136DA">
          <w:rPr>
            <w:noProof/>
            <w:webHidden/>
          </w:rPr>
          <w:instrText xml:space="preserve"> PAGEREF _Toc201851411 \h </w:instrText>
        </w:r>
        <w:r w:rsidR="006136DA">
          <w:rPr>
            <w:noProof/>
            <w:webHidden/>
          </w:rPr>
        </w:r>
        <w:r w:rsidR="006136DA">
          <w:rPr>
            <w:noProof/>
            <w:webHidden/>
          </w:rPr>
          <w:fldChar w:fldCharType="separate"/>
        </w:r>
        <w:r w:rsidR="006136DA">
          <w:rPr>
            <w:noProof/>
            <w:webHidden/>
          </w:rPr>
          <w:t>12</w:t>
        </w:r>
        <w:r w:rsidR="006136DA">
          <w:rPr>
            <w:noProof/>
            <w:webHidden/>
          </w:rPr>
          <w:fldChar w:fldCharType="end"/>
        </w:r>
      </w:hyperlink>
    </w:p>
    <w:p w14:paraId="460362BE" w14:textId="0C5FDACA" w:rsidR="006136DA" w:rsidRDefault="0020731B">
      <w:pPr>
        <w:pStyle w:val="TM2"/>
        <w:tabs>
          <w:tab w:val="left" w:pos="1100"/>
          <w:tab w:val="right" w:leader="dot" w:pos="9062"/>
        </w:tabs>
        <w:rPr>
          <w:rFonts w:asciiTheme="minorHAnsi" w:eastAsiaTheme="minorEastAsia" w:hAnsiTheme="minorHAnsi"/>
          <w:noProof/>
          <w:szCs w:val="22"/>
          <w:lang w:eastAsia="fr-FR"/>
        </w:rPr>
      </w:pPr>
      <w:hyperlink w:anchor="_Toc201851412" w:history="1">
        <w:r w:rsidR="006136DA" w:rsidRPr="00651F94">
          <w:rPr>
            <w:rStyle w:val="Lienhypertexte"/>
            <w:b/>
            <w:noProof/>
          </w:rPr>
          <w:t>16.2.</w:t>
        </w:r>
        <w:r w:rsidR="006136DA">
          <w:rPr>
            <w:rFonts w:asciiTheme="minorHAnsi" w:eastAsiaTheme="minorEastAsia" w:hAnsiTheme="minorHAnsi"/>
            <w:noProof/>
            <w:szCs w:val="22"/>
            <w:lang w:eastAsia="fr-FR"/>
          </w:rPr>
          <w:tab/>
        </w:r>
        <w:r w:rsidR="006136DA" w:rsidRPr="00651F94">
          <w:rPr>
            <w:rStyle w:val="Lienhypertexte"/>
            <w:noProof/>
          </w:rPr>
          <w:t>Informations demandées permettant l’évaluation des capacités financières, techniques et professionnelles des candidats</w:t>
        </w:r>
        <w:r w:rsidR="006136DA">
          <w:rPr>
            <w:noProof/>
            <w:webHidden/>
          </w:rPr>
          <w:tab/>
        </w:r>
        <w:r w:rsidR="006136DA">
          <w:rPr>
            <w:noProof/>
            <w:webHidden/>
          </w:rPr>
          <w:fldChar w:fldCharType="begin"/>
        </w:r>
        <w:r w:rsidR="006136DA">
          <w:rPr>
            <w:noProof/>
            <w:webHidden/>
          </w:rPr>
          <w:instrText xml:space="preserve"> PAGEREF _Toc201851412 \h </w:instrText>
        </w:r>
        <w:r w:rsidR="006136DA">
          <w:rPr>
            <w:noProof/>
            <w:webHidden/>
          </w:rPr>
        </w:r>
        <w:r w:rsidR="006136DA">
          <w:rPr>
            <w:noProof/>
            <w:webHidden/>
          </w:rPr>
          <w:fldChar w:fldCharType="separate"/>
        </w:r>
        <w:r w:rsidR="006136DA">
          <w:rPr>
            <w:noProof/>
            <w:webHidden/>
          </w:rPr>
          <w:t>13</w:t>
        </w:r>
        <w:r w:rsidR="006136DA">
          <w:rPr>
            <w:noProof/>
            <w:webHidden/>
          </w:rPr>
          <w:fldChar w:fldCharType="end"/>
        </w:r>
      </w:hyperlink>
    </w:p>
    <w:p w14:paraId="0AEFE5D3" w14:textId="38747433" w:rsidR="006136DA" w:rsidRDefault="0020731B">
      <w:pPr>
        <w:pStyle w:val="TM3"/>
        <w:tabs>
          <w:tab w:val="left" w:pos="1320"/>
          <w:tab w:val="right" w:leader="dot" w:pos="9062"/>
        </w:tabs>
        <w:rPr>
          <w:rFonts w:asciiTheme="minorHAnsi" w:eastAsiaTheme="minorEastAsia" w:hAnsiTheme="minorHAnsi"/>
          <w:noProof/>
          <w:szCs w:val="22"/>
          <w:lang w:eastAsia="fr-FR"/>
        </w:rPr>
      </w:pPr>
      <w:hyperlink w:anchor="_Toc201851413" w:history="1">
        <w:r w:rsidR="006136DA" w:rsidRPr="00651F94">
          <w:rPr>
            <w:rStyle w:val="Lienhypertexte"/>
            <w:b/>
            <w:noProof/>
          </w:rPr>
          <w:t>16.2.1.</w:t>
        </w:r>
        <w:r w:rsidR="006136DA">
          <w:rPr>
            <w:rFonts w:asciiTheme="minorHAnsi" w:eastAsiaTheme="minorEastAsia" w:hAnsiTheme="minorHAnsi"/>
            <w:noProof/>
            <w:szCs w:val="22"/>
            <w:lang w:eastAsia="fr-FR"/>
          </w:rPr>
          <w:tab/>
        </w:r>
        <w:r w:rsidR="006136DA" w:rsidRPr="00651F94">
          <w:rPr>
            <w:rStyle w:val="Lienhypertexte"/>
            <w:noProof/>
          </w:rPr>
          <w:t>Capacités financières du candidat</w:t>
        </w:r>
        <w:r w:rsidR="006136DA">
          <w:rPr>
            <w:noProof/>
            <w:webHidden/>
          </w:rPr>
          <w:tab/>
        </w:r>
        <w:r w:rsidR="006136DA">
          <w:rPr>
            <w:noProof/>
            <w:webHidden/>
          </w:rPr>
          <w:fldChar w:fldCharType="begin"/>
        </w:r>
        <w:r w:rsidR="006136DA">
          <w:rPr>
            <w:noProof/>
            <w:webHidden/>
          </w:rPr>
          <w:instrText xml:space="preserve"> PAGEREF _Toc201851413 \h </w:instrText>
        </w:r>
        <w:r w:rsidR="006136DA">
          <w:rPr>
            <w:noProof/>
            <w:webHidden/>
          </w:rPr>
        </w:r>
        <w:r w:rsidR="006136DA">
          <w:rPr>
            <w:noProof/>
            <w:webHidden/>
          </w:rPr>
          <w:fldChar w:fldCharType="separate"/>
        </w:r>
        <w:r w:rsidR="006136DA">
          <w:rPr>
            <w:noProof/>
            <w:webHidden/>
          </w:rPr>
          <w:t>13</w:t>
        </w:r>
        <w:r w:rsidR="006136DA">
          <w:rPr>
            <w:noProof/>
            <w:webHidden/>
          </w:rPr>
          <w:fldChar w:fldCharType="end"/>
        </w:r>
      </w:hyperlink>
    </w:p>
    <w:p w14:paraId="3050781D" w14:textId="2DF0B7EA" w:rsidR="006136DA" w:rsidRDefault="0020731B">
      <w:pPr>
        <w:pStyle w:val="TM3"/>
        <w:tabs>
          <w:tab w:val="left" w:pos="1320"/>
          <w:tab w:val="right" w:leader="dot" w:pos="9062"/>
        </w:tabs>
        <w:rPr>
          <w:rFonts w:asciiTheme="minorHAnsi" w:eastAsiaTheme="minorEastAsia" w:hAnsiTheme="minorHAnsi"/>
          <w:noProof/>
          <w:szCs w:val="22"/>
          <w:lang w:eastAsia="fr-FR"/>
        </w:rPr>
      </w:pPr>
      <w:hyperlink w:anchor="_Toc201851414" w:history="1">
        <w:r w:rsidR="006136DA" w:rsidRPr="00651F94">
          <w:rPr>
            <w:rStyle w:val="Lienhypertexte"/>
            <w:b/>
            <w:noProof/>
          </w:rPr>
          <w:t>16.2.2.</w:t>
        </w:r>
        <w:r w:rsidR="006136DA">
          <w:rPr>
            <w:rFonts w:asciiTheme="minorHAnsi" w:eastAsiaTheme="minorEastAsia" w:hAnsiTheme="minorHAnsi"/>
            <w:noProof/>
            <w:szCs w:val="22"/>
            <w:lang w:eastAsia="fr-FR"/>
          </w:rPr>
          <w:tab/>
        </w:r>
        <w:r w:rsidR="006136DA" w:rsidRPr="00651F94">
          <w:rPr>
            <w:rStyle w:val="Lienhypertexte"/>
            <w:noProof/>
          </w:rPr>
          <w:t>Capacités professionnelles et techniques du candidat</w:t>
        </w:r>
        <w:r w:rsidR="006136DA">
          <w:rPr>
            <w:noProof/>
            <w:webHidden/>
          </w:rPr>
          <w:tab/>
        </w:r>
        <w:r w:rsidR="006136DA">
          <w:rPr>
            <w:noProof/>
            <w:webHidden/>
          </w:rPr>
          <w:fldChar w:fldCharType="begin"/>
        </w:r>
        <w:r w:rsidR="006136DA">
          <w:rPr>
            <w:noProof/>
            <w:webHidden/>
          </w:rPr>
          <w:instrText xml:space="preserve"> PAGEREF _Toc201851414 \h </w:instrText>
        </w:r>
        <w:r w:rsidR="006136DA">
          <w:rPr>
            <w:noProof/>
            <w:webHidden/>
          </w:rPr>
        </w:r>
        <w:r w:rsidR="006136DA">
          <w:rPr>
            <w:noProof/>
            <w:webHidden/>
          </w:rPr>
          <w:fldChar w:fldCharType="separate"/>
        </w:r>
        <w:r w:rsidR="006136DA">
          <w:rPr>
            <w:noProof/>
            <w:webHidden/>
          </w:rPr>
          <w:t>13</w:t>
        </w:r>
        <w:r w:rsidR="006136DA">
          <w:rPr>
            <w:noProof/>
            <w:webHidden/>
          </w:rPr>
          <w:fldChar w:fldCharType="end"/>
        </w:r>
      </w:hyperlink>
    </w:p>
    <w:p w14:paraId="1A1CCDAC" w14:textId="1A1FB66A" w:rsidR="006136DA" w:rsidRDefault="0020731B">
      <w:pPr>
        <w:pStyle w:val="TM2"/>
        <w:tabs>
          <w:tab w:val="left" w:pos="1100"/>
          <w:tab w:val="right" w:leader="dot" w:pos="9062"/>
        </w:tabs>
        <w:rPr>
          <w:rFonts w:asciiTheme="minorHAnsi" w:eastAsiaTheme="minorEastAsia" w:hAnsiTheme="minorHAnsi"/>
          <w:noProof/>
          <w:szCs w:val="22"/>
          <w:lang w:eastAsia="fr-FR"/>
        </w:rPr>
      </w:pPr>
      <w:hyperlink w:anchor="_Toc201851415" w:history="1">
        <w:r w:rsidR="006136DA" w:rsidRPr="00651F94">
          <w:rPr>
            <w:rStyle w:val="Lienhypertexte"/>
            <w:b/>
            <w:noProof/>
          </w:rPr>
          <w:t>16.3.</w:t>
        </w:r>
        <w:r w:rsidR="006136DA">
          <w:rPr>
            <w:rFonts w:asciiTheme="minorHAnsi" w:eastAsiaTheme="minorEastAsia" w:hAnsiTheme="minorHAnsi"/>
            <w:noProof/>
            <w:szCs w:val="22"/>
            <w:lang w:eastAsia="fr-FR"/>
          </w:rPr>
          <w:tab/>
        </w:r>
        <w:r w:rsidR="006136DA" w:rsidRPr="00651F94">
          <w:rPr>
            <w:rStyle w:val="Lienhypertexte"/>
            <w:noProof/>
          </w:rPr>
          <w:t>Pièces à produire dans le cadre de l’offre</w:t>
        </w:r>
        <w:r w:rsidR="006136DA">
          <w:rPr>
            <w:noProof/>
            <w:webHidden/>
          </w:rPr>
          <w:tab/>
        </w:r>
        <w:r w:rsidR="006136DA">
          <w:rPr>
            <w:noProof/>
            <w:webHidden/>
          </w:rPr>
          <w:fldChar w:fldCharType="begin"/>
        </w:r>
        <w:r w:rsidR="006136DA">
          <w:rPr>
            <w:noProof/>
            <w:webHidden/>
          </w:rPr>
          <w:instrText xml:space="preserve"> PAGEREF _Toc201851415 \h </w:instrText>
        </w:r>
        <w:r w:rsidR="006136DA">
          <w:rPr>
            <w:noProof/>
            <w:webHidden/>
          </w:rPr>
        </w:r>
        <w:r w:rsidR="006136DA">
          <w:rPr>
            <w:noProof/>
            <w:webHidden/>
          </w:rPr>
          <w:fldChar w:fldCharType="separate"/>
        </w:r>
        <w:r w:rsidR="006136DA">
          <w:rPr>
            <w:noProof/>
            <w:webHidden/>
          </w:rPr>
          <w:t>14</w:t>
        </w:r>
        <w:r w:rsidR="006136DA">
          <w:rPr>
            <w:noProof/>
            <w:webHidden/>
          </w:rPr>
          <w:fldChar w:fldCharType="end"/>
        </w:r>
      </w:hyperlink>
    </w:p>
    <w:p w14:paraId="5E0B10DB" w14:textId="79DC8306" w:rsidR="006136DA" w:rsidRDefault="0020731B">
      <w:pPr>
        <w:pStyle w:val="TM1"/>
        <w:tabs>
          <w:tab w:val="left" w:pos="660"/>
          <w:tab w:val="right" w:leader="dot" w:pos="9062"/>
        </w:tabs>
        <w:rPr>
          <w:rFonts w:asciiTheme="minorHAnsi" w:eastAsiaTheme="minorEastAsia" w:hAnsiTheme="minorHAnsi"/>
          <w:noProof/>
          <w:szCs w:val="22"/>
          <w:lang w:eastAsia="fr-FR"/>
        </w:rPr>
      </w:pPr>
      <w:hyperlink w:anchor="_Toc201851416" w:history="1">
        <w:r w:rsidR="006136DA" w:rsidRPr="00651F94">
          <w:rPr>
            <w:rStyle w:val="Lienhypertexte"/>
            <w:b/>
            <w:noProof/>
          </w:rPr>
          <w:t>17.</w:t>
        </w:r>
        <w:r w:rsidR="006136DA">
          <w:rPr>
            <w:rFonts w:asciiTheme="minorHAnsi" w:eastAsiaTheme="minorEastAsia" w:hAnsiTheme="minorHAnsi"/>
            <w:noProof/>
            <w:szCs w:val="22"/>
            <w:lang w:eastAsia="fr-FR"/>
          </w:rPr>
          <w:tab/>
        </w:r>
        <w:r w:rsidR="006136DA" w:rsidRPr="00651F94">
          <w:rPr>
            <w:rStyle w:val="Lienhypertexte"/>
            <w:noProof/>
          </w:rPr>
          <w:t>Modalités de transmissions des réponses</w:t>
        </w:r>
        <w:r w:rsidR="006136DA">
          <w:rPr>
            <w:noProof/>
            <w:webHidden/>
          </w:rPr>
          <w:tab/>
        </w:r>
        <w:r w:rsidR="006136DA">
          <w:rPr>
            <w:noProof/>
            <w:webHidden/>
          </w:rPr>
          <w:fldChar w:fldCharType="begin"/>
        </w:r>
        <w:r w:rsidR="006136DA">
          <w:rPr>
            <w:noProof/>
            <w:webHidden/>
          </w:rPr>
          <w:instrText xml:space="preserve"> PAGEREF _Toc201851416 \h </w:instrText>
        </w:r>
        <w:r w:rsidR="006136DA">
          <w:rPr>
            <w:noProof/>
            <w:webHidden/>
          </w:rPr>
        </w:r>
        <w:r w:rsidR="006136DA">
          <w:rPr>
            <w:noProof/>
            <w:webHidden/>
          </w:rPr>
          <w:fldChar w:fldCharType="separate"/>
        </w:r>
        <w:r w:rsidR="006136DA">
          <w:rPr>
            <w:noProof/>
            <w:webHidden/>
          </w:rPr>
          <w:t>14</w:t>
        </w:r>
        <w:r w:rsidR="006136DA">
          <w:rPr>
            <w:noProof/>
            <w:webHidden/>
          </w:rPr>
          <w:fldChar w:fldCharType="end"/>
        </w:r>
      </w:hyperlink>
    </w:p>
    <w:p w14:paraId="69928570" w14:textId="740B9B15" w:rsidR="006136DA" w:rsidRDefault="0020731B">
      <w:pPr>
        <w:pStyle w:val="TM2"/>
        <w:tabs>
          <w:tab w:val="left" w:pos="1100"/>
          <w:tab w:val="right" w:leader="dot" w:pos="9062"/>
        </w:tabs>
        <w:rPr>
          <w:rFonts w:asciiTheme="minorHAnsi" w:eastAsiaTheme="minorEastAsia" w:hAnsiTheme="minorHAnsi"/>
          <w:noProof/>
          <w:szCs w:val="22"/>
          <w:lang w:eastAsia="fr-FR"/>
        </w:rPr>
      </w:pPr>
      <w:hyperlink w:anchor="_Toc201851417" w:history="1">
        <w:r w:rsidR="006136DA" w:rsidRPr="00651F94">
          <w:rPr>
            <w:rStyle w:val="Lienhypertexte"/>
            <w:b/>
            <w:noProof/>
          </w:rPr>
          <w:t>17.1.</w:t>
        </w:r>
        <w:r w:rsidR="006136DA">
          <w:rPr>
            <w:rFonts w:asciiTheme="minorHAnsi" w:eastAsiaTheme="minorEastAsia" w:hAnsiTheme="minorHAnsi"/>
            <w:noProof/>
            <w:szCs w:val="22"/>
            <w:lang w:eastAsia="fr-FR"/>
          </w:rPr>
          <w:tab/>
        </w:r>
        <w:r w:rsidR="006136DA" w:rsidRPr="00651F94">
          <w:rPr>
            <w:rStyle w:val="Lienhypertexte"/>
            <w:noProof/>
          </w:rPr>
          <w:t>Remise dématérialisée</w:t>
        </w:r>
        <w:r w:rsidR="006136DA">
          <w:rPr>
            <w:noProof/>
            <w:webHidden/>
          </w:rPr>
          <w:tab/>
        </w:r>
        <w:r w:rsidR="006136DA">
          <w:rPr>
            <w:noProof/>
            <w:webHidden/>
          </w:rPr>
          <w:fldChar w:fldCharType="begin"/>
        </w:r>
        <w:r w:rsidR="006136DA">
          <w:rPr>
            <w:noProof/>
            <w:webHidden/>
          </w:rPr>
          <w:instrText xml:space="preserve"> PAGEREF _Toc201851417 \h </w:instrText>
        </w:r>
        <w:r w:rsidR="006136DA">
          <w:rPr>
            <w:noProof/>
            <w:webHidden/>
          </w:rPr>
        </w:r>
        <w:r w:rsidR="006136DA">
          <w:rPr>
            <w:noProof/>
            <w:webHidden/>
          </w:rPr>
          <w:fldChar w:fldCharType="separate"/>
        </w:r>
        <w:r w:rsidR="006136DA">
          <w:rPr>
            <w:noProof/>
            <w:webHidden/>
          </w:rPr>
          <w:t>14</w:t>
        </w:r>
        <w:r w:rsidR="006136DA">
          <w:rPr>
            <w:noProof/>
            <w:webHidden/>
          </w:rPr>
          <w:fldChar w:fldCharType="end"/>
        </w:r>
      </w:hyperlink>
    </w:p>
    <w:p w14:paraId="3515F866" w14:textId="4763143A" w:rsidR="006136DA" w:rsidRDefault="0020731B">
      <w:pPr>
        <w:pStyle w:val="TM2"/>
        <w:tabs>
          <w:tab w:val="left" w:pos="1100"/>
          <w:tab w:val="right" w:leader="dot" w:pos="9062"/>
        </w:tabs>
        <w:rPr>
          <w:rFonts w:asciiTheme="minorHAnsi" w:eastAsiaTheme="minorEastAsia" w:hAnsiTheme="minorHAnsi"/>
          <w:noProof/>
          <w:szCs w:val="22"/>
          <w:lang w:eastAsia="fr-FR"/>
        </w:rPr>
      </w:pPr>
      <w:hyperlink w:anchor="_Toc201851418" w:history="1">
        <w:r w:rsidR="006136DA" w:rsidRPr="00651F94">
          <w:rPr>
            <w:rStyle w:val="Lienhypertexte"/>
            <w:b/>
            <w:noProof/>
          </w:rPr>
          <w:t>17.2.</w:t>
        </w:r>
        <w:r w:rsidR="006136DA">
          <w:rPr>
            <w:rFonts w:asciiTheme="minorHAnsi" w:eastAsiaTheme="minorEastAsia" w:hAnsiTheme="minorHAnsi"/>
            <w:noProof/>
            <w:szCs w:val="22"/>
            <w:lang w:eastAsia="fr-FR"/>
          </w:rPr>
          <w:tab/>
        </w:r>
        <w:r w:rsidR="006136DA" w:rsidRPr="00651F94">
          <w:rPr>
            <w:rStyle w:val="Lienhypertexte"/>
            <w:noProof/>
          </w:rPr>
          <w:t>Copie de sauvegarde</w:t>
        </w:r>
        <w:r w:rsidR="006136DA">
          <w:rPr>
            <w:noProof/>
            <w:webHidden/>
          </w:rPr>
          <w:tab/>
        </w:r>
        <w:r w:rsidR="006136DA">
          <w:rPr>
            <w:noProof/>
            <w:webHidden/>
          </w:rPr>
          <w:fldChar w:fldCharType="begin"/>
        </w:r>
        <w:r w:rsidR="006136DA">
          <w:rPr>
            <w:noProof/>
            <w:webHidden/>
          </w:rPr>
          <w:instrText xml:space="preserve"> PAGEREF _Toc201851418 \h </w:instrText>
        </w:r>
        <w:r w:rsidR="006136DA">
          <w:rPr>
            <w:noProof/>
            <w:webHidden/>
          </w:rPr>
        </w:r>
        <w:r w:rsidR="006136DA">
          <w:rPr>
            <w:noProof/>
            <w:webHidden/>
          </w:rPr>
          <w:fldChar w:fldCharType="separate"/>
        </w:r>
        <w:r w:rsidR="006136DA">
          <w:rPr>
            <w:noProof/>
            <w:webHidden/>
          </w:rPr>
          <w:t>15</w:t>
        </w:r>
        <w:r w:rsidR="006136DA">
          <w:rPr>
            <w:noProof/>
            <w:webHidden/>
          </w:rPr>
          <w:fldChar w:fldCharType="end"/>
        </w:r>
      </w:hyperlink>
    </w:p>
    <w:p w14:paraId="26E72B4F" w14:textId="5763B121" w:rsidR="006136DA" w:rsidRDefault="0020731B">
      <w:pPr>
        <w:pStyle w:val="TM2"/>
        <w:tabs>
          <w:tab w:val="left" w:pos="1100"/>
          <w:tab w:val="right" w:leader="dot" w:pos="9062"/>
        </w:tabs>
        <w:rPr>
          <w:rFonts w:asciiTheme="minorHAnsi" w:eastAsiaTheme="minorEastAsia" w:hAnsiTheme="minorHAnsi"/>
          <w:noProof/>
          <w:szCs w:val="22"/>
          <w:lang w:eastAsia="fr-FR"/>
        </w:rPr>
      </w:pPr>
      <w:hyperlink w:anchor="_Toc201851419" w:history="1">
        <w:r w:rsidR="006136DA" w:rsidRPr="00651F94">
          <w:rPr>
            <w:rStyle w:val="Lienhypertexte"/>
            <w:b/>
            <w:noProof/>
          </w:rPr>
          <w:t>17.3.</w:t>
        </w:r>
        <w:r w:rsidR="006136DA">
          <w:rPr>
            <w:rFonts w:asciiTheme="minorHAnsi" w:eastAsiaTheme="minorEastAsia" w:hAnsiTheme="minorHAnsi"/>
            <w:noProof/>
            <w:szCs w:val="22"/>
            <w:lang w:eastAsia="fr-FR"/>
          </w:rPr>
          <w:tab/>
        </w:r>
        <w:r w:rsidR="006136DA" w:rsidRPr="00651F94">
          <w:rPr>
            <w:rStyle w:val="Lienhypertexte"/>
            <w:noProof/>
          </w:rPr>
          <w:t>Délai de validité des offres</w:t>
        </w:r>
        <w:r w:rsidR="006136DA">
          <w:rPr>
            <w:noProof/>
            <w:webHidden/>
          </w:rPr>
          <w:tab/>
        </w:r>
        <w:r w:rsidR="006136DA">
          <w:rPr>
            <w:noProof/>
            <w:webHidden/>
          </w:rPr>
          <w:fldChar w:fldCharType="begin"/>
        </w:r>
        <w:r w:rsidR="006136DA">
          <w:rPr>
            <w:noProof/>
            <w:webHidden/>
          </w:rPr>
          <w:instrText xml:space="preserve"> PAGEREF _Toc201851419 \h </w:instrText>
        </w:r>
        <w:r w:rsidR="006136DA">
          <w:rPr>
            <w:noProof/>
            <w:webHidden/>
          </w:rPr>
        </w:r>
        <w:r w:rsidR="006136DA">
          <w:rPr>
            <w:noProof/>
            <w:webHidden/>
          </w:rPr>
          <w:fldChar w:fldCharType="separate"/>
        </w:r>
        <w:r w:rsidR="006136DA">
          <w:rPr>
            <w:noProof/>
            <w:webHidden/>
          </w:rPr>
          <w:t>16</w:t>
        </w:r>
        <w:r w:rsidR="006136DA">
          <w:rPr>
            <w:noProof/>
            <w:webHidden/>
          </w:rPr>
          <w:fldChar w:fldCharType="end"/>
        </w:r>
      </w:hyperlink>
    </w:p>
    <w:p w14:paraId="0D754FC4" w14:textId="08C5973C" w:rsidR="006136DA" w:rsidRDefault="0020731B">
      <w:pPr>
        <w:pStyle w:val="TM1"/>
        <w:tabs>
          <w:tab w:val="left" w:pos="660"/>
          <w:tab w:val="right" w:leader="dot" w:pos="9062"/>
        </w:tabs>
        <w:rPr>
          <w:rFonts w:asciiTheme="minorHAnsi" w:eastAsiaTheme="minorEastAsia" w:hAnsiTheme="minorHAnsi"/>
          <w:noProof/>
          <w:szCs w:val="22"/>
          <w:lang w:eastAsia="fr-FR"/>
        </w:rPr>
      </w:pPr>
      <w:hyperlink w:anchor="_Toc201851420" w:history="1">
        <w:r w:rsidR="006136DA" w:rsidRPr="00651F94">
          <w:rPr>
            <w:rStyle w:val="Lienhypertexte"/>
            <w:b/>
            <w:noProof/>
          </w:rPr>
          <w:t>18.</w:t>
        </w:r>
        <w:r w:rsidR="006136DA">
          <w:rPr>
            <w:rFonts w:asciiTheme="minorHAnsi" w:eastAsiaTheme="minorEastAsia" w:hAnsiTheme="minorHAnsi"/>
            <w:noProof/>
            <w:szCs w:val="22"/>
            <w:lang w:eastAsia="fr-FR"/>
          </w:rPr>
          <w:tab/>
        </w:r>
        <w:r w:rsidR="006136DA" w:rsidRPr="00651F94">
          <w:rPr>
            <w:rStyle w:val="Lienhypertexte"/>
            <w:noProof/>
          </w:rPr>
          <w:t>Pièces à produire par le titulaire pressenti</w:t>
        </w:r>
        <w:r w:rsidR="006136DA">
          <w:rPr>
            <w:noProof/>
            <w:webHidden/>
          </w:rPr>
          <w:tab/>
        </w:r>
        <w:r w:rsidR="006136DA">
          <w:rPr>
            <w:noProof/>
            <w:webHidden/>
          </w:rPr>
          <w:fldChar w:fldCharType="begin"/>
        </w:r>
        <w:r w:rsidR="006136DA">
          <w:rPr>
            <w:noProof/>
            <w:webHidden/>
          </w:rPr>
          <w:instrText xml:space="preserve"> PAGEREF _Toc201851420 \h </w:instrText>
        </w:r>
        <w:r w:rsidR="006136DA">
          <w:rPr>
            <w:noProof/>
            <w:webHidden/>
          </w:rPr>
        </w:r>
        <w:r w:rsidR="006136DA">
          <w:rPr>
            <w:noProof/>
            <w:webHidden/>
          </w:rPr>
          <w:fldChar w:fldCharType="separate"/>
        </w:r>
        <w:r w:rsidR="006136DA">
          <w:rPr>
            <w:noProof/>
            <w:webHidden/>
          </w:rPr>
          <w:t>17</w:t>
        </w:r>
        <w:r w:rsidR="006136DA">
          <w:rPr>
            <w:noProof/>
            <w:webHidden/>
          </w:rPr>
          <w:fldChar w:fldCharType="end"/>
        </w:r>
      </w:hyperlink>
    </w:p>
    <w:p w14:paraId="6881D26A" w14:textId="4B3488EE" w:rsidR="006136DA" w:rsidRDefault="0020731B">
      <w:pPr>
        <w:pStyle w:val="TM1"/>
        <w:tabs>
          <w:tab w:val="left" w:pos="660"/>
          <w:tab w:val="right" w:leader="dot" w:pos="9062"/>
        </w:tabs>
        <w:rPr>
          <w:rFonts w:asciiTheme="minorHAnsi" w:eastAsiaTheme="minorEastAsia" w:hAnsiTheme="minorHAnsi"/>
          <w:noProof/>
          <w:szCs w:val="22"/>
          <w:lang w:eastAsia="fr-FR"/>
        </w:rPr>
      </w:pPr>
      <w:hyperlink w:anchor="_Toc201851421" w:history="1">
        <w:r w:rsidR="006136DA" w:rsidRPr="00651F94">
          <w:rPr>
            <w:rStyle w:val="Lienhypertexte"/>
            <w:b/>
            <w:noProof/>
          </w:rPr>
          <w:t>19.</w:t>
        </w:r>
        <w:r w:rsidR="006136DA">
          <w:rPr>
            <w:rFonts w:asciiTheme="minorHAnsi" w:eastAsiaTheme="minorEastAsia" w:hAnsiTheme="minorHAnsi"/>
            <w:noProof/>
            <w:szCs w:val="22"/>
            <w:lang w:eastAsia="fr-FR"/>
          </w:rPr>
          <w:tab/>
        </w:r>
        <w:r w:rsidR="006136DA" w:rsidRPr="00651F94">
          <w:rPr>
            <w:rStyle w:val="Lienhypertexte"/>
            <w:noProof/>
          </w:rPr>
          <w:t>Signature et notification de l’accord-cadre</w:t>
        </w:r>
        <w:r w:rsidR="006136DA">
          <w:rPr>
            <w:noProof/>
            <w:webHidden/>
          </w:rPr>
          <w:tab/>
        </w:r>
        <w:r w:rsidR="006136DA">
          <w:rPr>
            <w:noProof/>
            <w:webHidden/>
          </w:rPr>
          <w:fldChar w:fldCharType="begin"/>
        </w:r>
        <w:r w:rsidR="006136DA">
          <w:rPr>
            <w:noProof/>
            <w:webHidden/>
          </w:rPr>
          <w:instrText xml:space="preserve"> PAGEREF _Toc201851421 \h </w:instrText>
        </w:r>
        <w:r w:rsidR="006136DA">
          <w:rPr>
            <w:noProof/>
            <w:webHidden/>
          </w:rPr>
        </w:r>
        <w:r w:rsidR="006136DA">
          <w:rPr>
            <w:noProof/>
            <w:webHidden/>
          </w:rPr>
          <w:fldChar w:fldCharType="separate"/>
        </w:r>
        <w:r w:rsidR="006136DA">
          <w:rPr>
            <w:noProof/>
            <w:webHidden/>
          </w:rPr>
          <w:t>18</w:t>
        </w:r>
        <w:r w:rsidR="006136DA">
          <w:rPr>
            <w:noProof/>
            <w:webHidden/>
          </w:rPr>
          <w:fldChar w:fldCharType="end"/>
        </w:r>
      </w:hyperlink>
    </w:p>
    <w:p w14:paraId="2D2B1613" w14:textId="57721FE5" w:rsidR="00EB0916" w:rsidRDefault="00EB0916">
      <w:r>
        <w:rPr>
          <w:b/>
          <w:bCs/>
        </w:rPr>
        <w:fldChar w:fldCharType="end"/>
      </w:r>
    </w:p>
    <w:p w14:paraId="68FA9A43" w14:textId="77777777" w:rsidR="009B1727" w:rsidRDefault="009B1727"/>
    <w:p w14:paraId="21D9C2E5" w14:textId="57B120C4" w:rsidR="00BB0B37" w:rsidRDefault="00BB0B37">
      <w:pPr>
        <w:spacing w:before="0" w:after="0"/>
        <w:jc w:val="left"/>
        <w:rPr>
          <w:rFonts w:ascii="Arial" w:hAnsi="Arial" w:cs="Arial"/>
        </w:rPr>
      </w:pPr>
      <w:bookmarkStart w:id="1" w:name="_Toc384796591"/>
      <w:r>
        <w:rPr>
          <w:rFonts w:ascii="Arial" w:hAnsi="Arial" w:cs="Arial"/>
        </w:rPr>
        <w:br w:type="page"/>
      </w:r>
    </w:p>
    <w:p w14:paraId="67365AEA" w14:textId="08294BCA" w:rsidR="00BC7C3A" w:rsidRPr="00BC7C3A" w:rsidRDefault="00BC7C3A" w:rsidP="00BC7C3A">
      <w:pPr>
        <w:pStyle w:val="Titre1"/>
      </w:pPr>
      <w:bookmarkStart w:id="2" w:name="_Toc176350041"/>
      <w:bookmarkStart w:id="3" w:name="_Toc201851382"/>
      <w:r>
        <w:lastRenderedPageBreak/>
        <w:t>Acheteur</w:t>
      </w:r>
      <w:bookmarkEnd w:id="2"/>
      <w:bookmarkEnd w:id="3"/>
      <w:r>
        <w:tab/>
      </w:r>
    </w:p>
    <w:p w14:paraId="077062B3" w14:textId="77777777" w:rsidR="00BC7C3A" w:rsidRDefault="00BC7C3A" w:rsidP="00BC7C3A">
      <w:r>
        <w:t xml:space="preserve">Institut national de recherche pour l'agriculture, l'alimentation et l'environnement (INRAE) </w:t>
      </w:r>
    </w:p>
    <w:p w14:paraId="7D872705" w14:textId="77777777" w:rsidR="00BC7C3A" w:rsidRPr="00986B15" w:rsidRDefault="00BC7C3A" w:rsidP="00BC7C3A">
      <w:pPr>
        <w:jc w:val="left"/>
      </w:pPr>
      <w:r>
        <w:t>147 rue de l’Université</w:t>
      </w:r>
    </w:p>
    <w:p w14:paraId="44F0DB49" w14:textId="77777777" w:rsidR="00BC7C3A" w:rsidRPr="00A037C5" w:rsidRDefault="00BC7C3A" w:rsidP="00BC7C3A">
      <w:pPr>
        <w:jc w:val="left"/>
        <w:rPr>
          <w:szCs w:val="24"/>
        </w:rPr>
      </w:pPr>
      <w:r>
        <w:t>75338 PARIS CEDEX 07</w:t>
      </w:r>
    </w:p>
    <w:p w14:paraId="67194BB8" w14:textId="77777777" w:rsidR="00BC7C3A" w:rsidRDefault="00BC7C3A" w:rsidP="00BC7C3A">
      <w:r>
        <w:t>Représenté par Monsieur Philippe MAUGUIN, Président Directeur Général de INRAE.</w:t>
      </w:r>
    </w:p>
    <w:p w14:paraId="507AC7A1" w14:textId="77777777" w:rsidR="00BC7C3A" w:rsidRDefault="00BC7C3A" w:rsidP="00BC7C3A"/>
    <w:p w14:paraId="333CB544" w14:textId="7846EDFA" w:rsidR="00BC7C3A" w:rsidRDefault="00BC7C3A" w:rsidP="00BC7C3A">
      <w:r w:rsidRPr="00840F13">
        <w:t xml:space="preserve">Direction d’appui du marché : </w:t>
      </w:r>
      <w:r>
        <w:t>DIFA 0236</w:t>
      </w:r>
    </w:p>
    <w:p w14:paraId="542478A5" w14:textId="77777777" w:rsidR="00352F45" w:rsidRDefault="00352F45" w:rsidP="00BC7C3A"/>
    <w:p w14:paraId="3A16997E" w14:textId="6F270B3F" w:rsidR="009B1727" w:rsidRDefault="00BC7C3A">
      <w:pPr>
        <w:pStyle w:val="Titre1"/>
      </w:pPr>
      <w:bookmarkStart w:id="4" w:name="_Toc201851383"/>
      <w:bookmarkEnd w:id="1"/>
      <w:r>
        <w:t>Objet de l’accord cadre</w:t>
      </w:r>
      <w:bookmarkEnd w:id="4"/>
      <w:r>
        <w:t xml:space="preserve"> </w:t>
      </w:r>
      <w:r w:rsidR="001C3E19">
        <w:t xml:space="preserve"> </w:t>
      </w:r>
    </w:p>
    <w:p w14:paraId="2FC26BD9" w14:textId="77777777" w:rsidR="006A4DB4" w:rsidRDefault="006A4DB4" w:rsidP="006A4DB4">
      <w:pPr>
        <w:rPr>
          <w:bCs/>
        </w:rPr>
      </w:pPr>
      <w:r w:rsidRPr="00B43182">
        <w:t>Le présent accord-cadre a pour objet</w:t>
      </w:r>
      <w:r>
        <w:t> </w:t>
      </w:r>
      <w:r w:rsidRPr="00B43182">
        <w:t xml:space="preserve">de doter les agents INRAE dûment habilités </w:t>
      </w:r>
      <w:r>
        <w:t xml:space="preserve">de </w:t>
      </w:r>
      <w:r w:rsidRPr="00B43182">
        <w:rPr>
          <w:b/>
          <w:bCs/>
        </w:rPr>
        <w:t>carte</w:t>
      </w:r>
      <w:r>
        <w:rPr>
          <w:b/>
          <w:bCs/>
        </w:rPr>
        <w:t>s</w:t>
      </w:r>
      <w:r w:rsidRPr="00B43182">
        <w:rPr>
          <w:b/>
          <w:bCs/>
        </w:rPr>
        <w:t xml:space="preserve"> achat</w:t>
      </w:r>
      <w:r w:rsidRPr="00B43182">
        <w:t xml:space="preserve"> et de </w:t>
      </w:r>
      <w:r w:rsidRPr="00B43182">
        <w:rPr>
          <w:b/>
          <w:bCs/>
        </w:rPr>
        <w:t>carte</w:t>
      </w:r>
      <w:r>
        <w:rPr>
          <w:b/>
          <w:bCs/>
        </w:rPr>
        <w:t>s corporate</w:t>
      </w:r>
      <w:r w:rsidRPr="00B44828">
        <w:rPr>
          <w:bCs/>
        </w:rPr>
        <w:t>.</w:t>
      </w:r>
    </w:p>
    <w:p w14:paraId="11D39CD6" w14:textId="77777777" w:rsidR="006A4DB4" w:rsidRDefault="006A4DB4" w:rsidP="006A4DB4">
      <w:r w:rsidRPr="00B44828">
        <w:t>Il se décompose en 2 lots</w:t>
      </w:r>
      <w:r>
        <w:t> :</w:t>
      </w:r>
    </w:p>
    <w:p w14:paraId="3CC5C491" w14:textId="77777777" w:rsidR="006A4DB4" w:rsidRDefault="006A4DB4" w:rsidP="00846602">
      <w:pPr>
        <w:pStyle w:val="Paragraphedeliste"/>
        <w:numPr>
          <w:ilvl w:val="0"/>
          <w:numId w:val="5"/>
        </w:numPr>
        <w:spacing w:before="0" w:after="0"/>
      </w:pPr>
      <w:r w:rsidRPr="000E5F02">
        <w:rPr>
          <w:b/>
        </w:rPr>
        <w:t>Lot 1 – Carte achat :</w:t>
      </w:r>
      <w:r>
        <w:t xml:space="preserve"> </w:t>
      </w:r>
    </w:p>
    <w:p w14:paraId="0F412F01" w14:textId="42691ED7" w:rsidR="006A4DB4" w:rsidRDefault="006A4DB4" w:rsidP="00A3025B">
      <w:pPr>
        <w:pStyle w:val="Paragraphedeliste"/>
        <w:ind w:left="720"/>
      </w:pPr>
      <w:r w:rsidRPr="000E5F02">
        <w:t>La carte achat est destinée au paiement de certaines dépenses courantes nécessaires au fonctionnement des unités d’INRAE. Ces dépenses sont liées aux achats de fournitures de proximité (fournitures courantes d’atelier, …) et à certains achats réalisés sur des sites internet sécurisés français et étrangers (inscriptions aux colloques, frais de publications, mise à jour de logiciels, …).</w:t>
      </w:r>
      <w:r>
        <w:t xml:space="preserve"> La carte achat est adossée au compte de l’établissement.</w:t>
      </w:r>
    </w:p>
    <w:p w14:paraId="52B500C5" w14:textId="77777777" w:rsidR="006A4DB4" w:rsidRPr="000E5F02" w:rsidRDefault="006A4DB4" w:rsidP="00846602">
      <w:pPr>
        <w:pStyle w:val="Paragraphedeliste"/>
        <w:numPr>
          <w:ilvl w:val="0"/>
          <w:numId w:val="5"/>
        </w:numPr>
        <w:spacing w:before="0" w:after="0"/>
        <w:rPr>
          <w:b/>
        </w:rPr>
      </w:pPr>
      <w:r w:rsidRPr="000E5F02">
        <w:rPr>
          <w:b/>
        </w:rPr>
        <w:t>Lot 2 – Carte corporate :</w:t>
      </w:r>
    </w:p>
    <w:p w14:paraId="04EB6361" w14:textId="77777777" w:rsidR="006A4DB4" w:rsidRDefault="006A4DB4" w:rsidP="006A4DB4">
      <w:pPr>
        <w:pStyle w:val="Paragraphedeliste"/>
        <w:ind w:left="720"/>
      </w:pPr>
      <w:r w:rsidRPr="000E5F02">
        <w:t xml:space="preserve">La carte </w:t>
      </w:r>
      <w:r>
        <w:t>corporate</w:t>
      </w:r>
      <w:r w:rsidRPr="000E5F02">
        <w:t xml:space="preserve"> est destinée au paiement des frais engagés par les agents au cours de leurs </w:t>
      </w:r>
      <w:r>
        <w:t>déplacement</w:t>
      </w:r>
      <w:r w:rsidRPr="000E5F02">
        <w:t>s professionnels (restaurant, taxi, …) en France et à l’étranger. L</w:t>
      </w:r>
      <w:r>
        <w:t xml:space="preserve">e </w:t>
      </w:r>
      <w:r w:rsidRPr="000E5F02">
        <w:t>retrait d’argent liquide est autorisé. La carte affaires est adossée au compte personnel du porteur et dotée d’un débit différé.</w:t>
      </w:r>
    </w:p>
    <w:p w14:paraId="55504399" w14:textId="77777777" w:rsidR="006A4DB4" w:rsidRPr="00B43182" w:rsidRDefault="006A4DB4" w:rsidP="006A4DB4"/>
    <w:p w14:paraId="033E29BD" w14:textId="77777777" w:rsidR="006A4DB4" w:rsidRPr="00B43182" w:rsidRDefault="006A4DB4" w:rsidP="006A4DB4">
      <w:r w:rsidRPr="00B43182">
        <w:t xml:space="preserve">Le service proposé devra être </w:t>
      </w:r>
      <w:r w:rsidRPr="00B43182">
        <w:rPr>
          <w:b/>
          <w:bCs/>
        </w:rPr>
        <w:t>simple d’utilisation</w:t>
      </w:r>
      <w:r w:rsidRPr="00B43182">
        <w:t xml:space="preserve">, </w:t>
      </w:r>
      <w:r w:rsidRPr="00B43182">
        <w:rPr>
          <w:b/>
          <w:bCs/>
        </w:rPr>
        <w:t>réactif</w:t>
      </w:r>
      <w:r w:rsidRPr="00B43182">
        <w:t xml:space="preserve">, </w:t>
      </w:r>
      <w:r w:rsidRPr="00B43182">
        <w:rPr>
          <w:b/>
          <w:bCs/>
        </w:rPr>
        <w:t>interopérable</w:t>
      </w:r>
      <w:r w:rsidRPr="00B43182">
        <w:t>, et permettre une gestion optimisée du parc de cartes. Il devra également être accompagné</w:t>
      </w:r>
      <w:r>
        <w:t> :</w:t>
      </w:r>
    </w:p>
    <w:p w14:paraId="02D3F362" w14:textId="77777777" w:rsidR="006A4DB4" w:rsidRPr="00B43182" w:rsidRDefault="006A4DB4" w:rsidP="00846602">
      <w:pPr>
        <w:numPr>
          <w:ilvl w:val="0"/>
          <w:numId w:val="4"/>
        </w:numPr>
        <w:spacing w:before="0" w:after="0"/>
      </w:pPr>
      <w:proofErr w:type="gramStart"/>
      <w:r w:rsidRPr="00B43182">
        <w:t>d’un</w:t>
      </w:r>
      <w:proofErr w:type="gramEnd"/>
      <w:r w:rsidRPr="00B43182">
        <w:t xml:space="preserve"> service support disponible et de qualité,</w:t>
      </w:r>
    </w:p>
    <w:p w14:paraId="182CA12A" w14:textId="77777777" w:rsidR="006A4DB4" w:rsidRPr="00B43182" w:rsidRDefault="006A4DB4" w:rsidP="00846602">
      <w:pPr>
        <w:numPr>
          <w:ilvl w:val="0"/>
          <w:numId w:val="4"/>
        </w:numPr>
        <w:spacing w:before="0" w:after="0"/>
      </w:pPr>
      <w:proofErr w:type="gramStart"/>
      <w:r w:rsidRPr="00B43182">
        <w:t>d’un</w:t>
      </w:r>
      <w:proofErr w:type="gramEnd"/>
      <w:r w:rsidRPr="00B43182">
        <w:t xml:space="preserve"> outil de </w:t>
      </w:r>
      <w:proofErr w:type="spellStart"/>
      <w:r w:rsidRPr="00B43182">
        <w:t>reporting</w:t>
      </w:r>
      <w:proofErr w:type="spellEnd"/>
      <w:r w:rsidRPr="00B43182">
        <w:t xml:space="preserve"> clair et personnalisable,</w:t>
      </w:r>
    </w:p>
    <w:p w14:paraId="032F9954" w14:textId="30021D63" w:rsidR="006A4DB4" w:rsidRDefault="006A4DB4" w:rsidP="00846602">
      <w:pPr>
        <w:numPr>
          <w:ilvl w:val="0"/>
          <w:numId w:val="4"/>
        </w:numPr>
        <w:spacing w:before="0" w:after="0"/>
      </w:pPr>
      <w:proofErr w:type="gramStart"/>
      <w:r w:rsidRPr="00B43182">
        <w:t>de</w:t>
      </w:r>
      <w:proofErr w:type="gramEnd"/>
      <w:r w:rsidRPr="00B43182">
        <w:t xml:space="preserve"> fonctionnalités facilitant l’intégration des données dans le SI financier de l’établissement</w:t>
      </w:r>
      <w:r>
        <w:t xml:space="preserve"> pour la carte achat</w:t>
      </w:r>
      <w:r w:rsidRPr="00B43182">
        <w:t>.</w:t>
      </w:r>
      <w:r>
        <w:br/>
      </w:r>
    </w:p>
    <w:p w14:paraId="3057F1EB" w14:textId="0C79F942" w:rsidR="002A25AC" w:rsidRDefault="002A25AC" w:rsidP="002A25AC">
      <w:r>
        <w:t>Le détail des prestations est mentionné dans le Cahier des Clauses Techniques Particulières (CCTP).</w:t>
      </w:r>
    </w:p>
    <w:p w14:paraId="3E5C09C1" w14:textId="4C61BBFD" w:rsidR="00EF32A3" w:rsidRDefault="00EF32A3" w:rsidP="002A25AC"/>
    <w:p w14:paraId="1B1C54FC" w14:textId="77777777" w:rsidR="00EF32A3" w:rsidRDefault="00EF32A3" w:rsidP="00EF32A3">
      <w:r>
        <w:t>Les nomenclatures achat pertinentes concernant cette consultation sont notamment :</w:t>
      </w:r>
    </w:p>
    <w:p w14:paraId="28F4FA6D" w14:textId="77777777" w:rsidR="00EF32A3" w:rsidRDefault="00EF32A3" w:rsidP="00EF32A3">
      <w:r>
        <w:t>Codes NACRES : EB.31 - SERVICES BANCAIRES</w:t>
      </w:r>
    </w:p>
    <w:p w14:paraId="5C75ADA7" w14:textId="5937E7E3" w:rsidR="00EF32A3" w:rsidRDefault="00EF32A3" w:rsidP="00EF32A3">
      <w:r>
        <w:t>Codes CPV : 66110000 - Services bancaires</w:t>
      </w:r>
    </w:p>
    <w:p w14:paraId="3494D2A4" w14:textId="77777777" w:rsidR="00EF32A3" w:rsidRDefault="00EF32A3" w:rsidP="002A25AC"/>
    <w:p w14:paraId="7E8F1242" w14:textId="0CB8DF6B" w:rsidR="009B1727" w:rsidRDefault="006A57C1">
      <w:pPr>
        <w:pStyle w:val="Titre1"/>
      </w:pPr>
      <w:r w:rsidDel="006A57C1">
        <w:t xml:space="preserve"> </w:t>
      </w:r>
      <w:bookmarkStart w:id="5" w:name="_Toc201851384"/>
      <w:r w:rsidR="006A4DB4">
        <w:t>Nature de la consultation</w:t>
      </w:r>
      <w:bookmarkEnd w:id="5"/>
      <w:r w:rsidR="006A4DB4">
        <w:t xml:space="preserve"> </w:t>
      </w:r>
    </w:p>
    <w:p w14:paraId="7EA185BA" w14:textId="4EFF8F9D" w:rsidR="00BE6AB8" w:rsidRDefault="006A4DB4" w:rsidP="00A47C5A">
      <w:bookmarkStart w:id="6" w:name="_Toc384796593"/>
      <w:r w:rsidRPr="00637D19">
        <w:t>L’accord-cadre est passé suivant la procédure d’appel d’offres ouvert conformément aux articles</w:t>
      </w:r>
      <w:r>
        <w:t xml:space="preserve"> L. 2124-1,</w:t>
      </w:r>
      <w:r w:rsidRPr="00637D19">
        <w:t xml:space="preserve"> R.2124-</w:t>
      </w:r>
      <w:r>
        <w:t>1</w:t>
      </w:r>
      <w:r w:rsidRPr="00637D19">
        <w:t>,</w:t>
      </w:r>
      <w:r>
        <w:t xml:space="preserve"> aux articles L.2124-2,</w:t>
      </w:r>
      <w:r w:rsidRPr="00637D19">
        <w:t xml:space="preserve"> R.2124-2 1° et</w:t>
      </w:r>
      <w:r>
        <w:t xml:space="preserve"> aux articles</w:t>
      </w:r>
      <w:r w:rsidRPr="00637D19">
        <w:t xml:space="preserve"> R.2161-2 à R.2161-5 du Code de la commande publique et aux articles R.2162-1 à 6 et R.2162-13 et 14 relatifs aux accords-cadres exécutés à bons de commande.</w:t>
      </w:r>
    </w:p>
    <w:p w14:paraId="41D5771C" w14:textId="42D0A531" w:rsidR="006A4DB4" w:rsidRDefault="006A4DB4" w:rsidP="006A4DB4">
      <w:pPr>
        <w:pStyle w:val="Titre1"/>
      </w:pPr>
      <w:bookmarkStart w:id="7" w:name="_Toc201851385"/>
      <w:r>
        <w:lastRenderedPageBreak/>
        <w:t>Structuration du marché</w:t>
      </w:r>
      <w:bookmarkEnd w:id="7"/>
      <w:r>
        <w:t xml:space="preserve"> </w:t>
      </w:r>
    </w:p>
    <w:p w14:paraId="0CC95541" w14:textId="595E2722" w:rsidR="006A4DB4" w:rsidRDefault="006A4DB4" w:rsidP="006A4DB4">
      <w:pPr>
        <w:pStyle w:val="Titre2"/>
      </w:pPr>
      <w:bookmarkStart w:id="8" w:name="_Toc201851386"/>
      <w:r>
        <w:t>Allotissement</w:t>
      </w:r>
      <w:bookmarkEnd w:id="8"/>
      <w:r>
        <w:t xml:space="preserve"> </w:t>
      </w:r>
    </w:p>
    <w:p w14:paraId="279E1861" w14:textId="77777777" w:rsidR="00EF32A3" w:rsidRDefault="006A4DB4" w:rsidP="006A4DB4">
      <w:pPr>
        <w:rPr>
          <w:sz w:val="24"/>
          <w:szCs w:val="24"/>
        </w:rPr>
      </w:pPr>
      <w:r w:rsidRPr="001E11A0">
        <w:rPr>
          <w:sz w:val="24"/>
          <w:szCs w:val="24"/>
        </w:rPr>
        <w:t>Le présent accord-cadre</w:t>
      </w:r>
      <w:r>
        <w:rPr>
          <w:sz w:val="24"/>
          <w:szCs w:val="24"/>
        </w:rPr>
        <w:t xml:space="preserve"> </w:t>
      </w:r>
      <w:r w:rsidRPr="001E11A0">
        <w:rPr>
          <w:sz w:val="24"/>
          <w:szCs w:val="24"/>
        </w:rPr>
        <w:t>est alloti</w:t>
      </w:r>
      <w:r>
        <w:rPr>
          <w:sz w:val="24"/>
          <w:szCs w:val="24"/>
        </w:rPr>
        <w:t xml:space="preserve"> au sens de l’article L.2113-10 du code de la commande </w:t>
      </w:r>
      <w:r w:rsidR="00EF32A3">
        <w:rPr>
          <w:sz w:val="24"/>
          <w:szCs w:val="24"/>
        </w:rPr>
        <w:t xml:space="preserve">publique. </w:t>
      </w:r>
    </w:p>
    <w:p w14:paraId="0C10377E" w14:textId="076ACF44" w:rsidR="006A4DB4" w:rsidRDefault="00EF32A3" w:rsidP="006A4DB4">
      <w:r>
        <w:rPr>
          <w:sz w:val="24"/>
          <w:szCs w:val="24"/>
        </w:rPr>
        <w:t>Les candidats peuvent répondre à un ou l’ensemble des lots.</w:t>
      </w:r>
    </w:p>
    <w:p w14:paraId="2322D4F9" w14:textId="3A32C3E3" w:rsidR="006A4DB4" w:rsidRDefault="006A4DB4" w:rsidP="006A4DB4">
      <w:pPr>
        <w:pStyle w:val="Titre2"/>
      </w:pPr>
      <w:bookmarkStart w:id="9" w:name="_Toc201851387"/>
      <w:r>
        <w:t>Forme du marché</w:t>
      </w:r>
      <w:bookmarkEnd w:id="9"/>
      <w:r>
        <w:t xml:space="preserve"> </w:t>
      </w:r>
    </w:p>
    <w:p w14:paraId="6EFE92DB" w14:textId="041EFF61" w:rsidR="006A4DB4" w:rsidRDefault="006A4DB4" w:rsidP="006A4DB4">
      <w:pPr>
        <w:rPr>
          <w:lang w:eastAsia="fr-FR"/>
        </w:rPr>
      </w:pPr>
      <w:bookmarkStart w:id="10" w:name="_Toc384796602"/>
      <w:bookmarkEnd w:id="6"/>
      <w:r w:rsidRPr="00637D19">
        <w:rPr>
          <w:lang w:eastAsia="fr-FR"/>
        </w:rPr>
        <w:t>Il s’agit d’un accord-</w:t>
      </w:r>
      <w:r w:rsidRPr="008F1444">
        <w:rPr>
          <w:lang w:eastAsia="fr-FR"/>
        </w:rPr>
        <w:t>cadre mono attributaire</w:t>
      </w:r>
      <w:r w:rsidRPr="00637D19">
        <w:rPr>
          <w:lang w:eastAsia="fr-FR"/>
        </w:rPr>
        <w:t xml:space="preserve"> à bons de commande sans</w:t>
      </w:r>
      <w:r w:rsidR="00591245">
        <w:rPr>
          <w:lang w:eastAsia="fr-FR"/>
        </w:rPr>
        <w:t xml:space="preserve"> montant</w:t>
      </w:r>
      <w:r w:rsidRPr="00637D19">
        <w:rPr>
          <w:lang w:eastAsia="fr-FR"/>
        </w:rPr>
        <w:t xml:space="preserve"> minimum </w:t>
      </w:r>
      <w:r w:rsidR="00591245">
        <w:rPr>
          <w:lang w:eastAsia="fr-FR"/>
        </w:rPr>
        <w:t xml:space="preserve">et </w:t>
      </w:r>
      <w:r w:rsidRPr="00637D19">
        <w:rPr>
          <w:lang w:eastAsia="fr-FR"/>
        </w:rPr>
        <w:t xml:space="preserve">avec un </w:t>
      </w:r>
      <w:r w:rsidR="008F1444">
        <w:rPr>
          <w:lang w:eastAsia="fr-FR"/>
        </w:rPr>
        <w:t xml:space="preserve">montant </w:t>
      </w:r>
      <w:r w:rsidRPr="00637D19">
        <w:rPr>
          <w:lang w:eastAsia="fr-FR"/>
        </w:rPr>
        <w:t>de commande au sens des articles R.2162-2 2ème alinéa et R.2162-4 2ème alinéa du Code de la commande publique.</w:t>
      </w:r>
    </w:p>
    <w:p w14:paraId="6AB8F8ED" w14:textId="77777777" w:rsidR="006A4DB4" w:rsidRDefault="006A4DB4" w:rsidP="006A4DB4">
      <w:pPr>
        <w:rPr>
          <w:lang w:eastAsia="fr-FR"/>
        </w:rPr>
      </w:pPr>
      <w:r>
        <w:t>Pour le calcul de la valeur estimée du besoin s’agissant d’un marché de titres de paiement, l’acheteur doit prendre en compte, outre les frais de gestion versés par le pouvoir adjudicateur, la valeur faciale des titres susceptibles d’être émis pour son exécution, s</w:t>
      </w:r>
      <w:r w:rsidRPr="004C739F">
        <w:rPr>
          <w:lang w:eastAsia="fr-FR"/>
        </w:rPr>
        <w:t>omme que le pouvoir adjudicateur doit payer à son cocontractant en contrepartie des titres mis à sa disposition</w:t>
      </w:r>
      <w:r>
        <w:rPr>
          <w:lang w:eastAsia="fr-FR"/>
        </w:rPr>
        <w:t>.</w:t>
      </w:r>
    </w:p>
    <w:p w14:paraId="55329ABA" w14:textId="77777777" w:rsidR="006A4DB4" w:rsidRDefault="006A4DB4" w:rsidP="006A4DB4">
      <w:pPr>
        <w:rPr>
          <w:lang w:eastAsia="fr-FR"/>
        </w:rPr>
      </w:pPr>
      <w:r>
        <w:rPr>
          <w:lang w:eastAsia="fr-FR"/>
        </w:rPr>
        <w:t>Suivant ces modalités de calcul :</w:t>
      </w:r>
    </w:p>
    <w:p w14:paraId="2AA26EA1" w14:textId="77777777" w:rsidR="006A4DB4" w:rsidRPr="008C059F" w:rsidRDefault="006A4DB4" w:rsidP="00846602">
      <w:pPr>
        <w:pStyle w:val="Paragraphedeliste"/>
        <w:numPr>
          <w:ilvl w:val="0"/>
          <w:numId w:val="6"/>
        </w:numPr>
        <w:spacing w:before="0" w:after="0"/>
        <w:jc w:val="left"/>
      </w:pPr>
      <w:proofErr w:type="gramStart"/>
      <w:r w:rsidRPr="00AB6F71">
        <w:t>le</w:t>
      </w:r>
      <w:proofErr w:type="gramEnd"/>
      <w:r w:rsidRPr="00AB6F71">
        <w:t xml:space="preserve"> montant estimatif annuel pour les cartes achat est de 5 300 000 € TTC, soit un total de 12 200 000 € TTC.</w:t>
      </w:r>
    </w:p>
    <w:p w14:paraId="347ADCD9" w14:textId="22F5FD1C" w:rsidR="006A4DB4" w:rsidRDefault="006A4DB4" w:rsidP="00846602">
      <w:pPr>
        <w:pStyle w:val="Paragraphedeliste"/>
        <w:numPr>
          <w:ilvl w:val="0"/>
          <w:numId w:val="6"/>
        </w:numPr>
        <w:spacing w:before="0" w:after="0"/>
      </w:pPr>
      <w:proofErr w:type="gramStart"/>
      <w:r w:rsidRPr="00AB6F71">
        <w:t>le</w:t>
      </w:r>
      <w:proofErr w:type="gramEnd"/>
      <w:r w:rsidRPr="00AB6F71">
        <w:t xml:space="preserve"> montant estimatif annuel pour les cartes corporate est de 600 000 € TTC, soit un total de 2 400 000 € TTC sur la durée de l’accord-cadre.</w:t>
      </w:r>
    </w:p>
    <w:p w14:paraId="298C1F08" w14:textId="77777777" w:rsidR="0020731B" w:rsidRDefault="0020731B" w:rsidP="0020731B">
      <w:r>
        <w:t xml:space="preserve">Les montants maximums sur la durée totale du marché sont : </w:t>
      </w:r>
    </w:p>
    <w:p w14:paraId="7F8F4BFF" w14:textId="77777777" w:rsidR="0020731B" w:rsidRPr="00004B74" w:rsidRDefault="0020731B" w:rsidP="0020731B">
      <w:pPr>
        <w:pStyle w:val="Paragraphedeliste"/>
        <w:numPr>
          <w:ilvl w:val="0"/>
          <w:numId w:val="6"/>
        </w:numPr>
        <w:spacing w:before="0" w:after="0"/>
      </w:pPr>
      <w:r w:rsidRPr="00004B74">
        <w:t>36 600 000 € TTC pour les cartes achat</w:t>
      </w:r>
      <w:r>
        <w:t>,</w:t>
      </w:r>
      <w:r w:rsidRPr="00004B74">
        <w:t xml:space="preserve"> </w:t>
      </w:r>
    </w:p>
    <w:p w14:paraId="37636A87" w14:textId="77777777" w:rsidR="0020731B" w:rsidRPr="00004B74" w:rsidRDefault="0020731B" w:rsidP="0020731B">
      <w:pPr>
        <w:pStyle w:val="Paragraphedeliste"/>
        <w:numPr>
          <w:ilvl w:val="0"/>
          <w:numId w:val="6"/>
        </w:numPr>
        <w:spacing w:before="0" w:after="0"/>
      </w:pPr>
      <w:r w:rsidRPr="00004B74">
        <w:t xml:space="preserve">7 200 000 € TTC pour les cartes </w:t>
      </w:r>
      <w:proofErr w:type="spellStart"/>
      <w:r w:rsidRPr="00004B74">
        <w:t>corporate</w:t>
      </w:r>
      <w:proofErr w:type="spellEnd"/>
      <w:r>
        <w:t>.</w:t>
      </w:r>
    </w:p>
    <w:p w14:paraId="51FBDD42" w14:textId="77777777" w:rsidR="0020731B" w:rsidRPr="00AB6F71" w:rsidRDefault="0020731B" w:rsidP="0020731B">
      <w:pPr>
        <w:pStyle w:val="Paragraphedeliste"/>
        <w:spacing w:before="0" w:after="0"/>
        <w:ind w:left="720"/>
      </w:pPr>
    </w:p>
    <w:p w14:paraId="40F1B741" w14:textId="77777777" w:rsidR="006A4DB4" w:rsidRPr="00637D19" w:rsidRDefault="006A4DB4" w:rsidP="006A4DB4">
      <w:pPr>
        <w:rPr>
          <w:lang w:eastAsia="fr-FR"/>
        </w:rPr>
      </w:pPr>
      <w:bookmarkStart w:id="11" w:name="_Toc34916993"/>
      <w:bookmarkEnd w:id="11"/>
      <w:r w:rsidRPr="00637D19">
        <w:rPr>
          <w:lang w:eastAsia="fr-FR"/>
        </w:rPr>
        <w:t xml:space="preserve">Aucune indemnité de dédit ne sera due par INRAE au cas où le montant cumulé des bons de commande passés sur le fondement de l’accord-cadre n’atteindrait pas </w:t>
      </w:r>
      <w:r>
        <w:rPr>
          <w:lang w:eastAsia="fr-FR"/>
        </w:rPr>
        <w:t>les montants estimés.</w:t>
      </w:r>
    </w:p>
    <w:p w14:paraId="522C02CB" w14:textId="676EEA74" w:rsidR="009B1727" w:rsidRDefault="006A4DB4">
      <w:pPr>
        <w:pStyle w:val="Titre1"/>
      </w:pPr>
      <w:bookmarkStart w:id="12" w:name="_Toc201851388"/>
      <w:bookmarkEnd w:id="10"/>
      <w:r>
        <w:t>Durée de l’accord cadre</w:t>
      </w:r>
      <w:bookmarkEnd w:id="12"/>
      <w:r>
        <w:t xml:space="preserve"> </w:t>
      </w:r>
    </w:p>
    <w:p w14:paraId="2525433A" w14:textId="2086750B" w:rsidR="006A4DB4" w:rsidRPr="006A4DB4" w:rsidRDefault="006A4DB4" w:rsidP="006A4DB4">
      <w:pPr>
        <w:pStyle w:val="Titre2"/>
      </w:pPr>
      <w:bookmarkStart w:id="13" w:name="_Toc201851389"/>
      <w:r>
        <w:t>Date de début d’exécution</w:t>
      </w:r>
      <w:bookmarkEnd w:id="13"/>
      <w:r>
        <w:t xml:space="preserve"> </w:t>
      </w:r>
    </w:p>
    <w:p w14:paraId="6749C99E" w14:textId="49D2AB15" w:rsidR="006A4DB4" w:rsidRDefault="000453DE" w:rsidP="006A4DB4">
      <w:pPr>
        <w:rPr>
          <w:rFonts w:cs="Arial"/>
          <w:szCs w:val="20"/>
          <w:lang w:eastAsia="fr-FR"/>
        </w:rPr>
      </w:pPr>
      <w:bookmarkStart w:id="14" w:name="_Hlk201848294"/>
      <w:bookmarkStart w:id="15" w:name="_Toc384796603"/>
      <w:r>
        <w:t>L’accord-cadre commence à s’exécuter à la date précisée par INRAE au moment de la notification du marché ou par défaut à la date de sa notification.</w:t>
      </w:r>
    </w:p>
    <w:p w14:paraId="6E11C24F" w14:textId="771A0F4F" w:rsidR="006A4DB4" w:rsidRPr="006A4DB4" w:rsidRDefault="006A4DB4" w:rsidP="006A4DB4">
      <w:pPr>
        <w:pStyle w:val="Titre2"/>
      </w:pPr>
      <w:bookmarkStart w:id="16" w:name="_Toc201851390"/>
      <w:bookmarkEnd w:id="14"/>
      <w:r w:rsidRPr="006A4DB4">
        <w:t>Reconduction de l’accord cadre</w:t>
      </w:r>
      <w:bookmarkEnd w:id="16"/>
      <w:r w:rsidRPr="006A4DB4">
        <w:t xml:space="preserve"> </w:t>
      </w:r>
    </w:p>
    <w:p w14:paraId="68215398" w14:textId="6AA6965B" w:rsidR="000453DE" w:rsidRPr="000453DE" w:rsidRDefault="000453DE" w:rsidP="000453DE">
      <w:pPr>
        <w:spacing w:before="100" w:beforeAutospacing="1" w:after="100" w:afterAutospacing="1"/>
        <w:jc w:val="left"/>
      </w:pPr>
      <w:bookmarkStart w:id="17" w:name="_Toc176350046"/>
      <w:bookmarkStart w:id="18" w:name="_Toc201851391"/>
      <w:r w:rsidRPr="000453DE">
        <w:t>Il prend fin à l’issue d’une durée d’un an ferme à compter du début d’exécution, reconductible trois fois pour des périodes d’un an. </w:t>
      </w:r>
    </w:p>
    <w:p w14:paraId="6190EBB9" w14:textId="77777777" w:rsidR="000453DE" w:rsidRPr="000453DE" w:rsidRDefault="000453DE" w:rsidP="000453DE">
      <w:pPr>
        <w:spacing w:before="100" w:beforeAutospacing="1" w:after="100" w:afterAutospacing="1"/>
        <w:jc w:val="left"/>
      </w:pPr>
      <w:r w:rsidRPr="000453DE">
        <w:t>En cas de non-reconduction, INRAE informera le titulaire de la non reconduction du marché 3 mois au moins avant la fin de l’annuité en cours, sans que celui ne puisse soulever de contestation ou prétendre à une quelconque indemnité. </w:t>
      </w:r>
    </w:p>
    <w:p w14:paraId="30157FA2" w14:textId="5A1115FA" w:rsidR="009C3F5C" w:rsidRPr="00E5431E" w:rsidRDefault="009C3F5C" w:rsidP="009C3F5C">
      <w:pPr>
        <w:pStyle w:val="Titre1"/>
      </w:pPr>
      <w:r>
        <w:t xml:space="preserve">Variantes </w:t>
      </w:r>
      <w:r w:rsidRPr="00E5431E">
        <w:t>et prestations supplémentaires éventuelles</w:t>
      </w:r>
      <w:bookmarkEnd w:id="17"/>
      <w:bookmarkEnd w:id="18"/>
      <w:r w:rsidRPr="00E5431E">
        <w:tab/>
      </w:r>
    </w:p>
    <w:p w14:paraId="43CE457D" w14:textId="77777777" w:rsidR="009C3F5C" w:rsidRDefault="009C3F5C" w:rsidP="009C3F5C">
      <w:r w:rsidRPr="00E5431E">
        <w:t>Une variante est</w:t>
      </w:r>
      <w:r>
        <w:t xml:space="preserve"> définie comme une modification des spécifications prévues dans les documents de la consultation constituant la solution de base. Il s’agit donc d’une offre alternative au moins aussi performante que la solution décrite initialement dans le cahier des charges et qui s’y substitue dès lors qu’elle est retenue.</w:t>
      </w:r>
    </w:p>
    <w:p w14:paraId="5B4CABDE" w14:textId="77777777" w:rsidR="009C3F5C" w:rsidRPr="00BE0445" w:rsidRDefault="009C3F5C" w:rsidP="009C3F5C">
      <w:r>
        <w:t>Une prestation supplémentaire éventuelle matérialise une fourniture ou une prestation en lien avec l’objet du marché que l’acheteur se réserve le droit de retenir ou de ne pas retenir au moment de l’attribution du marché.</w:t>
      </w:r>
    </w:p>
    <w:p w14:paraId="276A4D39" w14:textId="74A19E86" w:rsidR="009C3F5C" w:rsidRDefault="009C3F5C" w:rsidP="009C3F5C">
      <w:pPr>
        <w:pStyle w:val="Titre2"/>
      </w:pPr>
      <w:r>
        <w:lastRenderedPageBreak/>
        <w:t xml:space="preserve"> </w:t>
      </w:r>
      <w:bookmarkStart w:id="19" w:name="_Toc201851392"/>
      <w:r>
        <w:t>Variantes à l’initiative du candidat (variantes libres)</w:t>
      </w:r>
      <w:bookmarkEnd w:id="19"/>
      <w:r>
        <w:tab/>
      </w:r>
    </w:p>
    <w:p w14:paraId="34215AED" w14:textId="77777777" w:rsidR="009C3F5C" w:rsidRPr="00E5431E" w:rsidRDefault="009C3F5C" w:rsidP="009C3F5C">
      <w:r w:rsidRPr="00E5431E">
        <w:t>Les variantes à l’initiative du candidat ne sont pas autorisées.</w:t>
      </w:r>
    </w:p>
    <w:p w14:paraId="7EA9FA0E" w14:textId="774B7D34" w:rsidR="009C3F5C" w:rsidRDefault="009C3F5C" w:rsidP="009C3F5C">
      <w:pPr>
        <w:pStyle w:val="Titre2"/>
      </w:pPr>
      <w:bookmarkStart w:id="20" w:name="_Toc201851393"/>
      <w:r>
        <w:t>Variantes à l’initiative de l’acheteur (variantes exigées)</w:t>
      </w:r>
      <w:bookmarkEnd w:id="20"/>
      <w:r>
        <w:tab/>
      </w:r>
    </w:p>
    <w:p w14:paraId="59EAE19F" w14:textId="77777777" w:rsidR="009C3F5C" w:rsidRPr="007A53D2" w:rsidRDefault="009C3F5C" w:rsidP="009C3F5C">
      <w:r w:rsidRPr="007A53D2">
        <w:t>La présente consultation ne prévoit pas la présentation de variantes à l’initiative de l’acheteur.</w:t>
      </w:r>
    </w:p>
    <w:p w14:paraId="22DE7864" w14:textId="260F1DEB" w:rsidR="009C3F5C" w:rsidRDefault="009C3F5C" w:rsidP="009C3F5C">
      <w:pPr>
        <w:pStyle w:val="Titre2"/>
      </w:pPr>
      <w:bookmarkStart w:id="21" w:name="_Toc201851394"/>
      <w:r>
        <w:t>Prestations supplémentaires éventuelles</w:t>
      </w:r>
      <w:bookmarkEnd w:id="21"/>
      <w:r>
        <w:tab/>
      </w:r>
    </w:p>
    <w:p w14:paraId="4BBD4FD2" w14:textId="77777777" w:rsidR="009C3F5C" w:rsidRDefault="009C3F5C" w:rsidP="009C3F5C">
      <w:r w:rsidRPr="007A53D2">
        <w:t>Le présent appel d’offres ne contient aucune prestation supplémentaire éventuelle (PSE).</w:t>
      </w:r>
    </w:p>
    <w:p w14:paraId="02ED311B" w14:textId="15B9BEC4" w:rsidR="009C3F5C" w:rsidRPr="009C3F5C" w:rsidRDefault="009C3F5C" w:rsidP="009C3F5C">
      <w:pPr>
        <w:pStyle w:val="Titre1"/>
      </w:pPr>
      <w:bookmarkStart w:id="22" w:name="_Toc201851395"/>
      <w:r w:rsidRPr="009C3F5C">
        <w:t>Documents de la consultation et compléments</w:t>
      </w:r>
      <w:bookmarkEnd w:id="22"/>
      <w:r w:rsidRPr="009C3F5C">
        <w:t xml:space="preserve"> </w:t>
      </w:r>
    </w:p>
    <w:p w14:paraId="11D832FB" w14:textId="058FB65E" w:rsidR="009C3F5C" w:rsidRDefault="009C3F5C" w:rsidP="009C3F5C">
      <w:pPr>
        <w:pStyle w:val="Titre2"/>
        <w:rPr>
          <w:lang w:eastAsia="fr-FR"/>
        </w:rPr>
      </w:pPr>
      <w:bookmarkStart w:id="23" w:name="_Toc201851396"/>
      <w:r>
        <w:rPr>
          <w:lang w:eastAsia="fr-FR"/>
        </w:rPr>
        <w:t>Documents de la consultation</w:t>
      </w:r>
      <w:bookmarkEnd w:id="23"/>
      <w:r>
        <w:rPr>
          <w:lang w:eastAsia="fr-FR"/>
        </w:rPr>
        <w:t xml:space="preserve"> </w:t>
      </w:r>
    </w:p>
    <w:p w14:paraId="6E92A43E" w14:textId="77777777" w:rsidR="009C3F5C" w:rsidRDefault="009C3F5C" w:rsidP="009C3F5C">
      <w:r>
        <w:t>Le dossier remis gratuitement aux candidats comprend les pièces suivantes :</w:t>
      </w:r>
    </w:p>
    <w:p w14:paraId="0AB3D2E4" w14:textId="77777777" w:rsidR="009C3F5C" w:rsidRDefault="009C3F5C" w:rsidP="00846602">
      <w:pPr>
        <w:pStyle w:val="Paragraphedeliste"/>
        <w:numPr>
          <w:ilvl w:val="0"/>
          <w:numId w:val="8"/>
        </w:numPr>
        <w:tabs>
          <w:tab w:val="left" w:pos="142"/>
        </w:tabs>
        <w:spacing w:line="276" w:lineRule="auto"/>
        <w:contextualSpacing/>
      </w:pPr>
      <w:r>
        <w:t>Le présent règlement de la consultation,</w:t>
      </w:r>
    </w:p>
    <w:p w14:paraId="2FAE2BC0" w14:textId="77777777" w:rsidR="009C3F5C" w:rsidRDefault="009C3F5C" w:rsidP="00846602">
      <w:pPr>
        <w:pStyle w:val="Paragraphedeliste"/>
        <w:numPr>
          <w:ilvl w:val="0"/>
          <w:numId w:val="8"/>
        </w:numPr>
        <w:tabs>
          <w:tab w:val="left" w:pos="142"/>
        </w:tabs>
        <w:spacing w:line="276" w:lineRule="auto"/>
        <w:contextualSpacing/>
      </w:pPr>
      <w:r>
        <w:t>L’acte d’engagement,</w:t>
      </w:r>
    </w:p>
    <w:p w14:paraId="47D1440F" w14:textId="77777777" w:rsidR="009C3F5C" w:rsidRDefault="009C3F5C" w:rsidP="00846602">
      <w:pPr>
        <w:pStyle w:val="Paragraphedeliste"/>
        <w:numPr>
          <w:ilvl w:val="0"/>
          <w:numId w:val="8"/>
        </w:numPr>
        <w:tabs>
          <w:tab w:val="left" w:pos="142"/>
        </w:tabs>
        <w:spacing w:line="276" w:lineRule="auto"/>
        <w:contextualSpacing/>
      </w:pPr>
      <w:r>
        <w:t xml:space="preserve">Le cahier des clauses administratives particulières (CCAP) et son annexe </w:t>
      </w:r>
      <w:r w:rsidRPr="007F211B">
        <w:t>- Liste des centres INRAE, de leurs ordonnateurs et comptables</w:t>
      </w:r>
      <w:r>
        <w:t>,</w:t>
      </w:r>
    </w:p>
    <w:p w14:paraId="422CCF16" w14:textId="77777777" w:rsidR="009C3F5C" w:rsidRDefault="009C3F5C" w:rsidP="00846602">
      <w:pPr>
        <w:pStyle w:val="Paragraphedeliste"/>
        <w:numPr>
          <w:ilvl w:val="0"/>
          <w:numId w:val="8"/>
        </w:numPr>
        <w:tabs>
          <w:tab w:val="left" w:pos="142"/>
        </w:tabs>
        <w:spacing w:line="276" w:lineRule="auto"/>
        <w:contextualSpacing/>
      </w:pPr>
      <w:r>
        <w:t>Le cahier des clauses techniques particulières (CCTP),</w:t>
      </w:r>
    </w:p>
    <w:p w14:paraId="4C115E73" w14:textId="5DB6C422" w:rsidR="009C3F5C" w:rsidRPr="006D37AE" w:rsidRDefault="009C3F5C" w:rsidP="00846602">
      <w:pPr>
        <w:pStyle w:val="Paragraphedeliste"/>
        <w:numPr>
          <w:ilvl w:val="0"/>
          <w:numId w:val="8"/>
        </w:numPr>
        <w:tabs>
          <w:tab w:val="left" w:pos="142"/>
        </w:tabs>
        <w:spacing w:line="276" w:lineRule="auto"/>
        <w:contextualSpacing/>
      </w:pPr>
      <w:r>
        <w:t>Le b</w:t>
      </w:r>
      <w:r w:rsidRPr="006D37AE">
        <w:t>ordereau des prix</w:t>
      </w:r>
      <w:r>
        <w:t xml:space="preserve"> à compléter</w:t>
      </w:r>
      <w:r w:rsidR="00EF32A3">
        <w:t xml:space="preserve"> pour chacun des lots</w:t>
      </w:r>
      <w:r>
        <w:t>,</w:t>
      </w:r>
    </w:p>
    <w:p w14:paraId="51614B5A" w14:textId="3E67F7EC" w:rsidR="009C3F5C" w:rsidRDefault="009C3F5C" w:rsidP="00846602">
      <w:pPr>
        <w:pStyle w:val="Paragraphedeliste"/>
        <w:numPr>
          <w:ilvl w:val="0"/>
          <w:numId w:val="8"/>
        </w:numPr>
        <w:tabs>
          <w:tab w:val="left" w:pos="142"/>
        </w:tabs>
        <w:spacing w:line="276" w:lineRule="auto"/>
        <w:contextualSpacing/>
      </w:pPr>
      <w:r>
        <w:t>Le cadre de réponse</w:t>
      </w:r>
      <w:r w:rsidRPr="00BA5172">
        <w:t xml:space="preserve"> </w:t>
      </w:r>
      <w:r>
        <w:t>technique à compléter pour</w:t>
      </w:r>
      <w:r w:rsidR="00EF32A3">
        <w:t xml:space="preserve"> chacun des lots pour </w:t>
      </w:r>
      <w:r>
        <w:t>constituer le mémoire technique de l’offre.</w:t>
      </w:r>
    </w:p>
    <w:p w14:paraId="1C9492EA" w14:textId="77777777" w:rsidR="009C3F5C" w:rsidRDefault="009C3F5C" w:rsidP="009C3F5C">
      <w:pPr>
        <w:tabs>
          <w:tab w:val="left" w:pos="142"/>
        </w:tabs>
      </w:pPr>
      <w:r>
        <w:t>Afin de pouvoir décompresser et lire les documents mis à disposition par INRAE, les candidats devront disposer des logiciels permettant de lire les formats suivants :</w:t>
      </w:r>
    </w:p>
    <w:p w14:paraId="0AD4DEF9" w14:textId="77777777" w:rsidR="009C3F5C" w:rsidRDefault="009C3F5C" w:rsidP="00846602">
      <w:pPr>
        <w:pStyle w:val="Paragraphedeliste"/>
        <w:numPr>
          <w:ilvl w:val="0"/>
          <w:numId w:val="7"/>
        </w:numPr>
        <w:spacing w:line="276" w:lineRule="auto"/>
        <w:contextualSpacing/>
      </w:pPr>
      <w:r>
        <w:t>.zip</w:t>
      </w:r>
      <w:r w:rsidRPr="000E5ABE">
        <w:t xml:space="preserve"> (pour la compression des documents),</w:t>
      </w:r>
    </w:p>
    <w:p w14:paraId="237AA045" w14:textId="77777777" w:rsidR="009C3F5C" w:rsidRDefault="009C3F5C" w:rsidP="00846602">
      <w:pPr>
        <w:pStyle w:val="Paragraphedeliste"/>
        <w:numPr>
          <w:ilvl w:val="0"/>
          <w:numId w:val="7"/>
        </w:numPr>
        <w:spacing w:line="276" w:lineRule="auto"/>
        <w:contextualSpacing/>
      </w:pPr>
      <w:r>
        <w:t>.doc, .</w:t>
      </w:r>
      <w:proofErr w:type="spellStart"/>
      <w:r>
        <w:t>xls</w:t>
      </w:r>
      <w:proofErr w:type="spellEnd"/>
      <w:r>
        <w:t>, .</w:t>
      </w:r>
      <w:proofErr w:type="spellStart"/>
      <w:r>
        <w:t>pdf</w:t>
      </w:r>
      <w:proofErr w:type="spellEnd"/>
      <w:r>
        <w:t>.</w:t>
      </w:r>
      <w:r w:rsidRPr="000E5ABE">
        <w:t xml:space="preserve"> (</w:t>
      </w:r>
      <w:proofErr w:type="gramStart"/>
      <w:r w:rsidRPr="000E5ABE">
        <w:t>pour</w:t>
      </w:r>
      <w:proofErr w:type="gramEnd"/>
      <w:r w:rsidRPr="000E5ABE">
        <w:t xml:space="preserve"> la lecture des documents).</w:t>
      </w:r>
    </w:p>
    <w:p w14:paraId="7553D51D" w14:textId="74701023" w:rsidR="009C3F5C" w:rsidRDefault="009C3F5C" w:rsidP="009C3F5C">
      <w:pPr>
        <w:pStyle w:val="Titre2"/>
        <w:rPr>
          <w:lang w:eastAsia="fr-FR"/>
        </w:rPr>
      </w:pPr>
      <w:bookmarkStart w:id="24" w:name="_Toc201851397"/>
      <w:r>
        <w:rPr>
          <w:lang w:eastAsia="fr-FR"/>
        </w:rPr>
        <w:t>Renseignements complémentaires</w:t>
      </w:r>
      <w:bookmarkEnd w:id="24"/>
      <w:r>
        <w:rPr>
          <w:lang w:eastAsia="fr-FR"/>
        </w:rPr>
        <w:t xml:space="preserve"> </w:t>
      </w:r>
    </w:p>
    <w:p w14:paraId="78C3FD06" w14:textId="77777777" w:rsidR="009C3F5C" w:rsidRDefault="009C3F5C" w:rsidP="009C3F5C">
      <w:r>
        <w:t>Pendant la phase de consultation, les candidats peuvent faire parvenir leurs questions et demandes de renseignements complémentaires. Pour ce faire, la seule voie autorisée est le portail de dématérialisation PLACE (Plate-forme des achats de l’Etat).</w:t>
      </w:r>
    </w:p>
    <w:p w14:paraId="11CEBF80" w14:textId="45E121D2" w:rsidR="009C3F5C" w:rsidRDefault="009C3F5C" w:rsidP="009C3F5C">
      <w:r>
        <w:t>Les réponses aux questions sont envoyées à l’ensemble des personnes s’étant identifiés lors du téléchargement des documents, dans les meilleurs délais, et au plus tard 6</w:t>
      </w:r>
      <w:r w:rsidR="00EF32A3">
        <w:t xml:space="preserve"> </w:t>
      </w:r>
      <w:r>
        <w:t>jours calendaires avant la date limite de remise des offres indiquée sur la page de garde du présent document, pour autant que les candidats aient transmis leur demande au plus tard 10 jours calendaires avant cette même date.</w:t>
      </w:r>
    </w:p>
    <w:p w14:paraId="43954FC4" w14:textId="0B37E612" w:rsidR="009C3F5C" w:rsidRDefault="009C3F5C" w:rsidP="009C3F5C">
      <w:r>
        <w:t>Aucune réponse ne sera donnée oralement.</w:t>
      </w:r>
    </w:p>
    <w:p w14:paraId="7A820206" w14:textId="77777777" w:rsidR="00273838" w:rsidRDefault="00273838" w:rsidP="009C3F5C"/>
    <w:p w14:paraId="0A27F60B" w14:textId="088530FC" w:rsidR="009C3F5C" w:rsidRDefault="009C3F5C" w:rsidP="009C3F5C">
      <w:pPr>
        <w:pStyle w:val="Titre1"/>
        <w:rPr>
          <w:lang w:eastAsia="fr-FR"/>
        </w:rPr>
      </w:pPr>
      <w:bookmarkStart w:id="25" w:name="_Toc201851398"/>
      <w:r>
        <w:rPr>
          <w:lang w:eastAsia="fr-FR"/>
        </w:rPr>
        <w:t>Modification du DCE</w:t>
      </w:r>
      <w:bookmarkEnd w:id="25"/>
      <w:r>
        <w:rPr>
          <w:lang w:eastAsia="fr-FR"/>
        </w:rPr>
        <w:t xml:space="preserve"> </w:t>
      </w:r>
    </w:p>
    <w:p w14:paraId="06C6581C" w14:textId="77777777" w:rsidR="005079BA" w:rsidRDefault="005079BA" w:rsidP="005079BA">
      <w:r>
        <w:t>INRAE se réserve le droit d'apporter des modifications aux documents de la consultation au maximum six (6) jours avant la date limite de remise des offres figurant sur la page de garde du présent règlement.</w:t>
      </w:r>
    </w:p>
    <w:p w14:paraId="022ECC32" w14:textId="77777777" w:rsidR="005079BA" w:rsidRDefault="005079BA" w:rsidP="005079BA">
      <w:r>
        <w:t>Dans l’hypothèse de modifications au dossier de la consultation, INRAE en informera, tous les candidats dans des conditions respectueuses du principe d’égalité de traitement des candidats et dans les conditions prévues par le présent règlement de la consultation.</w:t>
      </w:r>
    </w:p>
    <w:p w14:paraId="585C391C" w14:textId="77777777" w:rsidR="005079BA" w:rsidRDefault="005079BA" w:rsidP="005079BA">
      <w:r>
        <w:t>Les candidats devront alors répondre sur la base des documents modifiés sans pouvoir élever aucune réclamation à ce sujet.</w:t>
      </w:r>
    </w:p>
    <w:p w14:paraId="6507C1B0" w14:textId="77777777" w:rsidR="005079BA" w:rsidRDefault="005079BA" w:rsidP="005079BA">
      <w:r>
        <w:lastRenderedPageBreak/>
        <w:t>Si la date limite fixée pour la remise des offres est reportée, la disposition précédente est applicable en fonction d’une nouvelle date.</w:t>
      </w:r>
    </w:p>
    <w:p w14:paraId="759E5799" w14:textId="77777777" w:rsidR="005079BA" w:rsidRDefault="005079BA" w:rsidP="005079BA">
      <w:r>
        <w:t>Les candidats ne sont pas autorisés à apporter eux-mêmes de modification ou de compléments aux documents de la consultation.</w:t>
      </w:r>
    </w:p>
    <w:p w14:paraId="17524E8F" w14:textId="6163E9E7" w:rsidR="009C3F5C" w:rsidRDefault="005079BA" w:rsidP="005079BA">
      <w:pPr>
        <w:pStyle w:val="Titre1"/>
        <w:rPr>
          <w:lang w:eastAsia="fr-FR"/>
        </w:rPr>
      </w:pPr>
      <w:bookmarkStart w:id="26" w:name="_Toc201851399"/>
      <w:r>
        <w:rPr>
          <w:lang w:eastAsia="fr-FR"/>
        </w:rPr>
        <w:t>Modalités de communication entre INRAE et les candidats</w:t>
      </w:r>
      <w:bookmarkEnd w:id="26"/>
      <w:r>
        <w:rPr>
          <w:lang w:eastAsia="fr-FR"/>
        </w:rPr>
        <w:t xml:space="preserve"> </w:t>
      </w:r>
    </w:p>
    <w:p w14:paraId="55F6F369" w14:textId="5C07242A" w:rsidR="009C3F5C" w:rsidRDefault="005079BA" w:rsidP="005079BA">
      <w:pPr>
        <w:pStyle w:val="Titre2"/>
        <w:rPr>
          <w:lang w:eastAsia="fr-FR"/>
        </w:rPr>
      </w:pPr>
      <w:bookmarkStart w:id="27" w:name="_Toc201851400"/>
      <w:r>
        <w:rPr>
          <w:lang w:eastAsia="fr-FR"/>
        </w:rPr>
        <w:t>Langue</w:t>
      </w:r>
      <w:bookmarkEnd w:id="27"/>
      <w:r>
        <w:rPr>
          <w:lang w:eastAsia="fr-FR"/>
        </w:rPr>
        <w:t xml:space="preserve"> </w:t>
      </w:r>
    </w:p>
    <w:p w14:paraId="1B368D6E" w14:textId="77777777" w:rsidR="005079BA" w:rsidRDefault="005079BA" w:rsidP="005079BA">
      <w:r>
        <w:t>Les correspondances, réunions et discussions relatives à la présente consultation et à l’exécution du marché se déroulent en langue française.</w:t>
      </w:r>
    </w:p>
    <w:p w14:paraId="16DC874F" w14:textId="77777777" w:rsidR="005079BA" w:rsidRDefault="005079BA" w:rsidP="005079BA">
      <w:r>
        <w:t>Le mémoire technique produit par le candidat sera rédigé en langue française. Le français sera également la langue d’exécution du marché. Les personnes qui dans le cadre de ce marché seront en contact avec INRAE devront avoir une parfaite maitrise de la langue française.</w:t>
      </w:r>
    </w:p>
    <w:p w14:paraId="253FAD14" w14:textId="77777777" w:rsidR="005079BA" w:rsidRPr="003C2E9F" w:rsidRDefault="005079BA" w:rsidP="005079BA">
      <w:r>
        <w:t>Dans l'hypothèse où le candidat étranger produit un document constituant, accompagnant ou émanant d'une administration de son pays d'origine, ce document devra être accompagné d'une traduction en langue française dont le candidat est réputé attester de l'exactitude et de la conformité avec l'original.</w:t>
      </w:r>
    </w:p>
    <w:p w14:paraId="2C4CE73C" w14:textId="77777777" w:rsidR="005079BA" w:rsidRDefault="005079BA" w:rsidP="005079BA">
      <w:pPr>
        <w:pStyle w:val="Titre2"/>
      </w:pPr>
      <w:bookmarkStart w:id="28" w:name="_Toc201851401"/>
      <w:r w:rsidRPr="005079BA">
        <w:t>Echanges</w:t>
      </w:r>
      <w:r>
        <w:t xml:space="preserve"> électroniques</w:t>
      </w:r>
      <w:bookmarkEnd w:id="28"/>
      <w:r>
        <w:tab/>
      </w:r>
    </w:p>
    <w:p w14:paraId="1D4FAF4F" w14:textId="77777777" w:rsidR="005079BA" w:rsidRDefault="005079BA" w:rsidP="005079BA">
      <w:r>
        <w:t>Conformément à l’article R.2132-7 du Code de la commande publique, toutes les communications et tous les échanges d’information entre INRAE et les candidats dans le cadre de cette consultation ont lieu par voie électronique.</w:t>
      </w:r>
    </w:p>
    <w:p w14:paraId="15051A41" w14:textId="77777777" w:rsidR="005079BA" w:rsidRDefault="005079BA" w:rsidP="005079BA">
      <w:r>
        <w:t>INRAE entend utiliser la plateforme de dématérialisation pour mettre à disposition des candidats les documents de la consultation, pour informer les candidats d'éventuelles modifications ou ajouts aux documents de la consultation, pour répondre aux questions qui lui seront posées, et pour échanger avec les candidats dans le cadre de toute la procédure de passation du marché.</w:t>
      </w:r>
    </w:p>
    <w:p w14:paraId="7FCCFE0F" w14:textId="77777777" w:rsidR="005079BA" w:rsidRDefault="005079BA" w:rsidP="005079BA">
      <w:r>
        <w:t>INRAE attire l’attention des candidats sur le fait que seule l'identification des candidats lors du téléchargement du dossier de la consultation permet d'être tenu informé automatiquement des modifications et des précisions éventuellement apportées aux documents de la consultation, et de déposer une réponse.</w:t>
      </w:r>
    </w:p>
    <w:p w14:paraId="763B8C78" w14:textId="77777777" w:rsidR="005079BA" w:rsidRDefault="005079BA" w:rsidP="005079BA">
      <w:r>
        <w:t>INRAE décline donc toute responsabilité pour le cas où un candidat non inscrit n'aurait pas eu connaissance d'une modification, quand bien même cette méconnaissance aboutirait au rejet de son offre.</w:t>
      </w:r>
    </w:p>
    <w:p w14:paraId="6AD88DDB" w14:textId="77777777" w:rsidR="005079BA" w:rsidRDefault="005079BA" w:rsidP="005079BA">
      <w:pPr>
        <w:pStyle w:val="Titre1"/>
      </w:pPr>
      <w:bookmarkStart w:id="29" w:name="_Toc201851402"/>
      <w:r>
        <w:rPr>
          <w:lang w:eastAsia="fr-FR"/>
        </w:rPr>
        <w:t>Visites des locaux par les candidats</w:t>
      </w:r>
      <w:bookmarkEnd w:id="29"/>
      <w:r>
        <w:rPr>
          <w:lang w:eastAsia="fr-FR"/>
        </w:rPr>
        <w:tab/>
      </w:r>
      <w:r>
        <w:t xml:space="preserve"> </w:t>
      </w:r>
    </w:p>
    <w:p w14:paraId="3C52749B" w14:textId="15C82D48" w:rsidR="00EF32A3" w:rsidRDefault="005079BA" w:rsidP="005079BA">
      <w:r w:rsidRPr="007A53D2">
        <w:t>La visite des locaux n’est pas prévue dans le cadre de la présente consultation.</w:t>
      </w:r>
    </w:p>
    <w:p w14:paraId="2DE8427C" w14:textId="77777777" w:rsidR="005079BA" w:rsidRDefault="005079BA" w:rsidP="005079BA">
      <w:pPr>
        <w:pStyle w:val="Titre1"/>
      </w:pPr>
      <w:bookmarkStart w:id="30" w:name="_Toc201851403"/>
      <w:r>
        <w:t>Groupement d’entreprises</w:t>
      </w:r>
      <w:bookmarkEnd w:id="30"/>
      <w:r>
        <w:tab/>
      </w:r>
    </w:p>
    <w:p w14:paraId="424B551B" w14:textId="77777777" w:rsidR="005079BA" w:rsidRDefault="005079BA" w:rsidP="005079BA">
      <w:r>
        <w:t>Dans le cadre du présent appel d’offres, les candidats peuvent se présenter individuellement ou sous forme de groupement, conformément à l’article R.2142-19 du Code de la commande publique.</w:t>
      </w:r>
    </w:p>
    <w:p w14:paraId="5F0CC047" w14:textId="77777777" w:rsidR="005079BA" w:rsidRDefault="005079BA" w:rsidP="005079BA">
      <w:r>
        <w:t>En application des dispositions des articles R.2142-20 du Code de la commande publique, les candidats peuvent présenter leur offre sous forme de groupement :</w:t>
      </w:r>
    </w:p>
    <w:p w14:paraId="07394AF9" w14:textId="77777777" w:rsidR="005079BA" w:rsidRDefault="005079BA" w:rsidP="00846602">
      <w:pPr>
        <w:pStyle w:val="Paragraphedeliste"/>
        <w:numPr>
          <w:ilvl w:val="0"/>
          <w:numId w:val="10"/>
        </w:numPr>
        <w:spacing w:line="276" w:lineRule="auto"/>
        <w:contextualSpacing/>
      </w:pPr>
      <w:r>
        <w:t>Soit solidaire (lorsque chaque membre du groupement est engagé pour la totalité du marché) ;</w:t>
      </w:r>
    </w:p>
    <w:p w14:paraId="3BFDEA81" w14:textId="77777777" w:rsidR="005079BA" w:rsidRDefault="005079BA" w:rsidP="00846602">
      <w:pPr>
        <w:pStyle w:val="Paragraphedeliste"/>
        <w:numPr>
          <w:ilvl w:val="0"/>
          <w:numId w:val="10"/>
        </w:numPr>
        <w:spacing w:line="276" w:lineRule="auto"/>
        <w:contextualSpacing/>
      </w:pPr>
      <w:r>
        <w:t>Soit conjoint (lorsque chaque membre du groupement s’engage à exécuter les prestations susceptibles de lui être confiées dans le marché).</w:t>
      </w:r>
    </w:p>
    <w:p w14:paraId="171A2B9C" w14:textId="77777777" w:rsidR="005079BA" w:rsidRDefault="005079BA" w:rsidP="005079BA">
      <w:r>
        <w:t xml:space="preserve">Dans les deux formes de groupement, l’un des membres, désigné dans l’Acte d’Engagement comme mandataire, représente l’ensemble des membres du groupement et en coordonne les prestations. Le groupement décide dans l’Acte d’Engagement si le paiement doit être assuré au mandataire uniquement ou s’il est réparti entre les membres du </w:t>
      </w:r>
      <w:r>
        <w:lastRenderedPageBreak/>
        <w:t>groupement. Pour ce dernier cas, l’Acte d’Engagement doit en préciser clairement la répartition entre les membres du groupement.</w:t>
      </w:r>
    </w:p>
    <w:p w14:paraId="6207C3DB" w14:textId="77777777" w:rsidR="005079BA" w:rsidRDefault="005079BA" w:rsidP="005079BA"/>
    <w:p w14:paraId="5EF18DA3" w14:textId="77777777" w:rsidR="005079BA" w:rsidRDefault="005079BA" w:rsidP="005079BA">
      <w:r>
        <w:t>L’entreprise mandataire pour un groupement ne peut être mandataire de plus d’un groupement pour cet appel d’offres.</w:t>
      </w:r>
    </w:p>
    <w:p w14:paraId="73D38153" w14:textId="77777777" w:rsidR="005079BA" w:rsidRDefault="005079BA" w:rsidP="005079BA">
      <w:r>
        <w:t>Dans le marché, la terminologie « Le Titulaire » désigne le groupement en cas de réponse groupée.</w:t>
      </w:r>
    </w:p>
    <w:p w14:paraId="14154890" w14:textId="77777777" w:rsidR="005079BA" w:rsidRDefault="005079BA" w:rsidP="005079BA">
      <w:r>
        <w:t>Enfin l’attention des soumissionnaires est attirée sur le fait que la forme groupée (cotraitance), n’est juridiquement pas de la sous-traitance. Aucun acte de sous-traitance n’a à être rempli en cas de groupement, sauf si l’un ou plusieurs membres du groupement désirent sous-traiter une partie de leur prestation.</w:t>
      </w:r>
    </w:p>
    <w:p w14:paraId="0F8D7616" w14:textId="77777777" w:rsidR="005079BA" w:rsidRDefault="005079BA" w:rsidP="005079BA">
      <w:r>
        <w:t>En cas de groupement, le mandataire doit justifier des habilitations nécessaires pour représenter les autres membres du groupement.</w:t>
      </w:r>
    </w:p>
    <w:p w14:paraId="40F7DF31" w14:textId="77777777" w:rsidR="005079BA" w:rsidRDefault="005079BA" w:rsidP="005079BA">
      <w:r>
        <w:t>Un même opérateur économique ne peut pas être mandataire de plus d'un groupement pour une même procédure.</w:t>
      </w:r>
    </w:p>
    <w:p w14:paraId="003A334C" w14:textId="77777777" w:rsidR="005079BA" w:rsidRDefault="005079BA" w:rsidP="005079BA">
      <w:r>
        <w:t>Les candidats sont en outre informés que :</w:t>
      </w:r>
    </w:p>
    <w:p w14:paraId="53CE8B94" w14:textId="77777777" w:rsidR="005079BA" w:rsidRDefault="005079BA" w:rsidP="00846602">
      <w:pPr>
        <w:pStyle w:val="Paragraphedeliste"/>
        <w:numPr>
          <w:ilvl w:val="0"/>
          <w:numId w:val="9"/>
        </w:numPr>
        <w:spacing w:line="276" w:lineRule="auto"/>
        <w:contextualSpacing/>
      </w:pPr>
      <w:r>
        <w:t>Il leur est interdit de présenter pour le présent marché plusieurs offres en agissant à la fois en qualité de candidats individuels et de membres d'un ou plusieurs groupements ;</w:t>
      </w:r>
    </w:p>
    <w:p w14:paraId="35CD839C" w14:textId="77777777" w:rsidR="005079BA" w:rsidRDefault="005079BA" w:rsidP="00846602">
      <w:pPr>
        <w:pStyle w:val="Paragraphedeliste"/>
        <w:numPr>
          <w:ilvl w:val="0"/>
          <w:numId w:val="9"/>
        </w:numPr>
        <w:spacing w:line="276" w:lineRule="auto"/>
        <w:contextualSpacing/>
      </w:pPr>
      <w:r>
        <w:t>Il leur est interdit de présenter pour le présent marché plusieurs offres en agissant en qualité de membre de plusieurs groupements.</w:t>
      </w:r>
    </w:p>
    <w:p w14:paraId="283ECD8B" w14:textId="77777777" w:rsidR="005079BA" w:rsidRDefault="005079BA" w:rsidP="005079BA">
      <w:r>
        <w:t>La composition du groupement ne peut être modifiée entre la date de remise des offres et la date de signature du marché.</w:t>
      </w:r>
    </w:p>
    <w:p w14:paraId="051984FA" w14:textId="3B7DE312" w:rsidR="005079BA" w:rsidRDefault="005079BA" w:rsidP="005079BA">
      <w:r>
        <w:t>Toutefois, si le groupement apporte la preuve qu'un de ses membres est mis en liquidation judiciaire ou qu'il se trouve dans l'impossibilité d'accomplir sa tâche pour des raisons qui ne sont pas de son fait, il peut demander au pouvoir adjudicateur l'autorisation de continuer à participer à la procédure de passation sans cet opérateur défaillant, en proposant le cas échéant à l'acceptation du pouvoir adjudicateur un ou plusieurs sous-traitants. Le pouvoir adjudicateur se prononce sur cette demande après examen de la capacité professionnelle, technique et financière de l'ensemble des membres du groupement ainsi transformé et, le cas échéant, des sous-traitants présentés à son acceptation.</w:t>
      </w:r>
    </w:p>
    <w:p w14:paraId="062DFD28" w14:textId="77777777" w:rsidR="005079BA" w:rsidRDefault="005079BA" w:rsidP="005079BA">
      <w:pPr>
        <w:pStyle w:val="Titre1"/>
      </w:pPr>
      <w:bookmarkStart w:id="31" w:name="_Toc201851404"/>
      <w:r>
        <w:t>Sous-traitance</w:t>
      </w:r>
      <w:bookmarkEnd w:id="31"/>
      <w:r>
        <w:tab/>
      </w:r>
    </w:p>
    <w:p w14:paraId="2D5589ED" w14:textId="77777777" w:rsidR="005079BA" w:rsidRDefault="005079BA" w:rsidP="005079BA">
      <w:r>
        <w:t>Lorsque le candidat souhaite que soient également prises en compte les capacités professionnelles, techniques et financières d'autres opérateurs économiques, notamment en cas de sous-traitance, il justifie des capacités de ce ou ces opérateurs économiques et apporte la preuve qu'il en disposera pour l'exécution du marché ou de l’accord cadre.</w:t>
      </w:r>
    </w:p>
    <w:p w14:paraId="1B436C60" w14:textId="44434641" w:rsidR="005079BA" w:rsidRPr="00862892" w:rsidRDefault="005079BA" w:rsidP="005079BA">
      <w:r>
        <w:t xml:space="preserve">Il est donc fortement recommandé au candidat de déclarer les sous-traitants dans le cadre de la présentation de sa candidature (se reporter à </w:t>
      </w:r>
      <w:r w:rsidRPr="005274F6">
        <w:t>l’article 16.1 du présent règlement).</w:t>
      </w:r>
    </w:p>
    <w:p w14:paraId="7571636E" w14:textId="77777777" w:rsidR="005079BA" w:rsidRPr="00273838" w:rsidRDefault="005079BA" w:rsidP="005079BA">
      <w:pPr>
        <w:pStyle w:val="Titre1"/>
      </w:pPr>
      <w:bookmarkStart w:id="32" w:name="_Toc201851405"/>
      <w:r w:rsidRPr="00273838">
        <w:t>Avance</w:t>
      </w:r>
      <w:bookmarkEnd w:id="32"/>
      <w:r w:rsidRPr="00273838">
        <w:tab/>
      </w:r>
    </w:p>
    <w:p w14:paraId="5EB350B3" w14:textId="77777777" w:rsidR="00AE5AE4" w:rsidRPr="00AE5AE4" w:rsidRDefault="00AE5AE4" w:rsidP="00AE5AE4">
      <w:pPr>
        <w:pStyle w:val="NormalWeb"/>
      </w:pPr>
      <w:bookmarkStart w:id="33" w:name="_Toc201851406"/>
      <w:r w:rsidRPr="00AE5AE4">
        <w:t>Sauf renonciation expresse du titulaire indiquée dans l’acte d’engagement et en application de l’option B de l’article 11.1 du CCAG-FCS, une avance de 5% du montant de la prestation est accordée au titulaire, dans les conditions de l’article R2191-16 et suivants du Code de la Commande Publique. Elle s’applique à tout bon de commande d’un montant supérieur à 50 000 € HT et d’une durée d’exécution supérieure à deux mois.</w:t>
      </w:r>
    </w:p>
    <w:p w14:paraId="5A5EFB12" w14:textId="202BBBF8" w:rsidR="002C48F2" w:rsidRDefault="00AE5AE4" w:rsidP="00AE5AE4">
      <w:pPr>
        <w:pStyle w:val="Titre1"/>
      </w:pPr>
      <w:r>
        <w:rPr>
          <w:rFonts w:ascii="Segoe UI" w:hAnsi="Segoe UI" w:cs="Segoe UI"/>
          <w:sz w:val="21"/>
          <w:szCs w:val="21"/>
        </w:rPr>
        <w:t> </w:t>
      </w:r>
      <w:r w:rsidR="002C48F2">
        <w:t>Modalités et critères d’attribution</w:t>
      </w:r>
      <w:bookmarkEnd w:id="33"/>
      <w:r w:rsidR="002C48F2">
        <w:tab/>
      </w:r>
    </w:p>
    <w:p w14:paraId="08D2C50C" w14:textId="47BE7F6F" w:rsidR="002C48F2" w:rsidRDefault="002C48F2" w:rsidP="002C48F2">
      <w:pPr>
        <w:pStyle w:val="Titre2"/>
      </w:pPr>
      <w:bookmarkStart w:id="34" w:name="_Toc201851407"/>
      <w:r>
        <w:t>Examen des candidatures</w:t>
      </w:r>
      <w:bookmarkEnd w:id="34"/>
      <w:r>
        <w:tab/>
      </w:r>
    </w:p>
    <w:p w14:paraId="18DE193B" w14:textId="77777777" w:rsidR="002C48F2" w:rsidRPr="00874734" w:rsidRDefault="002C48F2" w:rsidP="002C48F2">
      <w:pPr>
        <w:rPr>
          <w:bCs/>
        </w:rPr>
      </w:pPr>
      <w:r w:rsidRPr="006573E4">
        <w:t>Conformément aux dispositions de l'article R</w:t>
      </w:r>
      <w:r>
        <w:t>.</w:t>
      </w:r>
      <w:r w:rsidRPr="006573E4">
        <w:t>2144-3 d</w:t>
      </w:r>
      <w:r>
        <w:rPr>
          <w:bCs/>
        </w:rPr>
        <w:t>u Code de la commande p</w:t>
      </w:r>
      <w:r w:rsidRPr="006573E4">
        <w:rPr>
          <w:bCs/>
        </w:rPr>
        <w:t>ublique</w:t>
      </w:r>
      <w:r w:rsidRPr="006573E4">
        <w:t>, l'examen des candidatures portera sur</w:t>
      </w:r>
      <w:r w:rsidRPr="006573E4">
        <w:rPr>
          <w:b/>
        </w:rPr>
        <w:t xml:space="preserve"> les capacités professionnelles, techniques et financières du candidat.</w:t>
      </w:r>
      <w:r>
        <w:rPr>
          <w:b/>
        </w:rPr>
        <w:t xml:space="preserve"> </w:t>
      </w:r>
      <w:r w:rsidRPr="00874734">
        <w:t>Les pièces de candidatures analysées sont précisées à l’article « Présentation de la candidature ».</w:t>
      </w:r>
    </w:p>
    <w:p w14:paraId="1B7AA4EF" w14:textId="77777777" w:rsidR="002C48F2" w:rsidRPr="006573E4" w:rsidRDefault="002C48F2" w:rsidP="002C48F2">
      <w:pPr>
        <w:rPr>
          <w:rFonts w:eastAsia="Calibri"/>
        </w:rPr>
      </w:pPr>
      <w:r w:rsidRPr="006573E4">
        <w:rPr>
          <w:rFonts w:eastAsia="Calibri"/>
        </w:rPr>
        <w:lastRenderedPageBreak/>
        <w:t>Suite</w:t>
      </w:r>
      <w:r>
        <w:rPr>
          <w:rFonts w:eastAsia="Calibri"/>
        </w:rPr>
        <w:t xml:space="preserve"> à cette analyse, sont éliminés : </w:t>
      </w:r>
    </w:p>
    <w:p w14:paraId="4B1616A7" w14:textId="77777777" w:rsidR="002C48F2" w:rsidRDefault="002C48F2" w:rsidP="00846602">
      <w:pPr>
        <w:pStyle w:val="Paragraphedeliste"/>
        <w:numPr>
          <w:ilvl w:val="0"/>
          <w:numId w:val="3"/>
        </w:numPr>
        <w:spacing w:line="276" w:lineRule="auto"/>
        <w:contextualSpacing/>
        <w:rPr>
          <w:rFonts w:eastAsia="Calibri"/>
        </w:rPr>
      </w:pPr>
      <w:r>
        <w:rPr>
          <w:rFonts w:eastAsia="Calibri"/>
        </w:rPr>
        <w:t>L</w:t>
      </w:r>
      <w:r w:rsidRPr="0080568E">
        <w:rPr>
          <w:rFonts w:eastAsia="Calibri"/>
        </w:rPr>
        <w:t>es candidatures qui ne sont pas recevables ;</w:t>
      </w:r>
    </w:p>
    <w:p w14:paraId="296FD67E" w14:textId="77777777" w:rsidR="002C48F2" w:rsidRPr="00874734" w:rsidRDefault="002C48F2" w:rsidP="00846602">
      <w:pPr>
        <w:pStyle w:val="Paragraphedeliste"/>
        <w:numPr>
          <w:ilvl w:val="0"/>
          <w:numId w:val="3"/>
        </w:numPr>
        <w:spacing w:line="276" w:lineRule="auto"/>
        <w:contextualSpacing/>
        <w:rPr>
          <w:rFonts w:eastAsia="Calibri"/>
        </w:rPr>
      </w:pPr>
      <w:r w:rsidRPr="008F6CAB">
        <w:rPr>
          <w:rFonts w:eastAsia="Calibri"/>
        </w:rPr>
        <w:t xml:space="preserve">Les candidats dont les capacités techniques, financières et professionnelles pour la réalisation des prestations du ou des marchés seront jugées insuffisantes, après analyse des éléments fournis </w:t>
      </w:r>
      <w:r>
        <w:rPr>
          <w:rFonts w:eastAsia="Calibri"/>
        </w:rPr>
        <w:t xml:space="preserve">dans le pli du candidat. </w:t>
      </w:r>
    </w:p>
    <w:p w14:paraId="089E6C15" w14:textId="4915B57C" w:rsidR="002C48F2" w:rsidRDefault="002C48F2" w:rsidP="002C48F2">
      <w:pPr>
        <w:pStyle w:val="Titre2"/>
      </w:pPr>
      <w:bookmarkStart w:id="35" w:name="_Toc201851408"/>
      <w:r>
        <w:t>Examen et critères de sélection des offres</w:t>
      </w:r>
      <w:bookmarkEnd w:id="35"/>
      <w:r>
        <w:tab/>
      </w:r>
    </w:p>
    <w:p w14:paraId="40A51F5F" w14:textId="77777777" w:rsidR="002C48F2" w:rsidRDefault="002C48F2" w:rsidP="002C48F2">
      <w:r>
        <w:t>L’attention des candidats est appelée sur le fait que les offres inappropriées, inacceptables ou irrégulières seront éliminées sans être classées.</w:t>
      </w:r>
    </w:p>
    <w:p w14:paraId="19B14CC4" w14:textId="77777777" w:rsidR="002C48F2" w:rsidRDefault="002C48F2" w:rsidP="002C48F2">
      <w:r>
        <w:t xml:space="preserve">Une </w:t>
      </w:r>
      <w:r w:rsidRPr="00F27EBA">
        <w:rPr>
          <w:b/>
        </w:rPr>
        <w:t>offre inappropriée</w:t>
      </w:r>
      <w:r>
        <w:t xml:space="preserve"> est une offre sans rapport avec le marché public parce qu'elle n'est manifestement pas en mesure, sans modification substantielle, de répondre au besoin et aux exigences de l'acheteur formulés dans les documents de la consultation.</w:t>
      </w:r>
    </w:p>
    <w:p w14:paraId="41DAB918" w14:textId="77777777" w:rsidR="002C48F2" w:rsidRDefault="002C48F2" w:rsidP="002C48F2">
      <w:r>
        <w:t xml:space="preserve">Une </w:t>
      </w:r>
      <w:r w:rsidRPr="00F27EBA">
        <w:rPr>
          <w:b/>
        </w:rPr>
        <w:t>offre inacceptable</w:t>
      </w:r>
      <w:r>
        <w:t xml:space="preserve"> est une offre dont le prix excède les crédits budgétaires alloués au marché public tels qu'ils ont été déterminés et établis avant le lancement de la procédure.</w:t>
      </w:r>
    </w:p>
    <w:p w14:paraId="7EFBA8E7" w14:textId="77777777" w:rsidR="002C48F2" w:rsidRDefault="002C48F2" w:rsidP="002C48F2">
      <w:r>
        <w:t xml:space="preserve">Une </w:t>
      </w:r>
      <w:r w:rsidRPr="00F27EBA">
        <w:rPr>
          <w:b/>
        </w:rPr>
        <w:t>offre irrégulière</w:t>
      </w:r>
      <w:r>
        <w:t xml:space="preserve"> est une offre qui ne respecte pas les exigences formulées dans les documents de la consultation notamment parce qu'elle est incomplète, ou qui méconnaît la législation applicable notamment en matière sociale et environnementale.</w:t>
      </w:r>
    </w:p>
    <w:p w14:paraId="178BA84C" w14:textId="77777777" w:rsidR="002C48F2" w:rsidRDefault="002C48F2" w:rsidP="002C48F2">
      <w:r>
        <w:t>Toutefois, INRAE peut décider d’autoriser tous les soumissionnaires concernés à régulariser les offres irrégulières dans un délai approprié, à condition qu’elles ne soient pas anormalement basses ou que la régularisation n’implique pas une modification substantielle de l’offre concernée.</w:t>
      </w:r>
    </w:p>
    <w:p w14:paraId="63C4212E" w14:textId="513119C7" w:rsidR="002C48F2" w:rsidRDefault="002C48F2" w:rsidP="002C48F2">
      <w:r>
        <w:t>INRAE procédera au classement des seules offres qui ne seront pas inappropriées, inacceptables ou irrégulières et attribuera le marché au soumissionnaire ayant remis l'offre jugée économiquement la plus avantageuse au regard des critères pondérés énumérés dans le tableau ci-après.</w:t>
      </w:r>
    </w:p>
    <w:p w14:paraId="0CC06BE1" w14:textId="77777777" w:rsidR="002C48F2" w:rsidRDefault="002C48F2" w:rsidP="002C48F2"/>
    <w:tbl>
      <w:tblPr>
        <w:tblW w:w="9360" w:type="dxa"/>
        <w:jc w:val="center"/>
        <w:tblCellMar>
          <w:top w:w="47" w:type="dxa"/>
          <w:right w:w="56" w:type="dxa"/>
        </w:tblCellMar>
        <w:tblLook w:val="04A0" w:firstRow="1" w:lastRow="0" w:firstColumn="1" w:lastColumn="0" w:noHBand="0" w:noVBand="1"/>
      </w:tblPr>
      <w:tblGrid>
        <w:gridCol w:w="2225"/>
        <w:gridCol w:w="595"/>
        <w:gridCol w:w="5406"/>
        <w:gridCol w:w="1134"/>
      </w:tblGrid>
      <w:tr w:rsidR="002C48F2" w:rsidRPr="00195F9A" w14:paraId="334DF7DD" w14:textId="77777777" w:rsidTr="005274F6">
        <w:trPr>
          <w:trHeight w:val="396"/>
          <w:jc w:val="center"/>
        </w:trPr>
        <w:tc>
          <w:tcPr>
            <w:tcW w:w="2820" w:type="dxa"/>
            <w:gridSpan w:val="2"/>
            <w:tcBorders>
              <w:top w:val="single" w:sz="12" w:space="0" w:color="auto"/>
              <w:left w:val="single" w:sz="12" w:space="0" w:color="auto"/>
              <w:bottom w:val="single" w:sz="18" w:space="0" w:color="auto"/>
              <w:right w:val="single" w:sz="4" w:space="0" w:color="000000"/>
            </w:tcBorders>
            <w:shd w:val="clear" w:color="auto" w:fill="BFBFBF"/>
          </w:tcPr>
          <w:p w14:paraId="7639DD0A" w14:textId="77777777" w:rsidR="002C48F2" w:rsidRPr="00195F9A" w:rsidRDefault="002C48F2" w:rsidP="00591245">
            <w:r w:rsidRPr="00195F9A">
              <w:t xml:space="preserve">Critères d’attribution pondérés </w:t>
            </w:r>
          </w:p>
        </w:tc>
        <w:tc>
          <w:tcPr>
            <w:tcW w:w="5406" w:type="dxa"/>
            <w:tcBorders>
              <w:top w:val="single" w:sz="12" w:space="0" w:color="auto"/>
              <w:left w:val="single" w:sz="4" w:space="0" w:color="000000"/>
              <w:bottom w:val="single" w:sz="18" w:space="0" w:color="auto"/>
              <w:right w:val="nil"/>
            </w:tcBorders>
            <w:shd w:val="clear" w:color="auto" w:fill="BFBFBF"/>
          </w:tcPr>
          <w:p w14:paraId="24E1C816" w14:textId="77777777" w:rsidR="002C48F2" w:rsidRPr="00195F9A" w:rsidRDefault="002C48F2" w:rsidP="00591245">
            <w:r w:rsidRPr="00195F9A">
              <w:t xml:space="preserve">Sous-critère d’attribution pondérés </w:t>
            </w:r>
          </w:p>
        </w:tc>
        <w:tc>
          <w:tcPr>
            <w:tcW w:w="1134" w:type="dxa"/>
            <w:tcBorders>
              <w:top w:val="single" w:sz="12" w:space="0" w:color="auto"/>
              <w:left w:val="nil"/>
              <w:bottom w:val="single" w:sz="18" w:space="0" w:color="auto"/>
              <w:right w:val="single" w:sz="12" w:space="0" w:color="auto"/>
            </w:tcBorders>
            <w:shd w:val="clear" w:color="auto" w:fill="BFBFBF"/>
          </w:tcPr>
          <w:p w14:paraId="04C5CCC9" w14:textId="77777777" w:rsidR="002C48F2" w:rsidRPr="00195F9A" w:rsidRDefault="002C48F2" w:rsidP="00591245"/>
        </w:tc>
      </w:tr>
      <w:tr w:rsidR="002C48F2" w:rsidRPr="004647B5" w14:paraId="2A6CF665" w14:textId="77777777" w:rsidTr="005274F6">
        <w:trPr>
          <w:trHeight w:val="673"/>
          <w:jc w:val="center"/>
        </w:trPr>
        <w:tc>
          <w:tcPr>
            <w:tcW w:w="2225" w:type="dxa"/>
            <w:vMerge w:val="restart"/>
            <w:tcBorders>
              <w:top w:val="single" w:sz="18" w:space="0" w:color="auto"/>
              <w:left w:val="single" w:sz="18" w:space="0" w:color="auto"/>
              <w:bottom w:val="single" w:sz="6" w:space="0" w:color="auto"/>
              <w:right w:val="single" w:sz="6" w:space="0" w:color="auto"/>
            </w:tcBorders>
            <w:vAlign w:val="center"/>
          </w:tcPr>
          <w:p w14:paraId="512A9FA4" w14:textId="77777777" w:rsidR="002C48F2" w:rsidRPr="004647B5" w:rsidRDefault="002C48F2" w:rsidP="00591245">
            <w:pPr>
              <w:jc w:val="left"/>
            </w:pPr>
            <w:r w:rsidRPr="004647B5">
              <w:t>Critère de la qualité technique de l’offre</w:t>
            </w:r>
          </w:p>
        </w:tc>
        <w:tc>
          <w:tcPr>
            <w:tcW w:w="595" w:type="dxa"/>
            <w:vMerge w:val="restart"/>
            <w:tcBorders>
              <w:top w:val="single" w:sz="18" w:space="0" w:color="auto"/>
              <w:left w:val="single" w:sz="6" w:space="0" w:color="auto"/>
              <w:bottom w:val="single" w:sz="6" w:space="0" w:color="auto"/>
              <w:right w:val="single" w:sz="6" w:space="0" w:color="auto"/>
            </w:tcBorders>
            <w:vAlign w:val="center"/>
          </w:tcPr>
          <w:p w14:paraId="6B3B45EB" w14:textId="77777777" w:rsidR="002C48F2" w:rsidRPr="004647B5" w:rsidRDefault="002C48F2" w:rsidP="00591245">
            <w:pPr>
              <w:jc w:val="center"/>
            </w:pPr>
            <w:r w:rsidRPr="004647B5">
              <w:t>60%</w:t>
            </w:r>
          </w:p>
        </w:tc>
        <w:tc>
          <w:tcPr>
            <w:tcW w:w="5406" w:type="dxa"/>
            <w:tcBorders>
              <w:top w:val="single" w:sz="18" w:space="0" w:color="auto"/>
              <w:left w:val="single" w:sz="6" w:space="0" w:color="auto"/>
              <w:bottom w:val="single" w:sz="6" w:space="0" w:color="auto"/>
              <w:right w:val="single" w:sz="6" w:space="0" w:color="auto"/>
            </w:tcBorders>
            <w:vAlign w:val="center"/>
          </w:tcPr>
          <w:p w14:paraId="2399BFD9" w14:textId="58525707" w:rsidR="002C48F2" w:rsidRDefault="00273838" w:rsidP="00F856A3">
            <w:pPr>
              <w:jc w:val="left"/>
            </w:pPr>
            <w:r>
              <w:t xml:space="preserve">Outillage des prestations </w:t>
            </w:r>
          </w:p>
        </w:tc>
        <w:tc>
          <w:tcPr>
            <w:tcW w:w="1134" w:type="dxa"/>
            <w:tcBorders>
              <w:top w:val="single" w:sz="18" w:space="0" w:color="auto"/>
              <w:left w:val="single" w:sz="6" w:space="0" w:color="auto"/>
              <w:bottom w:val="single" w:sz="6" w:space="0" w:color="auto"/>
              <w:right w:val="single" w:sz="18" w:space="0" w:color="auto"/>
            </w:tcBorders>
            <w:vAlign w:val="center"/>
          </w:tcPr>
          <w:p w14:paraId="5C61AE6A" w14:textId="77777777" w:rsidR="002C48F2" w:rsidRPr="002C48F2" w:rsidRDefault="002C48F2" w:rsidP="00591245">
            <w:pPr>
              <w:jc w:val="center"/>
              <w:rPr>
                <w:color w:val="FF0000"/>
              </w:rPr>
            </w:pPr>
            <w:r w:rsidRPr="00273838">
              <w:t>30%</w:t>
            </w:r>
          </w:p>
        </w:tc>
      </w:tr>
      <w:tr w:rsidR="002C48F2" w:rsidRPr="004647B5" w14:paraId="3D41CA59" w14:textId="77777777" w:rsidTr="005274F6">
        <w:trPr>
          <w:trHeight w:val="642"/>
          <w:jc w:val="center"/>
        </w:trPr>
        <w:tc>
          <w:tcPr>
            <w:tcW w:w="2225" w:type="dxa"/>
            <w:vMerge/>
            <w:tcBorders>
              <w:top w:val="single" w:sz="6" w:space="0" w:color="auto"/>
              <w:left w:val="single" w:sz="18" w:space="0" w:color="auto"/>
              <w:bottom w:val="single" w:sz="6" w:space="0" w:color="auto"/>
              <w:right w:val="single" w:sz="6" w:space="0" w:color="auto"/>
            </w:tcBorders>
            <w:vAlign w:val="center"/>
          </w:tcPr>
          <w:p w14:paraId="31354B06" w14:textId="77777777" w:rsidR="002C48F2" w:rsidRPr="004647B5" w:rsidRDefault="002C48F2" w:rsidP="00591245">
            <w:pPr>
              <w:jc w:val="left"/>
            </w:pPr>
            <w:bookmarkStart w:id="36" w:name="_Hlk174437889"/>
          </w:p>
        </w:tc>
        <w:tc>
          <w:tcPr>
            <w:tcW w:w="595" w:type="dxa"/>
            <w:vMerge/>
            <w:tcBorders>
              <w:top w:val="single" w:sz="6" w:space="0" w:color="auto"/>
              <w:left w:val="single" w:sz="6" w:space="0" w:color="auto"/>
              <w:bottom w:val="single" w:sz="6" w:space="0" w:color="auto"/>
              <w:right w:val="single" w:sz="6" w:space="0" w:color="auto"/>
            </w:tcBorders>
            <w:vAlign w:val="center"/>
          </w:tcPr>
          <w:p w14:paraId="648BDFD9" w14:textId="77777777" w:rsidR="002C48F2" w:rsidRPr="004647B5" w:rsidRDefault="002C48F2" w:rsidP="00591245">
            <w:pPr>
              <w:jc w:val="center"/>
            </w:pPr>
          </w:p>
        </w:tc>
        <w:tc>
          <w:tcPr>
            <w:tcW w:w="5406" w:type="dxa"/>
            <w:tcBorders>
              <w:top w:val="single" w:sz="6" w:space="0" w:color="auto"/>
              <w:left w:val="single" w:sz="6" w:space="0" w:color="auto"/>
              <w:bottom w:val="single" w:sz="6" w:space="0" w:color="auto"/>
              <w:right w:val="single" w:sz="6" w:space="0" w:color="auto"/>
            </w:tcBorders>
            <w:vAlign w:val="center"/>
          </w:tcPr>
          <w:p w14:paraId="65176A49" w14:textId="7543E369" w:rsidR="002C48F2" w:rsidRPr="0050274F" w:rsidRDefault="002C48F2" w:rsidP="00591245">
            <w:pPr>
              <w:jc w:val="left"/>
              <w:rPr>
                <w:highlight w:val="yellow"/>
              </w:rPr>
            </w:pPr>
            <w:bookmarkStart w:id="37" w:name="_Hlk174441745"/>
            <w:r>
              <w:t xml:space="preserve">Contrat de service  </w:t>
            </w:r>
            <w:bookmarkEnd w:id="37"/>
          </w:p>
        </w:tc>
        <w:tc>
          <w:tcPr>
            <w:tcW w:w="1134" w:type="dxa"/>
            <w:tcBorders>
              <w:top w:val="single" w:sz="6" w:space="0" w:color="auto"/>
              <w:left w:val="single" w:sz="6" w:space="0" w:color="auto"/>
              <w:bottom w:val="single" w:sz="6" w:space="0" w:color="auto"/>
              <w:right w:val="single" w:sz="18" w:space="0" w:color="auto"/>
            </w:tcBorders>
            <w:vAlign w:val="center"/>
          </w:tcPr>
          <w:p w14:paraId="4E556648" w14:textId="77777777" w:rsidR="002C48F2" w:rsidRPr="002C48F2" w:rsidRDefault="002C48F2" w:rsidP="00591245">
            <w:pPr>
              <w:jc w:val="center"/>
              <w:rPr>
                <w:color w:val="FF0000"/>
              </w:rPr>
            </w:pPr>
            <w:r w:rsidRPr="00273838">
              <w:t>30%</w:t>
            </w:r>
          </w:p>
        </w:tc>
      </w:tr>
      <w:bookmarkEnd w:id="36"/>
      <w:tr w:rsidR="002C48F2" w:rsidRPr="00195F9A" w14:paraId="7609F2AB" w14:textId="77777777" w:rsidTr="005274F6">
        <w:trPr>
          <w:trHeight w:val="373"/>
          <w:jc w:val="center"/>
        </w:trPr>
        <w:tc>
          <w:tcPr>
            <w:tcW w:w="2225" w:type="dxa"/>
            <w:vMerge/>
            <w:tcBorders>
              <w:top w:val="single" w:sz="6" w:space="0" w:color="auto"/>
              <w:left w:val="single" w:sz="18" w:space="0" w:color="auto"/>
              <w:bottom w:val="single" w:sz="6" w:space="0" w:color="auto"/>
              <w:right w:val="single" w:sz="6" w:space="0" w:color="auto"/>
            </w:tcBorders>
            <w:vAlign w:val="center"/>
          </w:tcPr>
          <w:p w14:paraId="1FFC8B48" w14:textId="77777777" w:rsidR="002C48F2" w:rsidRPr="004647B5" w:rsidRDefault="002C48F2" w:rsidP="00591245">
            <w:pPr>
              <w:jc w:val="left"/>
            </w:pPr>
          </w:p>
        </w:tc>
        <w:tc>
          <w:tcPr>
            <w:tcW w:w="0" w:type="auto"/>
            <w:vMerge/>
            <w:tcBorders>
              <w:top w:val="single" w:sz="6" w:space="0" w:color="auto"/>
              <w:left w:val="single" w:sz="6" w:space="0" w:color="auto"/>
              <w:bottom w:val="single" w:sz="6" w:space="0" w:color="auto"/>
              <w:right w:val="single" w:sz="6" w:space="0" w:color="auto"/>
            </w:tcBorders>
            <w:vAlign w:val="center"/>
          </w:tcPr>
          <w:p w14:paraId="3677FF8E" w14:textId="77777777" w:rsidR="002C48F2" w:rsidRPr="004647B5" w:rsidRDefault="002C48F2" w:rsidP="00591245">
            <w:pPr>
              <w:jc w:val="center"/>
            </w:pPr>
          </w:p>
        </w:tc>
        <w:tc>
          <w:tcPr>
            <w:tcW w:w="5406" w:type="dxa"/>
            <w:tcBorders>
              <w:top w:val="single" w:sz="6" w:space="0" w:color="auto"/>
              <w:left w:val="single" w:sz="6" w:space="0" w:color="auto"/>
              <w:bottom w:val="single" w:sz="6" w:space="0" w:color="auto"/>
              <w:right w:val="single" w:sz="6" w:space="0" w:color="auto"/>
            </w:tcBorders>
            <w:vAlign w:val="center"/>
          </w:tcPr>
          <w:p w14:paraId="3493BF7B" w14:textId="47597D41" w:rsidR="002C48F2" w:rsidRPr="0009389F" w:rsidRDefault="002C48F2" w:rsidP="00591245">
            <w:pPr>
              <w:jc w:val="left"/>
            </w:pPr>
            <w:r>
              <w:t xml:space="preserve">Gestion de projet et pilotage </w:t>
            </w:r>
          </w:p>
        </w:tc>
        <w:tc>
          <w:tcPr>
            <w:tcW w:w="1134" w:type="dxa"/>
            <w:tcBorders>
              <w:top w:val="single" w:sz="6" w:space="0" w:color="auto"/>
              <w:left w:val="single" w:sz="6" w:space="0" w:color="auto"/>
              <w:bottom w:val="single" w:sz="6" w:space="0" w:color="auto"/>
              <w:right w:val="single" w:sz="18" w:space="0" w:color="auto"/>
            </w:tcBorders>
            <w:vAlign w:val="center"/>
          </w:tcPr>
          <w:p w14:paraId="2325A3CF" w14:textId="73E2866C" w:rsidR="002C48F2" w:rsidRPr="002C48F2" w:rsidRDefault="002C48F2" w:rsidP="00591245">
            <w:pPr>
              <w:jc w:val="center"/>
              <w:rPr>
                <w:color w:val="FF0000"/>
              </w:rPr>
            </w:pPr>
            <w:r w:rsidRPr="00273838">
              <w:t>40%</w:t>
            </w:r>
          </w:p>
        </w:tc>
      </w:tr>
      <w:tr w:rsidR="005274F6" w:rsidRPr="00195F9A" w14:paraId="39087A52" w14:textId="77777777" w:rsidTr="00352F45">
        <w:trPr>
          <w:trHeight w:val="204"/>
          <w:jc w:val="center"/>
        </w:trPr>
        <w:tc>
          <w:tcPr>
            <w:tcW w:w="2225" w:type="dxa"/>
            <w:vMerge w:val="restart"/>
            <w:tcBorders>
              <w:top w:val="single" w:sz="18" w:space="0" w:color="auto"/>
              <w:left w:val="single" w:sz="12" w:space="0" w:color="auto"/>
              <w:right w:val="nil"/>
            </w:tcBorders>
            <w:vAlign w:val="center"/>
          </w:tcPr>
          <w:p w14:paraId="72350542" w14:textId="77777777" w:rsidR="005274F6" w:rsidRPr="004647B5" w:rsidRDefault="005274F6" w:rsidP="00591245">
            <w:pPr>
              <w:jc w:val="left"/>
            </w:pPr>
            <w:r>
              <w:t>Critère RSE</w:t>
            </w:r>
          </w:p>
        </w:tc>
        <w:tc>
          <w:tcPr>
            <w:tcW w:w="595" w:type="dxa"/>
            <w:vMerge w:val="restart"/>
            <w:tcBorders>
              <w:top w:val="single" w:sz="18" w:space="0" w:color="auto"/>
              <w:left w:val="single" w:sz="4" w:space="0" w:color="000000"/>
              <w:right w:val="single" w:sz="4" w:space="0" w:color="000000"/>
            </w:tcBorders>
            <w:vAlign w:val="center"/>
          </w:tcPr>
          <w:p w14:paraId="77179BB3" w14:textId="77777777" w:rsidR="005274F6" w:rsidRPr="004647B5" w:rsidRDefault="005274F6" w:rsidP="00591245">
            <w:pPr>
              <w:jc w:val="center"/>
            </w:pPr>
            <w:r>
              <w:t>10%</w:t>
            </w:r>
          </w:p>
        </w:tc>
        <w:tc>
          <w:tcPr>
            <w:tcW w:w="5406" w:type="dxa"/>
            <w:tcBorders>
              <w:top w:val="single" w:sz="18" w:space="0" w:color="auto"/>
              <w:left w:val="single" w:sz="4" w:space="0" w:color="000000"/>
              <w:bottom w:val="single" w:sz="12" w:space="0" w:color="auto"/>
              <w:right w:val="single" w:sz="4" w:space="0" w:color="000000"/>
            </w:tcBorders>
            <w:vAlign w:val="center"/>
          </w:tcPr>
          <w:p w14:paraId="5FBD236D" w14:textId="77777777" w:rsidR="005274F6" w:rsidRPr="004647B5" w:rsidRDefault="005274F6" w:rsidP="00591245">
            <w:pPr>
              <w:jc w:val="left"/>
            </w:pPr>
            <w:r>
              <w:t xml:space="preserve">Aspect environnemental </w:t>
            </w:r>
          </w:p>
        </w:tc>
        <w:tc>
          <w:tcPr>
            <w:tcW w:w="1134" w:type="dxa"/>
            <w:tcBorders>
              <w:top w:val="single" w:sz="18" w:space="0" w:color="auto"/>
              <w:left w:val="single" w:sz="4" w:space="0" w:color="000000"/>
              <w:bottom w:val="single" w:sz="4" w:space="0" w:color="auto"/>
              <w:right w:val="single" w:sz="12" w:space="0" w:color="auto"/>
            </w:tcBorders>
            <w:vAlign w:val="center"/>
          </w:tcPr>
          <w:p w14:paraId="7605011C" w14:textId="7094D63F" w:rsidR="005274F6" w:rsidRPr="004647B5" w:rsidRDefault="005274F6" w:rsidP="00591245">
            <w:pPr>
              <w:jc w:val="center"/>
            </w:pPr>
            <w:r>
              <w:t>70%</w:t>
            </w:r>
          </w:p>
        </w:tc>
      </w:tr>
      <w:tr w:rsidR="005274F6" w:rsidRPr="00195F9A" w14:paraId="41DDD0EA" w14:textId="77777777" w:rsidTr="00352F45">
        <w:trPr>
          <w:trHeight w:val="204"/>
          <w:jc w:val="center"/>
        </w:trPr>
        <w:tc>
          <w:tcPr>
            <w:tcW w:w="2225" w:type="dxa"/>
            <w:vMerge/>
            <w:tcBorders>
              <w:left w:val="single" w:sz="12" w:space="0" w:color="auto"/>
              <w:bottom w:val="single" w:sz="12" w:space="0" w:color="auto"/>
              <w:right w:val="nil"/>
            </w:tcBorders>
            <w:vAlign w:val="center"/>
          </w:tcPr>
          <w:p w14:paraId="7A92A931" w14:textId="77777777" w:rsidR="005274F6" w:rsidRDefault="005274F6" w:rsidP="00591245">
            <w:pPr>
              <w:jc w:val="left"/>
            </w:pPr>
          </w:p>
        </w:tc>
        <w:tc>
          <w:tcPr>
            <w:tcW w:w="595" w:type="dxa"/>
            <w:vMerge/>
            <w:tcBorders>
              <w:left w:val="single" w:sz="4" w:space="0" w:color="000000"/>
              <w:bottom w:val="single" w:sz="12" w:space="0" w:color="auto"/>
              <w:right w:val="single" w:sz="4" w:space="0" w:color="000000"/>
            </w:tcBorders>
            <w:vAlign w:val="center"/>
          </w:tcPr>
          <w:p w14:paraId="6771A9E5" w14:textId="77777777" w:rsidR="005274F6" w:rsidRDefault="005274F6" w:rsidP="00591245">
            <w:pPr>
              <w:jc w:val="center"/>
            </w:pPr>
          </w:p>
        </w:tc>
        <w:tc>
          <w:tcPr>
            <w:tcW w:w="5406" w:type="dxa"/>
            <w:tcBorders>
              <w:top w:val="single" w:sz="18" w:space="0" w:color="auto"/>
              <w:left w:val="single" w:sz="4" w:space="0" w:color="000000"/>
              <w:bottom w:val="single" w:sz="12" w:space="0" w:color="auto"/>
              <w:right w:val="single" w:sz="4" w:space="0" w:color="000000"/>
            </w:tcBorders>
            <w:vAlign w:val="center"/>
          </w:tcPr>
          <w:p w14:paraId="0E8FA204" w14:textId="6C22494C" w:rsidR="005274F6" w:rsidRDefault="005274F6" w:rsidP="00591245">
            <w:pPr>
              <w:jc w:val="left"/>
            </w:pPr>
            <w:r>
              <w:t xml:space="preserve">Aspect social/sociétal </w:t>
            </w:r>
          </w:p>
        </w:tc>
        <w:tc>
          <w:tcPr>
            <w:tcW w:w="1134" w:type="dxa"/>
            <w:tcBorders>
              <w:top w:val="single" w:sz="18" w:space="0" w:color="auto"/>
              <w:left w:val="single" w:sz="4" w:space="0" w:color="000000"/>
              <w:bottom w:val="single" w:sz="4" w:space="0" w:color="auto"/>
              <w:right w:val="single" w:sz="12" w:space="0" w:color="auto"/>
            </w:tcBorders>
            <w:vAlign w:val="center"/>
          </w:tcPr>
          <w:p w14:paraId="3747358A" w14:textId="55FD290A" w:rsidR="005274F6" w:rsidRDefault="005274F6" w:rsidP="00591245">
            <w:pPr>
              <w:jc w:val="center"/>
            </w:pPr>
            <w:r>
              <w:t>30%</w:t>
            </w:r>
          </w:p>
        </w:tc>
      </w:tr>
      <w:tr w:rsidR="002C48F2" w:rsidRPr="00195F9A" w14:paraId="6939F6CE" w14:textId="77777777" w:rsidTr="005274F6">
        <w:trPr>
          <w:trHeight w:val="140"/>
          <w:jc w:val="center"/>
        </w:trPr>
        <w:tc>
          <w:tcPr>
            <w:tcW w:w="2225" w:type="dxa"/>
            <w:tcBorders>
              <w:top w:val="single" w:sz="12" w:space="0" w:color="auto"/>
              <w:left w:val="single" w:sz="12" w:space="0" w:color="auto"/>
              <w:bottom w:val="single" w:sz="4" w:space="0" w:color="auto"/>
              <w:right w:val="nil"/>
            </w:tcBorders>
            <w:vAlign w:val="center"/>
          </w:tcPr>
          <w:p w14:paraId="260CA31C" w14:textId="77777777" w:rsidR="002C48F2" w:rsidRPr="004647B5" w:rsidRDefault="002C48F2" w:rsidP="00591245">
            <w:pPr>
              <w:jc w:val="left"/>
            </w:pPr>
            <w:r w:rsidRPr="004647B5">
              <w:t xml:space="preserve">Critère financier </w:t>
            </w:r>
          </w:p>
        </w:tc>
        <w:tc>
          <w:tcPr>
            <w:tcW w:w="595" w:type="dxa"/>
            <w:tcBorders>
              <w:top w:val="single" w:sz="12" w:space="0" w:color="auto"/>
              <w:left w:val="single" w:sz="4" w:space="0" w:color="000000"/>
              <w:bottom w:val="single" w:sz="4" w:space="0" w:color="auto"/>
              <w:right w:val="single" w:sz="4" w:space="0" w:color="000000"/>
            </w:tcBorders>
            <w:vAlign w:val="center"/>
          </w:tcPr>
          <w:p w14:paraId="4DDA2111" w14:textId="77777777" w:rsidR="002C48F2" w:rsidRPr="004647B5" w:rsidRDefault="002C48F2" w:rsidP="00591245">
            <w:pPr>
              <w:jc w:val="center"/>
            </w:pPr>
            <w:r>
              <w:t>3</w:t>
            </w:r>
            <w:r w:rsidRPr="004647B5">
              <w:t>0%</w:t>
            </w:r>
          </w:p>
        </w:tc>
        <w:tc>
          <w:tcPr>
            <w:tcW w:w="5406" w:type="dxa"/>
            <w:tcBorders>
              <w:top w:val="single" w:sz="12" w:space="0" w:color="auto"/>
              <w:left w:val="single" w:sz="4" w:space="0" w:color="000000"/>
              <w:bottom w:val="single" w:sz="4" w:space="0" w:color="auto"/>
              <w:right w:val="single" w:sz="4" w:space="0" w:color="000000"/>
            </w:tcBorders>
            <w:vAlign w:val="center"/>
          </w:tcPr>
          <w:p w14:paraId="44337659" w14:textId="06D66EA1" w:rsidR="002C48F2" w:rsidRPr="0050274F" w:rsidRDefault="002C48F2" w:rsidP="00591245">
            <w:pPr>
              <w:jc w:val="left"/>
              <w:rPr>
                <w:highlight w:val="yellow"/>
              </w:rPr>
            </w:pPr>
          </w:p>
        </w:tc>
        <w:tc>
          <w:tcPr>
            <w:tcW w:w="1134" w:type="dxa"/>
            <w:tcBorders>
              <w:top w:val="single" w:sz="12" w:space="0" w:color="auto"/>
              <w:left w:val="single" w:sz="4" w:space="0" w:color="000000"/>
              <w:bottom w:val="single" w:sz="4" w:space="0" w:color="auto"/>
              <w:right w:val="single" w:sz="12" w:space="0" w:color="auto"/>
            </w:tcBorders>
            <w:vAlign w:val="center"/>
          </w:tcPr>
          <w:p w14:paraId="055000C3" w14:textId="6B5EC71D" w:rsidR="002C48F2" w:rsidRPr="004647B5" w:rsidRDefault="002C48F2" w:rsidP="00591245">
            <w:pPr>
              <w:jc w:val="center"/>
            </w:pPr>
          </w:p>
        </w:tc>
      </w:tr>
    </w:tbl>
    <w:p w14:paraId="157DBBE0" w14:textId="77777777" w:rsidR="002C48F2" w:rsidRDefault="002C48F2" w:rsidP="002C48F2"/>
    <w:p w14:paraId="139D47DC" w14:textId="77777777" w:rsidR="002C48F2" w:rsidRDefault="002C48F2" w:rsidP="002C48F2">
      <w:r>
        <w:t>Le critère de qualité technique et le critère RSE sont évalués sur la base du mémoire technique rédigé sur la base du cadre de réponse technique. Le critère financier est évalué sur la base d'une simulation réalisée à partir du bordereau des prix renseigné par les candidats, à l'aide du mémoire technique si nécessaire.</w:t>
      </w:r>
    </w:p>
    <w:p w14:paraId="13DA8157" w14:textId="77777777" w:rsidR="002C48F2" w:rsidRDefault="002C48F2" w:rsidP="002C48F2">
      <w:r>
        <w:t>NOTA : La négociation n’étant pas autorisée pour cette procédure, les soumissionnaires sont donc invités à proposer leur meilleure offre technique et économique au stade de la remise des offres.</w:t>
      </w:r>
    </w:p>
    <w:p w14:paraId="40A0A5D8" w14:textId="7568D554" w:rsidR="002C48F2" w:rsidRDefault="002C48F2" w:rsidP="002C48F2"/>
    <w:p w14:paraId="51CCFE76" w14:textId="404AD3F4" w:rsidR="00A67850" w:rsidRDefault="00A67850" w:rsidP="002C48F2"/>
    <w:p w14:paraId="11B1FE60" w14:textId="74786E55" w:rsidR="00A67850" w:rsidRDefault="00A67850" w:rsidP="002C48F2"/>
    <w:p w14:paraId="4B2D9B54" w14:textId="77777777" w:rsidR="00A67850" w:rsidRDefault="00A67850" w:rsidP="002C48F2"/>
    <w:p w14:paraId="6E0734FE" w14:textId="77777777" w:rsidR="002C48F2" w:rsidRDefault="002C48F2" w:rsidP="002C48F2">
      <w:pPr>
        <w:rPr>
          <w:b/>
          <w:u w:val="single"/>
        </w:rPr>
      </w:pPr>
      <w:r w:rsidRPr="00742BB5">
        <w:rPr>
          <w:b/>
          <w:u w:val="single"/>
        </w:rPr>
        <w:t xml:space="preserve">Méthode d’analyse des offres : </w:t>
      </w:r>
    </w:p>
    <w:p w14:paraId="2588F933" w14:textId="77777777" w:rsidR="002C48F2" w:rsidRPr="00742BB5" w:rsidRDefault="002C48F2" w:rsidP="00846602">
      <w:pPr>
        <w:pStyle w:val="Paragraphedeliste"/>
        <w:numPr>
          <w:ilvl w:val="0"/>
          <w:numId w:val="11"/>
        </w:numPr>
        <w:spacing w:line="276" w:lineRule="auto"/>
        <w:contextualSpacing/>
      </w:pPr>
      <w:r w:rsidRPr="00742BB5">
        <w:t xml:space="preserve">Critères de qualité : </w:t>
      </w:r>
    </w:p>
    <w:p w14:paraId="12CCD5FF" w14:textId="77777777" w:rsidR="002C48F2" w:rsidRPr="00742BB5" w:rsidRDefault="002C48F2" w:rsidP="002C48F2">
      <w:r w:rsidRPr="00742BB5">
        <w:t xml:space="preserve">Les critères de qualité sont jugés sur 4 points. Les notes sont attribuées selon le barème suivant : </w:t>
      </w:r>
    </w:p>
    <w:p w14:paraId="573A6184" w14:textId="77777777" w:rsidR="002C48F2" w:rsidRPr="00742BB5" w:rsidRDefault="002C48F2" w:rsidP="002C48F2">
      <w:pPr>
        <w:spacing w:before="0" w:after="0" w:line="259" w:lineRule="auto"/>
        <w:rPr>
          <w:rFonts w:asciiTheme="minorHAnsi" w:eastAsia="Calibri" w:hAnsiTheme="minorHAnsi"/>
        </w:rPr>
      </w:pPr>
      <w:r>
        <w:t xml:space="preserve"> </w:t>
      </w:r>
      <w:r w:rsidRPr="4D87880E">
        <w:rPr>
          <w:rFonts w:asciiTheme="minorHAnsi" w:hAnsiTheme="minorHAnsi"/>
          <w:szCs w:val="24"/>
        </w:rPr>
        <w:t xml:space="preserve"> </w:t>
      </w:r>
      <w:r>
        <w:rPr>
          <w:noProof/>
        </w:rPr>
        <w:drawing>
          <wp:inline distT="0" distB="0" distL="0" distR="0" wp14:anchorId="2FE5953A" wp14:editId="159AA2EC">
            <wp:extent cx="6021238" cy="3148641"/>
            <wp:effectExtent l="0" t="0" r="0" b="0"/>
            <wp:docPr id="532852858"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6021238" cy="3148641"/>
                    </a:xfrm>
                    <a:prstGeom prst="rect">
                      <a:avLst/>
                    </a:prstGeom>
                  </pic:spPr>
                </pic:pic>
              </a:graphicData>
            </a:graphic>
          </wp:inline>
        </w:drawing>
      </w:r>
      <w:r w:rsidRPr="4D87880E">
        <w:rPr>
          <w:rFonts w:asciiTheme="minorHAnsi" w:hAnsiTheme="minorHAnsi"/>
        </w:rPr>
        <w:t xml:space="preserve"> </w:t>
      </w:r>
    </w:p>
    <w:p w14:paraId="75BBE289" w14:textId="77777777" w:rsidR="002C48F2" w:rsidRPr="00742BB5" w:rsidRDefault="002C48F2" w:rsidP="002C48F2">
      <w:pPr>
        <w:spacing w:before="0" w:after="0" w:line="259" w:lineRule="auto"/>
        <w:ind w:left="566"/>
        <w:jc w:val="left"/>
        <w:rPr>
          <w:rFonts w:asciiTheme="minorHAnsi" w:eastAsia="Calibri" w:hAnsiTheme="minorHAnsi" w:cstheme="minorHAnsi"/>
        </w:rPr>
      </w:pPr>
      <w:r w:rsidRPr="00742BB5">
        <w:rPr>
          <w:rFonts w:asciiTheme="minorHAnsi" w:hAnsiTheme="minorHAnsi" w:cstheme="minorHAnsi"/>
        </w:rPr>
        <w:t xml:space="preserve"> </w:t>
      </w:r>
    </w:p>
    <w:p w14:paraId="43EE9CF4" w14:textId="77777777" w:rsidR="002C48F2" w:rsidRPr="00742BB5" w:rsidRDefault="002C48F2" w:rsidP="002C48F2">
      <w:r w:rsidRPr="00742BB5">
        <w:t>Afin de donner tout son poids au critère de qualité</w:t>
      </w:r>
      <w:r>
        <w:t xml:space="preserve"> et au critère RSE</w:t>
      </w:r>
      <w:r w:rsidRPr="00742BB5">
        <w:t xml:space="preserve">, la note de 4 sera finalement attribuée à l’offre ayant obtenu la meilleure note pour chacun de ces critères. Cette réévaluation de la meilleure offre permettra de calculer un coefficient de raccordement (Cr) selon la formule suivante : </w:t>
      </w:r>
    </w:p>
    <w:p w14:paraId="340807CB" w14:textId="77777777" w:rsidR="002C48F2" w:rsidRPr="00742BB5" w:rsidRDefault="002C48F2" w:rsidP="002C48F2">
      <w:pPr>
        <w:spacing w:after="0"/>
        <w:rPr>
          <w:rFonts w:asciiTheme="minorHAnsi" w:eastAsia="Calibri" w:hAnsiTheme="minorHAnsi" w:cstheme="minorHAnsi"/>
        </w:rPr>
      </w:pPr>
      <w:r w:rsidRPr="00742BB5">
        <w:t xml:space="preserve"> </w:t>
      </w:r>
      <w:r w:rsidRPr="00742BB5">
        <w:rPr>
          <w:rFonts w:asciiTheme="minorHAnsi" w:hAnsiTheme="minorHAnsi" w:cstheme="minorHAnsi"/>
        </w:rPr>
        <w:t xml:space="preserve"> </w:t>
      </w:r>
    </w:p>
    <w:tbl>
      <w:tblPr>
        <w:tblStyle w:val="TableGrid1"/>
        <w:tblW w:w="9550" w:type="dxa"/>
        <w:tblInd w:w="-5" w:type="dxa"/>
        <w:tblCellMar>
          <w:top w:w="82" w:type="dxa"/>
          <w:left w:w="113" w:type="dxa"/>
          <w:right w:w="115" w:type="dxa"/>
        </w:tblCellMar>
        <w:tblLook w:val="04A0" w:firstRow="1" w:lastRow="0" w:firstColumn="1" w:lastColumn="0" w:noHBand="0" w:noVBand="1"/>
      </w:tblPr>
      <w:tblGrid>
        <w:gridCol w:w="9550"/>
      </w:tblGrid>
      <w:tr w:rsidR="002C48F2" w:rsidRPr="00742BB5" w14:paraId="5DB541CB" w14:textId="77777777" w:rsidTr="00591245">
        <w:trPr>
          <w:trHeight w:val="1396"/>
        </w:trPr>
        <w:tc>
          <w:tcPr>
            <w:tcW w:w="9550" w:type="dxa"/>
            <w:tcBorders>
              <w:top w:val="single" w:sz="4" w:space="0" w:color="000000"/>
              <w:left w:val="single" w:sz="4" w:space="0" w:color="000000"/>
              <w:bottom w:val="single" w:sz="4" w:space="0" w:color="000000"/>
              <w:right w:val="single" w:sz="4" w:space="0" w:color="000000"/>
            </w:tcBorders>
          </w:tcPr>
          <w:p w14:paraId="331FD7B4" w14:textId="77777777" w:rsidR="002C48F2" w:rsidRPr="00742BB5" w:rsidRDefault="002C48F2" w:rsidP="00591245">
            <w:pPr>
              <w:tabs>
                <w:tab w:val="center" w:pos="1903"/>
                <w:tab w:val="center" w:pos="4676"/>
              </w:tabs>
              <w:spacing w:before="0" w:after="160" w:line="259" w:lineRule="auto"/>
              <w:jc w:val="left"/>
              <w:rPr>
                <w:rFonts w:asciiTheme="minorHAnsi" w:eastAsia="Calibri" w:hAnsiTheme="minorHAnsi" w:cstheme="minorHAnsi"/>
              </w:rPr>
            </w:pPr>
            <w:r w:rsidRPr="00742BB5">
              <w:rPr>
                <w:rFonts w:asciiTheme="minorHAnsi" w:hAnsiTheme="minorHAnsi" w:cstheme="minorHAnsi"/>
              </w:rPr>
              <w:t xml:space="preserve"> </w:t>
            </w:r>
            <w:r w:rsidRPr="00742BB5">
              <w:rPr>
                <w:rFonts w:asciiTheme="minorHAnsi" w:hAnsiTheme="minorHAnsi" w:cstheme="minorHAnsi"/>
              </w:rPr>
              <w:tab/>
              <w:t xml:space="preserve"> </w:t>
            </w:r>
            <w:r w:rsidRPr="00742BB5">
              <w:rPr>
                <w:rFonts w:asciiTheme="minorHAnsi" w:hAnsiTheme="minorHAnsi" w:cstheme="minorHAnsi"/>
              </w:rPr>
              <w:tab/>
              <w:t xml:space="preserve">4 </w:t>
            </w:r>
          </w:p>
          <w:p w14:paraId="67A2EFE0" w14:textId="77777777" w:rsidR="002C48F2" w:rsidRPr="00742BB5" w:rsidRDefault="002C48F2" w:rsidP="00591245">
            <w:pPr>
              <w:spacing w:before="0" w:after="8" w:line="259" w:lineRule="auto"/>
              <w:jc w:val="left"/>
              <w:rPr>
                <w:rFonts w:asciiTheme="minorHAnsi" w:eastAsia="Calibri" w:hAnsiTheme="minorHAnsi" w:cstheme="minorHAnsi"/>
              </w:rPr>
            </w:pPr>
            <w:r w:rsidRPr="00742BB5">
              <w:rPr>
                <w:rFonts w:asciiTheme="minorHAnsi" w:hAnsiTheme="minorHAnsi" w:cstheme="minorHAnsi"/>
              </w:rPr>
              <w:t xml:space="preserve">                               Cr</w:t>
            </w:r>
            <w:r>
              <w:rPr>
                <w:rFonts w:asciiTheme="minorHAnsi" w:hAnsiTheme="minorHAnsi" w:cstheme="minorHAnsi"/>
              </w:rPr>
              <w:t xml:space="preserve"> </w:t>
            </w:r>
            <w:r w:rsidRPr="00742BB5">
              <w:rPr>
                <w:rFonts w:asciiTheme="minorHAnsi" w:hAnsiTheme="minorHAnsi" w:cstheme="minorHAnsi"/>
              </w:rPr>
              <w:t xml:space="preserve">=     </w:t>
            </w:r>
            <w:r w:rsidRPr="00742BB5">
              <w:rPr>
                <w:rFonts w:asciiTheme="minorHAnsi" w:eastAsia="Calibri" w:hAnsiTheme="minorHAnsi" w:cstheme="minorHAnsi"/>
                <w:noProof/>
              </w:rPr>
              <mc:AlternateContent>
                <mc:Choice Requires="wpg">
                  <w:drawing>
                    <wp:inline distT="0" distB="0" distL="0" distR="0" wp14:anchorId="6868EAD5" wp14:editId="1C05E8F0">
                      <wp:extent cx="3346704" cy="1524"/>
                      <wp:effectExtent l="0" t="0" r="0" b="0"/>
                      <wp:docPr id="15785" name="Group 15785"/>
                      <wp:cNvGraphicFramePr/>
                      <a:graphic xmlns:a="http://schemas.openxmlformats.org/drawingml/2006/main">
                        <a:graphicData uri="http://schemas.microsoft.com/office/word/2010/wordprocessingGroup">
                          <wpg:wgp>
                            <wpg:cNvGrpSpPr/>
                            <wpg:grpSpPr>
                              <a:xfrm>
                                <a:off x="0" y="0"/>
                                <a:ext cx="3346704" cy="1524"/>
                                <a:chOff x="0" y="0"/>
                                <a:chExt cx="3346704" cy="1524"/>
                              </a:xfrm>
                            </wpg:grpSpPr>
                            <wps:wsp>
                              <wps:cNvPr id="1090" name="Shape 1090"/>
                              <wps:cNvSpPr/>
                              <wps:spPr>
                                <a:xfrm>
                                  <a:off x="0" y="0"/>
                                  <a:ext cx="3346704" cy="1524"/>
                                </a:xfrm>
                                <a:custGeom>
                                  <a:avLst/>
                                  <a:gdLst/>
                                  <a:ahLst/>
                                  <a:cxnLst/>
                                  <a:rect l="0" t="0" r="0" b="0"/>
                                  <a:pathLst>
                                    <a:path w="3346704" h="1524">
                                      <a:moveTo>
                                        <a:pt x="0" y="0"/>
                                      </a:moveTo>
                                      <a:lnTo>
                                        <a:pt x="3346704" y="1524"/>
                                      </a:lnTo>
                                    </a:path>
                                  </a:pathLst>
                                </a:custGeom>
                                <a:noFill/>
                                <a:ln w="19812" cap="flat" cmpd="sng" algn="ctr">
                                  <a:solidFill>
                                    <a:srgbClr val="000000"/>
                                  </a:solidFill>
                                  <a:prstDash val="solid"/>
                                  <a:round/>
                                </a:ln>
                                <a:effectLst/>
                              </wps:spPr>
                              <wps:bodyPr/>
                            </wps:wsp>
                          </wpg:wgp>
                        </a:graphicData>
                      </a:graphic>
                    </wp:inline>
                  </w:drawing>
                </mc:Choice>
                <mc:Fallback>
                  <w:pict>
                    <v:group w14:anchorId="4A126C7D" id="Group 15785" o:spid="_x0000_s1026" style="width:263.5pt;height:.1pt;mso-position-horizontal-relative:char;mso-position-vertical-relative:line" coordsize="3346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">
                      <v:shape id="Shape 1090" o:spid="_x0000_s1027" style="position:absolute;width:33467;height:15;visibility:visible;mso-wrap-style:square;v-text-anchor:top" coordsize="3346704,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" path="m,l3346704,1524e" filled="f" strokeweight="1.56pt">
                        <v:path arrowok="t" textboxrect="0,0,3346704,1524"/>
                      </v:shape>
                      <w10:anchorlock/>
                    </v:group>
                  </w:pict>
                </mc:Fallback>
              </mc:AlternateContent>
            </w:r>
          </w:p>
          <w:p w14:paraId="70D95C42" w14:textId="77777777" w:rsidR="002C48F2" w:rsidRPr="00742BB5" w:rsidRDefault="002C48F2" w:rsidP="00591245">
            <w:pPr>
              <w:tabs>
                <w:tab w:val="center" w:pos="4545"/>
              </w:tabs>
              <w:spacing w:before="0" w:after="160" w:line="259" w:lineRule="auto"/>
              <w:jc w:val="left"/>
              <w:rPr>
                <w:rFonts w:asciiTheme="minorHAnsi" w:eastAsia="Calibri" w:hAnsiTheme="minorHAnsi" w:cstheme="minorHAnsi"/>
              </w:rPr>
            </w:pPr>
            <w:r w:rsidRPr="00742BB5">
              <w:rPr>
                <w:rFonts w:asciiTheme="minorHAnsi" w:hAnsiTheme="minorHAnsi" w:cstheme="minorHAnsi"/>
              </w:rPr>
              <w:t xml:space="preserve"> </w:t>
            </w:r>
            <w:r w:rsidRPr="00742BB5">
              <w:rPr>
                <w:rFonts w:asciiTheme="minorHAnsi" w:hAnsiTheme="minorHAnsi" w:cstheme="minorHAnsi"/>
              </w:rPr>
              <w:tab/>
              <w:t xml:space="preserve">              Meilleure note attribuée sur le critère</w:t>
            </w:r>
          </w:p>
        </w:tc>
      </w:tr>
    </w:tbl>
    <w:p w14:paraId="0DA9DF4B" w14:textId="77777777" w:rsidR="002C48F2" w:rsidRPr="00742BB5" w:rsidRDefault="002C48F2" w:rsidP="002C48F2">
      <w:pPr>
        <w:spacing w:before="0" w:after="12" w:line="259" w:lineRule="auto"/>
        <w:jc w:val="left"/>
        <w:rPr>
          <w:rFonts w:asciiTheme="minorHAnsi" w:eastAsia="Calibri" w:hAnsiTheme="minorHAnsi" w:cstheme="minorHAnsi"/>
        </w:rPr>
      </w:pPr>
      <w:r w:rsidRPr="00742BB5">
        <w:rPr>
          <w:rFonts w:asciiTheme="minorHAnsi" w:hAnsiTheme="minorHAnsi" w:cstheme="minorHAnsi"/>
        </w:rPr>
        <w:t xml:space="preserve"> </w:t>
      </w:r>
    </w:p>
    <w:p w14:paraId="48E7EBDB" w14:textId="77777777" w:rsidR="002C48F2" w:rsidRPr="00742BB5" w:rsidRDefault="002C48F2" w:rsidP="002C48F2">
      <w:r w:rsidRPr="00742BB5">
        <w:t xml:space="preserve">Toutes les notes de qualité </w:t>
      </w:r>
      <w:r>
        <w:t xml:space="preserve">et de RSE </w:t>
      </w:r>
      <w:r w:rsidRPr="00742BB5">
        <w:t xml:space="preserve">des offres concurrentes seront réévaluées dans les mêmes proportions, par application du coefficient de raccordement ainsi obtenu. </w:t>
      </w:r>
    </w:p>
    <w:p w14:paraId="044FFF76" w14:textId="77777777" w:rsidR="002C48F2" w:rsidRPr="00742BB5" w:rsidRDefault="002C48F2" w:rsidP="002C48F2">
      <w:r w:rsidRPr="00742BB5">
        <w:t xml:space="preserve"> </w:t>
      </w:r>
    </w:p>
    <w:tbl>
      <w:tblPr>
        <w:tblStyle w:val="TableGrid1"/>
        <w:tblW w:w="9639" w:type="dxa"/>
        <w:tblInd w:w="-5" w:type="dxa"/>
        <w:tblCellMar>
          <w:top w:w="53" w:type="dxa"/>
          <w:left w:w="108" w:type="dxa"/>
          <w:right w:w="53" w:type="dxa"/>
        </w:tblCellMar>
        <w:tblLook w:val="04A0" w:firstRow="1" w:lastRow="0" w:firstColumn="1" w:lastColumn="0" w:noHBand="0" w:noVBand="1"/>
      </w:tblPr>
      <w:tblGrid>
        <w:gridCol w:w="851"/>
        <w:gridCol w:w="8788"/>
      </w:tblGrid>
      <w:tr w:rsidR="002C48F2" w:rsidRPr="00742BB5" w14:paraId="6C6961FC" w14:textId="77777777" w:rsidTr="00591245">
        <w:trPr>
          <w:trHeight w:val="1181"/>
        </w:trPr>
        <w:tc>
          <w:tcPr>
            <w:tcW w:w="851" w:type="dxa"/>
            <w:tcBorders>
              <w:top w:val="single" w:sz="4" w:space="0" w:color="000000"/>
              <w:left w:val="single" w:sz="4" w:space="0" w:color="000000"/>
              <w:bottom w:val="single" w:sz="4" w:space="0" w:color="000000"/>
              <w:right w:val="single" w:sz="4" w:space="0" w:color="000000"/>
            </w:tcBorders>
            <w:vAlign w:val="center"/>
          </w:tcPr>
          <w:p w14:paraId="0C080F9D" w14:textId="77777777" w:rsidR="002C48F2" w:rsidRPr="00742BB5" w:rsidRDefault="002C48F2" w:rsidP="00591245">
            <w:pPr>
              <w:spacing w:before="0" w:after="160" w:line="259" w:lineRule="auto"/>
              <w:jc w:val="center"/>
              <w:rPr>
                <w:rFonts w:asciiTheme="minorHAnsi" w:eastAsia="Calibri" w:hAnsiTheme="minorHAnsi" w:cstheme="minorHAnsi"/>
              </w:rPr>
            </w:pPr>
            <w:r w:rsidRPr="00742BB5">
              <w:rPr>
                <w:rFonts w:asciiTheme="minorHAnsi" w:hAnsiTheme="minorHAnsi" w:cstheme="minorHAnsi"/>
                <w:sz w:val="44"/>
              </w:rPr>
              <w:t>2</w:t>
            </w:r>
          </w:p>
        </w:tc>
        <w:tc>
          <w:tcPr>
            <w:tcW w:w="8788" w:type="dxa"/>
            <w:tcBorders>
              <w:top w:val="single" w:sz="4" w:space="0" w:color="000000"/>
              <w:left w:val="single" w:sz="4" w:space="0" w:color="000000"/>
              <w:bottom w:val="single" w:sz="4" w:space="0" w:color="000000"/>
              <w:right w:val="single" w:sz="4" w:space="0" w:color="000000"/>
            </w:tcBorders>
          </w:tcPr>
          <w:p w14:paraId="2C4BA0ED" w14:textId="77777777" w:rsidR="002C48F2" w:rsidRPr="00742BB5" w:rsidRDefault="002C48F2" w:rsidP="00591245">
            <w:pPr>
              <w:spacing w:before="0" w:after="160" w:line="259" w:lineRule="auto"/>
              <w:ind w:right="52"/>
              <w:rPr>
                <w:rFonts w:asciiTheme="minorHAnsi" w:eastAsia="Calibri" w:hAnsiTheme="minorHAnsi" w:cstheme="minorHAnsi"/>
                <w:b/>
              </w:rPr>
            </w:pPr>
            <w:r w:rsidRPr="00742BB5">
              <w:rPr>
                <w:rFonts w:asciiTheme="minorHAnsi" w:hAnsiTheme="minorHAnsi" w:cstheme="minorHAnsi"/>
                <w:b/>
              </w:rPr>
              <w:t xml:space="preserve">Note minimale exigée sur le critère de qualité, avant application du coefficient de raccordement, en dessous de laquelle l’offre est éliminée car elle ne présente pas de chance réelle et sérieuse de répondre qualitativement au besoin </w:t>
            </w:r>
            <w:proofErr w:type="gramStart"/>
            <w:r w:rsidRPr="00742BB5">
              <w:rPr>
                <w:rFonts w:asciiTheme="minorHAnsi" w:hAnsiTheme="minorHAnsi" w:cstheme="minorHAnsi"/>
                <w:b/>
              </w:rPr>
              <w:t>exprimé</w:t>
            </w:r>
            <w:proofErr w:type="gramEnd"/>
            <w:r w:rsidRPr="00742BB5">
              <w:rPr>
                <w:rFonts w:asciiTheme="minorHAnsi" w:hAnsiTheme="minorHAnsi" w:cstheme="minorHAnsi"/>
                <w:b/>
              </w:rPr>
              <w:t xml:space="preserve"> et d’être jugée « économiquement la plus avantageuse ». </w:t>
            </w:r>
          </w:p>
        </w:tc>
      </w:tr>
    </w:tbl>
    <w:p w14:paraId="21E1021A" w14:textId="77777777" w:rsidR="002C48F2" w:rsidRPr="00742BB5" w:rsidRDefault="002C48F2" w:rsidP="002C48F2">
      <w:pPr>
        <w:spacing w:before="0" w:after="0" w:line="259" w:lineRule="auto"/>
        <w:ind w:left="1428"/>
        <w:jc w:val="left"/>
        <w:rPr>
          <w:rFonts w:asciiTheme="minorHAnsi" w:eastAsia="Calibri" w:hAnsiTheme="minorHAnsi" w:cstheme="minorHAnsi"/>
        </w:rPr>
      </w:pPr>
      <w:r w:rsidRPr="00742BB5">
        <w:rPr>
          <w:rFonts w:asciiTheme="minorHAnsi" w:hAnsiTheme="minorHAnsi" w:cstheme="minorHAnsi"/>
        </w:rPr>
        <w:lastRenderedPageBreak/>
        <w:t xml:space="preserve"> </w:t>
      </w:r>
    </w:p>
    <w:p w14:paraId="501A552B" w14:textId="69155DF3" w:rsidR="002C48F2" w:rsidRDefault="002C48F2" w:rsidP="002C48F2">
      <w:pPr>
        <w:spacing w:before="0" w:after="20" w:line="259" w:lineRule="auto"/>
        <w:ind w:left="1428"/>
        <w:jc w:val="left"/>
        <w:rPr>
          <w:rFonts w:asciiTheme="minorHAnsi" w:hAnsiTheme="minorHAnsi" w:cstheme="minorHAnsi"/>
        </w:rPr>
      </w:pPr>
      <w:r w:rsidRPr="00742BB5">
        <w:rPr>
          <w:rFonts w:asciiTheme="minorHAnsi" w:hAnsiTheme="minorHAnsi" w:cstheme="minorHAnsi"/>
        </w:rPr>
        <w:t xml:space="preserve"> </w:t>
      </w:r>
    </w:p>
    <w:p w14:paraId="73C210A3" w14:textId="7705237D" w:rsidR="00A67850" w:rsidRDefault="00A67850" w:rsidP="002C48F2">
      <w:pPr>
        <w:spacing w:before="0" w:after="20" w:line="259" w:lineRule="auto"/>
        <w:ind w:left="1428"/>
        <w:jc w:val="left"/>
        <w:rPr>
          <w:rFonts w:asciiTheme="minorHAnsi" w:eastAsia="Calibri" w:hAnsiTheme="minorHAnsi" w:cstheme="minorHAnsi"/>
        </w:rPr>
      </w:pPr>
    </w:p>
    <w:p w14:paraId="1B2F705E" w14:textId="77777777" w:rsidR="00A67850" w:rsidRPr="00742BB5" w:rsidRDefault="00A67850" w:rsidP="002C48F2">
      <w:pPr>
        <w:spacing w:before="0" w:after="20" w:line="259" w:lineRule="auto"/>
        <w:ind w:left="1428"/>
        <w:jc w:val="left"/>
        <w:rPr>
          <w:rFonts w:asciiTheme="minorHAnsi" w:eastAsia="Calibri" w:hAnsiTheme="minorHAnsi" w:cstheme="minorHAnsi"/>
        </w:rPr>
      </w:pPr>
    </w:p>
    <w:p w14:paraId="1D423587" w14:textId="77777777" w:rsidR="002C48F2" w:rsidRPr="00380585" w:rsidRDefault="002C48F2" w:rsidP="00846602">
      <w:pPr>
        <w:pStyle w:val="Paragraphedeliste"/>
        <w:numPr>
          <w:ilvl w:val="0"/>
          <w:numId w:val="11"/>
        </w:numPr>
        <w:spacing w:line="276" w:lineRule="auto"/>
        <w:contextualSpacing/>
      </w:pPr>
      <w:r w:rsidRPr="00742BB5">
        <w:t xml:space="preserve">Critère financier : </w:t>
      </w:r>
    </w:p>
    <w:p w14:paraId="100C4CE5" w14:textId="77777777" w:rsidR="002C48F2" w:rsidRPr="00742BB5" w:rsidRDefault="002C48F2" w:rsidP="002C48F2">
      <w:r w:rsidRPr="00742BB5">
        <w:t xml:space="preserve">Pour le critère financier, seules seront comparées les offres ayant reçu, avant application du coefficient de raccordement, la note minimale de 2/4 pour le critère portant sur la qualité de l’offre. Toute note inférieure est automatiquement éliminatoire.  </w:t>
      </w:r>
    </w:p>
    <w:p w14:paraId="42EEA04B" w14:textId="77777777" w:rsidR="002C48F2" w:rsidRDefault="002C48F2" w:rsidP="002C48F2">
      <w:r w:rsidRPr="00742BB5">
        <w:t xml:space="preserve">Pour chacun de ses sous-critères, la formule de calcul de la note financière (P) sera la suivante : </w:t>
      </w:r>
    </w:p>
    <w:tbl>
      <w:tblPr>
        <w:tblStyle w:val="TableGrid1"/>
        <w:tblpPr w:leftFromText="141" w:rightFromText="141" w:vertAnchor="text" w:horzAnchor="margin" w:tblpY="145"/>
        <w:tblW w:w="9064" w:type="dxa"/>
        <w:tblInd w:w="0" w:type="dxa"/>
        <w:tblCellMar>
          <w:left w:w="362" w:type="dxa"/>
          <w:bottom w:w="99" w:type="dxa"/>
          <w:right w:w="75" w:type="dxa"/>
        </w:tblCellMar>
        <w:tblLook w:val="04A0" w:firstRow="1" w:lastRow="0" w:firstColumn="1" w:lastColumn="0" w:noHBand="0" w:noVBand="1"/>
      </w:tblPr>
      <w:tblGrid>
        <w:gridCol w:w="9064"/>
      </w:tblGrid>
      <w:tr w:rsidR="002C48F2" w:rsidRPr="00742BB5" w14:paraId="72CF65EC" w14:textId="77777777" w:rsidTr="00591245">
        <w:trPr>
          <w:trHeight w:val="1397"/>
        </w:trPr>
        <w:tc>
          <w:tcPr>
            <w:tcW w:w="9064" w:type="dxa"/>
            <w:tcBorders>
              <w:top w:val="single" w:sz="6" w:space="0" w:color="000000"/>
              <w:left w:val="single" w:sz="6" w:space="0" w:color="000000"/>
              <w:bottom w:val="single" w:sz="6" w:space="0" w:color="000000"/>
              <w:right w:val="single" w:sz="6" w:space="0" w:color="000000"/>
            </w:tcBorders>
            <w:vAlign w:val="bottom"/>
          </w:tcPr>
          <w:p w14:paraId="57883270" w14:textId="77777777" w:rsidR="002C48F2" w:rsidRPr="00742BB5" w:rsidRDefault="002C48F2" w:rsidP="00591245">
            <w:pPr>
              <w:spacing w:before="0" w:after="160" w:line="259" w:lineRule="auto"/>
              <w:ind w:left="1183"/>
              <w:jc w:val="left"/>
              <w:rPr>
                <w:rFonts w:asciiTheme="minorHAnsi" w:eastAsia="Calibri" w:hAnsiTheme="minorHAnsi" w:cstheme="minorHAnsi"/>
                <w:b/>
              </w:rPr>
            </w:pPr>
            <w:r w:rsidRPr="00742BB5">
              <w:rPr>
                <w:rFonts w:asciiTheme="minorHAnsi" w:hAnsiTheme="minorHAnsi" w:cstheme="minorHAnsi"/>
                <w:b/>
              </w:rPr>
              <w:t>(1+ montant de l’offre la moins-</w:t>
            </w:r>
            <w:proofErr w:type="spellStart"/>
            <w:r w:rsidRPr="00742BB5">
              <w:rPr>
                <w:rFonts w:asciiTheme="minorHAnsi" w:hAnsiTheme="minorHAnsi" w:cstheme="minorHAnsi"/>
                <w:b/>
              </w:rPr>
              <w:t>disante</w:t>
            </w:r>
            <w:proofErr w:type="spellEnd"/>
            <w:r w:rsidRPr="00742BB5">
              <w:rPr>
                <w:rFonts w:asciiTheme="minorHAnsi" w:hAnsiTheme="minorHAnsi" w:cstheme="minorHAnsi"/>
                <w:b/>
              </w:rPr>
              <w:t xml:space="preserve">) </w:t>
            </w:r>
          </w:p>
          <w:p w14:paraId="4E5E8D38" w14:textId="29F75953" w:rsidR="00115278" w:rsidRDefault="002C48F2" w:rsidP="00591245">
            <w:pPr>
              <w:spacing w:before="0" w:after="5" w:line="266" w:lineRule="auto"/>
              <w:jc w:val="left"/>
              <w:rPr>
                <w:rFonts w:asciiTheme="minorHAnsi" w:hAnsiTheme="minorHAnsi" w:cstheme="minorHAnsi"/>
                <w:b/>
              </w:rPr>
            </w:pPr>
            <w:r w:rsidRPr="00742BB5">
              <w:rPr>
                <w:rFonts w:asciiTheme="minorHAnsi" w:hAnsiTheme="minorHAnsi" w:cstheme="minorHAnsi"/>
                <w:b/>
              </w:rPr>
              <w:t xml:space="preserve">P = </w:t>
            </w:r>
            <w:r w:rsidR="00115278">
              <w:rPr>
                <w:rFonts w:asciiTheme="minorHAnsi" w:hAnsiTheme="minorHAnsi" w:cstheme="minorHAnsi"/>
                <w:b/>
              </w:rPr>
              <w:t>4</w:t>
            </w:r>
            <w:r w:rsidRPr="00742BB5">
              <w:rPr>
                <w:rFonts w:asciiTheme="minorHAnsi" w:hAnsiTheme="minorHAnsi" w:cstheme="minorHAnsi"/>
                <w:b/>
              </w:rPr>
              <w:t xml:space="preserve"> x _______________________________________</w:t>
            </w:r>
            <w:r w:rsidR="00115278">
              <w:rPr>
                <w:rFonts w:asciiTheme="minorHAnsi" w:hAnsiTheme="minorHAnsi" w:cstheme="minorHAnsi"/>
                <w:b/>
              </w:rPr>
              <w:t xml:space="preserve"> </w:t>
            </w:r>
          </w:p>
          <w:p w14:paraId="1F03E0AF" w14:textId="78862C4D" w:rsidR="002C48F2" w:rsidRPr="00742BB5" w:rsidRDefault="002C48F2" w:rsidP="00591245">
            <w:pPr>
              <w:spacing w:before="0" w:after="5" w:line="266" w:lineRule="auto"/>
              <w:jc w:val="left"/>
              <w:rPr>
                <w:rFonts w:asciiTheme="minorHAnsi" w:eastAsia="Calibri" w:hAnsiTheme="minorHAnsi" w:cstheme="minorHAnsi"/>
                <w:b/>
              </w:rPr>
            </w:pPr>
            <w:r w:rsidRPr="00742BB5">
              <w:rPr>
                <w:rFonts w:asciiTheme="minorHAnsi" w:hAnsiTheme="minorHAnsi" w:cstheme="minorHAnsi"/>
                <w:b/>
              </w:rPr>
              <w:tab/>
              <w:t xml:space="preserve">              (1+ montant de l’offre analysée) </w:t>
            </w:r>
          </w:p>
        </w:tc>
      </w:tr>
    </w:tbl>
    <w:p w14:paraId="6F330B13" w14:textId="1192839A" w:rsidR="002C48F2" w:rsidRPr="00742BB5" w:rsidRDefault="002C48F2" w:rsidP="00115278">
      <w:pPr>
        <w:spacing w:before="0" w:after="0" w:line="259" w:lineRule="auto"/>
        <w:ind w:left="566"/>
        <w:jc w:val="left"/>
        <w:rPr>
          <w:rFonts w:asciiTheme="minorHAnsi" w:eastAsia="Calibri" w:hAnsiTheme="minorHAnsi" w:cstheme="minorHAnsi"/>
        </w:rPr>
      </w:pPr>
      <w:r w:rsidRPr="00742BB5">
        <w:rPr>
          <w:rFonts w:asciiTheme="minorHAnsi" w:hAnsiTheme="minorHAnsi" w:cstheme="minorHAnsi"/>
        </w:rPr>
        <w:t xml:space="preserve">  </w:t>
      </w:r>
    </w:p>
    <w:p w14:paraId="143CB8CA" w14:textId="77777777" w:rsidR="002C48F2" w:rsidRPr="00742BB5" w:rsidRDefault="002C48F2" w:rsidP="00846602">
      <w:pPr>
        <w:pStyle w:val="Paragraphedeliste"/>
        <w:numPr>
          <w:ilvl w:val="0"/>
          <w:numId w:val="11"/>
        </w:numPr>
        <w:spacing w:line="276" w:lineRule="auto"/>
        <w:contextualSpacing/>
      </w:pPr>
      <w:r w:rsidRPr="00742BB5">
        <w:t xml:space="preserve">La note totale (Nt) sera calculée par application de la formule suivante aux notes pondérées : </w:t>
      </w:r>
    </w:p>
    <w:p w14:paraId="7889CB9C" w14:textId="77777777" w:rsidR="002C48F2" w:rsidRPr="00742BB5" w:rsidRDefault="002C48F2" w:rsidP="002C48F2">
      <w:pPr>
        <w:spacing w:before="0" w:after="21" w:line="259" w:lineRule="auto"/>
        <w:jc w:val="left"/>
        <w:rPr>
          <w:rFonts w:asciiTheme="minorHAnsi" w:hAnsiTheme="minorHAnsi" w:cstheme="minorHAnsi"/>
        </w:rPr>
      </w:pPr>
      <w:r w:rsidRPr="00742BB5">
        <w:rPr>
          <w:rFonts w:asciiTheme="minorHAnsi" w:hAnsiTheme="minorHAnsi" w:cstheme="minorHAnsi"/>
        </w:rPr>
        <w:t xml:space="preserve"> </w:t>
      </w:r>
    </w:p>
    <w:tbl>
      <w:tblPr>
        <w:tblStyle w:val="Grilledutableau1"/>
        <w:tblW w:w="9072" w:type="dxa"/>
        <w:tblInd w:w="-5" w:type="dxa"/>
        <w:tblLook w:val="04A0" w:firstRow="1" w:lastRow="0" w:firstColumn="1" w:lastColumn="0" w:noHBand="0" w:noVBand="1"/>
      </w:tblPr>
      <w:tblGrid>
        <w:gridCol w:w="9072"/>
      </w:tblGrid>
      <w:tr w:rsidR="002C48F2" w:rsidRPr="00742BB5" w14:paraId="6A8041B3" w14:textId="77777777" w:rsidTr="00591245">
        <w:tc>
          <w:tcPr>
            <w:tcW w:w="9072" w:type="dxa"/>
          </w:tcPr>
          <w:p w14:paraId="595522A5" w14:textId="77777777" w:rsidR="002C48F2" w:rsidRPr="00742BB5" w:rsidRDefault="002C48F2" w:rsidP="00591245">
            <w:pPr>
              <w:spacing w:before="0" w:after="21" w:line="259" w:lineRule="auto"/>
              <w:jc w:val="center"/>
              <w:rPr>
                <w:rFonts w:asciiTheme="minorHAnsi" w:hAnsiTheme="minorHAnsi" w:cstheme="minorHAnsi"/>
                <w:b/>
              </w:rPr>
            </w:pPr>
            <w:r w:rsidRPr="00742BB5">
              <w:rPr>
                <w:rFonts w:asciiTheme="minorHAnsi" w:hAnsiTheme="minorHAnsi" w:cstheme="minorHAnsi"/>
                <w:b/>
              </w:rPr>
              <w:t xml:space="preserve">Nt = note critère qualité </w:t>
            </w:r>
            <w:r>
              <w:rPr>
                <w:rFonts w:asciiTheme="minorHAnsi" w:hAnsiTheme="minorHAnsi" w:cstheme="minorHAnsi"/>
                <w:b/>
              </w:rPr>
              <w:t xml:space="preserve">de l’offre </w:t>
            </w:r>
            <w:r w:rsidRPr="00742BB5">
              <w:rPr>
                <w:rFonts w:asciiTheme="minorHAnsi" w:hAnsiTheme="minorHAnsi" w:cstheme="minorHAnsi"/>
                <w:b/>
              </w:rPr>
              <w:t xml:space="preserve">x </w:t>
            </w:r>
            <w:proofErr w:type="spellStart"/>
            <w:r w:rsidRPr="00742BB5">
              <w:rPr>
                <w:rFonts w:asciiTheme="minorHAnsi" w:hAnsiTheme="minorHAnsi" w:cstheme="minorHAnsi"/>
                <w:b/>
              </w:rPr>
              <w:t>coeff</w:t>
            </w:r>
            <w:proofErr w:type="spellEnd"/>
            <w:r w:rsidRPr="00742BB5">
              <w:rPr>
                <w:rFonts w:asciiTheme="minorHAnsi" w:hAnsiTheme="minorHAnsi" w:cstheme="minorHAnsi"/>
                <w:b/>
              </w:rPr>
              <w:t xml:space="preserve">. </w:t>
            </w:r>
            <w:proofErr w:type="gramStart"/>
            <w:r w:rsidRPr="00742BB5">
              <w:rPr>
                <w:rFonts w:asciiTheme="minorHAnsi" w:hAnsiTheme="minorHAnsi" w:cstheme="minorHAnsi"/>
                <w:b/>
              </w:rPr>
              <w:t>raccordement  +</w:t>
            </w:r>
            <w:proofErr w:type="gramEnd"/>
          </w:p>
          <w:p w14:paraId="321F0143" w14:textId="77777777" w:rsidR="002C48F2" w:rsidRPr="00742BB5" w:rsidRDefault="002C48F2" w:rsidP="00591245">
            <w:pPr>
              <w:spacing w:before="0" w:after="21" w:line="259" w:lineRule="auto"/>
              <w:jc w:val="center"/>
              <w:rPr>
                <w:rFonts w:asciiTheme="minorHAnsi" w:hAnsiTheme="minorHAnsi" w:cstheme="minorHAnsi"/>
                <w:b/>
              </w:rPr>
            </w:pPr>
            <w:proofErr w:type="gramStart"/>
            <w:r w:rsidRPr="00742BB5">
              <w:rPr>
                <w:rFonts w:asciiTheme="minorHAnsi" w:hAnsiTheme="minorHAnsi" w:cstheme="minorHAnsi"/>
                <w:b/>
              </w:rPr>
              <w:t>note</w:t>
            </w:r>
            <w:proofErr w:type="gramEnd"/>
            <w:r w:rsidRPr="00742BB5">
              <w:rPr>
                <w:rFonts w:asciiTheme="minorHAnsi" w:hAnsiTheme="minorHAnsi" w:cstheme="minorHAnsi"/>
                <w:b/>
              </w:rPr>
              <w:t xml:space="preserve"> critère </w:t>
            </w:r>
            <w:r>
              <w:rPr>
                <w:rFonts w:asciiTheme="minorHAnsi" w:hAnsiTheme="minorHAnsi" w:cstheme="minorHAnsi"/>
                <w:b/>
              </w:rPr>
              <w:t>RSE</w:t>
            </w:r>
            <w:r w:rsidRPr="00742BB5">
              <w:rPr>
                <w:rFonts w:asciiTheme="minorHAnsi" w:hAnsiTheme="minorHAnsi" w:cstheme="minorHAnsi"/>
                <w:b/>
              </w:rPr>
              <w:t xml:space="preserve"> x </w:t>
            </w:r>
            <w:proofErr w:type="spellStart"/>
            <w:r w:rsidRPr="00742BB5">
              <w:rPr>
                <w:rFonts w:asciiTheme="minorHAnsi" w:hAnsiTheme="minorHAnsi" w:cstheme="minorHAnsi"/>
                <w:b/>
              </w:rPr>
              <w:t>coeff</w:t>
            </w:r>
            <w:proofErr w:type="spellEnd"/>
            <w:r w:rsidRPr="00742BB5">
              <w:rPr>
                <w:rFonts w:asciiTheme="minorHAnsi" w:hAnsiTheme="minorHAnsi" w:cstheme="minorHAnsi"/>
                <w:b/>
              </w:rPr>
              <w:t xml:space="preserve">. </w:t>
            </w:r>
            <w:proofErr w:type="gramStart"/>
            <w:r w:rsidRPr="00742BB5">
              <w:rPr>
                <w:rFonts w:asciiTheme="minorHAnsi" w:hAnsiTheme="minorHAnsi" w:cstheme="minorHAnsi"/>
                <w:b/>
              </w:rPr>
              <w:t>raccordement</w:t>
            </w:r>
            <w:proofErr w:type="gramEnd"/>
            <w:r w:rsidRPr="00742BB5">
              <w:rPr>
                <w:rFonts w:asciiTheme="minorHAnsi" w:hAnsiTheme="minorHAnsi" w:cstheme="minorHAnsi"/>
                <w:b/>
              </w:rPr>
              <w:t xml:space="preserve"> + </w:t>
            </w:r>
            <w:r w:rsidRPr="00D12287">
              <w:rPr>
                <w:rFonts w:asciiTheme="minorHAnsi" w:hAnsiTheme="minorHAnsi" w:cstheme="minorHAnsi"/>
                <w:b/>
              </w:rPr>
              <w:t>note financière</w:t>
            </w:r>
          </w:p>
        </w:tc>
      </w:tr>
    </w:tbl>
    <w:p w14:paraId="5565727A" w14:textId="77777777" w:rsidR="002C48F2" w:rsidRDefault="002C48F2" w:rsidP="002C48F2"/>
    <w:p w14:paraId="381DD81F" w14:textId="77777777" w:rsidR="002C48F2" w:rsidRDefault="002C48F2" w:rsidP="002C48F2">
      <w:pPr>
        <w:pStyle w:val="Titre1"/>
      </w:pPr>
      <w:bookmarkStart w:id="38" w:name="_Toc201851409"/>
      <w:r>
        <w:t>Démonstration</w:t>
      </w:r>
      <w:bookmarkEnd w:id="38"/>
      <w:r>
        <w:tab/>
      </w:r>
    </w:p>
    <w:p w14:paraId="6BF8E0FF" w14:textId="77777777" w:rsidR="002C48F2" w:rsidRDefault="002C48F2" w:rsidP="002C48F2">
      <w:r>
        <w:t>Sans objet.</w:t>
      </w:r>
    </w:p>
    <w:p w14:paraId="7F8B71B5" w14:textId="77777777" w:rsidR="00E84BD6" w:rsidRDefault="00E84BD6" w:rsidP="00E84BD6">
      <w:pPr>
        <w:pStyle w:val="Titre1"/>
      </w:pPr>
      <w:bookmarkStart w:id="39" w:name="_Toc201851410"/>
      <w:r>
        <w:t>Contenu des réponses</w:t>
      </w:r>
      <w:bookmarkEnd w:id="39"/>
      <w:r>
        <w:tab/>
      </w:r>
    </w:p>
    <w:p w14:paraId="239627F1" w14:textId="77777777" w:rsidR="00E84BD6" w:rsidRPr="00E54343" w:rsidRDefault="00E84BD6" w:rsidP="00E84BD6">
      <w:r w:rsidRPr="00E54343">
        <w:t>La qualité des réponses des candidats exige une parfaite compréhension du</w:t>
      </w:r>
      <w:r>
        <w:t xml:space="preserve"> dossier de consultation. Tous l</w:t>
      </w:r>
      <w:r w:rsidRPr="00E54343">
        <w:t>es documents sont donc à lire avec la plus grande attention.</w:t>
      </w:r>
    </w:p>
    <w:p w14:paraId="5287046B" w14:textId="1358EAAA" w:rsidR="00E84BD6" w:rsidRDefault="00E84BD6" w:rsidP="00E84BD6">
      <w:pPr>
        <w:pStyle w:val="Titre2"/>
      </w:pPr>
      <w:bookmarkStart w:id="40" w:name="_Toc201851411"/>
      <w:r>
        <w:t>Présentation de la candidature</w:t>
      </w:r>
      <w:bookmarkEnd w:id="40"/>
      <w:r>
        <w:tab/>
      </w:r>
    </w:p>
    <w:p w14:paraId="20C15BBC" w14:textId="77777777" w:rsidR="00E84BD6" w:rsidRDefault="00E84BD6" w:rsidP="00E84BD6">
      <w:pPr>
        <w:rPr>
          <w:b/>
        </w:rPr>
      </w:pPr>
      <w:r w:rsidRPr="00F27EBA">
        <w:rPr>
          <w:b/>
        </w:rPr>
        <w:t>Le candidat doit fournir une attestation sur l’honneur qu’il n’entre dans aucune des situations l’excluant de la commande publique.</w:t>
      </w:r>
    </w:p>
    <w:p w14:paraId="34E8ED20" w14:textId="77777777" w:rsidR="00E84BD6" w:rsidRDefault="00E84BD6" w:rsidP="00E84BD6">
      <w:pPr>
        <w:rPr>
          <w:b/>
        </w:rPr>
      </w:pPr>
    </w:p>
    <w:p w14:paraId="66DDB672" w14:textId="77777777" w:rsidR="00E84BD6" w:rsidRPr="00F27EBA" w:rsidRDefault="00E84BD6" w:rsidP="00E84BD6">
      <w:pPr>
        <w:rPr>
          <w:b/>
        </w:rPr>
      </w:pPr>
      <w:r w:rsidRPr="00F27EBA">
        <w:rPr>
          <w:b/>
        </w:rPr>
        <w:t>A cette fin il est invité à constituer son dossier de candidatures des pièces suivantes :</w:t>
      </w:r>
    </w:p>
    <w:p w14:paraId="62AD1ABD" w14:textId="77777777" w:rsidR="00E84BD6" w:rsidRDefault="0020731B" w:rsidP="00E84BD6">
      <w:sdt>
        <w:sdtPr>
          <w:id w:val="-1103025591"/>
          <w14:checkbox>
            <w14:checked w14:val="1"/>
            <w14:checkedState w14:val="2612" w14:font="MS Gothic"/>
            <w14:uncheckedState w14:val="2610" w14:font="MS Gothic"/>
          </w14:checkbox>
        </w:sdtPr>
        <w:sdtEndPr/>
        <w:sdtContent>
          <w:r w:rsidR="00E84BD6">
            <w:rPr>
              <w:rFonts w:ascii="MS Gothic" w:eastAsia="MS Gothic" w:hAnsi="MS Gothic" w:hint="eastAsia"/>
            </w:rPr>
            <w:t>☒</w:t>
          </w:r>
        </w:sdtContent>
      </w:sdt>
      <w:r w:rsidR="00E84BD6">
        <w:t xml:space="preserve"> </w:t>
      </w:r>
      <w:r w:rsidR="00E84BD6" w:rsidRPr="00F27EBA">
        <w:rPr>
          <w:b/>
        </w:rPr>
        <w:t>Une lettre de candidature</w:t>
      </w:r>
      <w:r w:rsidR="00E84BD6">
        <w:t xml:space="preserve"> et d’habilitation du mandataire par ses co-traitants, établie sur papier libre ou sur l’imprimé DC1.</w:t>
      </w:r>
    </w:p>
    <w:p w14:paraId="25E7B102" w14:textId="77777777" w:rsidR="00E84BD6" w:rsidRDefault="00E84BD6" w:rsidP="00846602">
      <w:pPr>
        <w:pStyle w:val="Paragraphedeliste"/>
        <w:numPr>
          <w:ilvl w:val="0"/>
          <w:numId w:val="12"/>
        </w:numPr>
        <w:spacing w:line="276" w:lineRule="auto"/>
        <w:contextualSpacing/>
      </w:pPr>
      <w:r>
        <w:t>Si la lettre de candidature est établie sur papier libre, le candidat doit préciser s’il se présente seul ou en groupement et, dans ce dernier cas, il doit indiquer :</w:t>
      </w:r>
    </w:p>
    <w:p w14:paraId="447E663A" w14:textId="77777777" w:rsidR="00E84BD6" w:rsidRDefault="00E84BD6" w:rsidP="00846602">
      <w:pPr>
        <w:pStyle w:val="Paragraphedeliste"/>
        <w:numPr>
          <w:ilvl w:val="0"/>
          <w:numId w:val="13"/>
        </w:numPr>
        <w:spacing w:line="276" w:lineRule="auto"/>
        <w:contextualSpacing/>
      </w:pPr>
      <w:r>
        <w:t>La forme du groupement (conjoint ou solidaire)</w:t>
      </w:r>
    </w:p>
    <w:p w14:paraId="4024AA5E" w14:textId="77777777" w:rsidR="00E84BD6" w:rsidRDefault="00E84BD6" w:rsidP="00846602">
      <w:pPr>
        <w:pStyle w:val="Paragraphedeliste"/>
        <w:numPr>
          <w:ilvl w:val="0"/>
          <w:numId w:val="13"/>
        </w:numPr>
        <w:spacing w:line="276" w:lineRule="auto"/>
        <w:contextualSpacing/>
      </w:pPr>
      <w:r>
        <w:t>Le mandataire</w:t>
      </w:r>
    </w:p>
    <w:p w14:paraId="59A8B62F" w14:textId="77777777" w:rsidR="00E84BD6" w:rsidRDefault="00E84BD6" w:rsidP="00E84BD6">
      <w:r>
        <w:t xml:space="preserve">En cas de candidature groupée, il est recommandé de renseigner un seul formulaire DC1. Chaque membre du groupement peut, toutefois, remplir un formulaire DC1 : le dossier de candidature sera alors constitué d’autant de </w:t>
      </w:r>
      <w:r>
        <w:lastRenderedPageBreak/>
        <w:t>formulaires DC1 que de membres du groupement. Dans ce cas, il appartient à chacun des membres de renseigner, de manière identique, les rubriques qui concernent le groupement dans son ensemble, notamment celle relative à la désignation du mandataire (rubrique G).</w:t>
      </w:r>
    </w:p>
    <w:p w14:paraId="38620157" w14:textId="77777777" w:rsidR="00E84BD6" w:rsidRDefault="0020731B" w:rsidP="00E84BD6">
      <w:sdt>
        <w:sdtPr>
          <w:id w:val="2042473532"/>
          <w14:checkbox>
            <w14:checked w14:val="1"/>
            <w14:checkedState w14:val="2612" w14:font="MS Gothic"/>
            <w14:uncheckedState w14:val="2610" w14:font="MS Gothic"/>
          </w14:checkbox>
        </w:sdtPr>
        <w:sdtEndPr/>
        <w:sdtContent>
          <w:r w:rsidR="00E84BD6">
            <w:rPr>
              <w:rFonts w:ascii="MS Gothic" w:eastAsia="MS Gothic" w:hAnsi="MS Gothic" w:hint="eastAsia"/>
            </w:rPr>
            <w:t>☒</w:t>
          </w:r>
        </w:sdtContent>
      </w:sdt>
      <w:r w:rsidR="00E84BD6">
        <w:t xml:space="preserve"> </w:t>
      </w:r>
      <w:r w:rsidR="00E84BD6" w:rsidRPr="00F27EBA">
        <w:t>Le</w:t>
      </w:r>
      <w:r w:rsidR="00E84BD6" w:rsidRPr="00F27EBA">
        <w:rPr>
          <w:b/>
        </w:rPr>
        <w:t xml:space="preserve"> </w:t>
      </w:r>
      <w:r w:rsidR="00E84BD6" w:rsidRPr="00F27EBA">
        <w:t>formulaire DC2</w:t>
      </w:r>
      <w:r w:rsidR="00E84BD6">
        <w:t xml:space="preserve"> ou document équivalent qui permet de </w:t>
      </w:r>
      <w:r w:rsidR="00E84BD6" w:rsidRPr="00F27EBA">
        <w:rPr>
          <w:b/>
        </w:rPr>
        <w:t>décrire le candidat ou les candidats en cas de groupement, leurs ressources et leurs capacités</w:t>
      </w:r>
      <w:r w:rsidR="00E84BD6">
        <w:t xml:space="preserve"> à répondre au marché d'un point de vue économique, financier, professionnel et technique.</w:t>
      </w:r>
    </w:p>
    <w:p w14:paraId="22DA3F66" w14:textId="77777777" w:rsidR="00E84BD6" w:rsidRDefault="00E84BD6" w:rsidP="00E84BD6">
      <w:r>
        <w:t>Ce document est renseigné par le candidat individuel ou, en cas de candidature groupée, par chaque membre du groupement.</w:t>
      </w:r>
    </w:p>
    <w:p w14:paraId="29BEE8E6" w14:textId="77777777" w:rsidR="00E84BD6" w:rsidRDefault="00E84BD6" w:rsidP="00E84BD6">
      <w:r w:rsidRPr="00F27EBA">
        <w:rPr>
          <w:b/>
        </w:rPr>
        <w:t>Les formulaires DC1 et DC2 sont disponibles à cette adresse :</w:t>
      </w:r>
      <w:r>
        <w:t xml:space="preserve"> </w:t>
      </w:r>
      <w:hyperlink r:id="rId13" w:history="1">
        <w:r w:rsidRPr="00D94629">
          <w:rPr>
            <w:rStyle w:val="Lienhypertexte"/>
          </w:rPr>
          <w:t>https://www.economie.gouv.fr/daj/formulaires-declaration-du-candidat</w:t>
        </w:r>
      </w:hyperlink>
      <w:r>
        <w:t xml:space="preserve"> </w:t>
      </w:r>
    </w:p>
    <w:p w14:paraId="1BF985EA" w14:textId="77777777" w:rsidR="00E84BD6" w:rsidRDefault="0020731B" w:rsidP="00E84BD6">
      <w:sdt>
        <w:sdtPr>
          <w:id w:val="-2130463720"/>
          <w14:checkbox>
            <w14:checked w14:val="1"/>
            <w14:checkedState w14:val="2612" w14:font="MS Gothic"/>
            <w14:uncheckedState w14:val="2610" w14:font="MS Gothic"/>
          </w14:checkbox>
        </w:sdtPr>
        <w:sdtEndPr/>
        <w:sdtContent>
          <w:r w:rsidR="00E84BD6">
            <w:rPr>
              <w:rFonts w:ascii="MS Gothic" w:eastAsia="MS Gothic" w:hAnsi="MS Gothic" w:hint="eastAsia"/>
            </w:rPr>
            <w:t>☒</w:t>
          </w:r>
        </w:sdtContent>
      </w:sdt>
      <w:r w:rsidR="00E84BD6">
        <w:t xml:space="preserve"> </w:t>
      </w:r>
      <w:r w:rsidR="00E84BD6" w:rsidRPr="00F27EBA">
        <w:rPr>
          <w:b/>
        </w:rPr>
        <w:t>En cas de sous-traitance</w:t>
      </w:r>
      <w:r w:rsidR="00E84BD6">
        <w:t xml:space="preserve">, le formulaire de déclaration de sous-traitance DC4 renseigné pour chaque sous-traitant, disponible à l’adresse suivante </w:t>
      </w:r>
      <w:hyperlink r:id="rId14" w:history="1">
        <w:r w:rsidR="00E84BD6" w:rsidRPr="00D94629">
          <w:rPr>
            <w:rStyle w:val="Lienhypertexte"/>
          </w:rPr>
          <w:t>http://www.economie.gouv.fr/daj/formulaires-declaration-candidat</w:t>
        </w:r>
      </w:hyperlink>
      <w:r w:rsidR="00E84BD6">
        <w:t>.</w:t>
      </w:r>
    </w:p>
    <w:p w14:paraId="4E932AFD" w14:textId="4777FD9A" w:rsidR="00E84BD6" w:rsidRDefault="00E84BD6" w:rsidP="00E84BD6"/>
    <w:p w14:paraId="6148CEEA" w14:textId="77777777" w:rsidR="0046341F" w:rsidRDefault="0046341F" w:rsidP="00E84BD6"/>
    <w:p w14:paraId="7EE50299" w14:textId="43DD61CC" w:rsidR="00E84BD6" w:rsidRDefault="00E84BD6" w:rsidP="00E84BD6">
      <w:r w:rsidRPr="000E5ABE">
        <w:rPr>
          <w:b/>
        </w:rPr>
        <w:t>AVERTISSEMENT :</w:t>
      </w:r>
      <w:r>
        <w:t xml:space="preserve"> Le marché ne peut être attribué au candidat retenu que sous réserve que celui-ci produise, dans le délai fixé par la demande de l’Administration, les certificats fiscaux et sociaux délivrés par les autorités compétentes ou équivalent pour les candidats non établis en France s’ils ne sont pas </w:t>
      </w:r>
      <w:r w:rsidR="0046341F">
        <w:t>disponibles</w:t>
      </w:r>
      <w:r>
        <w:t xml:space="preserve"> sur PLACE, la liste des salariés étrangers autorisés à exercer en France, l’attestation d’assurance responsabilité civile à jour.</w:t>
      </w:r>
    </w:p>
    <w:p w14:paraId="32A1ADDB" w14:textId="77777777" w:rsidR="00E84BD6" w:rsidRDefault="00E84BD6" w:rsidP="00E84BD6"/>
    <w:p w14:paraId="7F977136" w14:textId="1680E50E" w:rsidR="00E84BD6" w:rsidRDefault="00E84BD6" w:rsidP="00E84BD6">
      <w:pPr>
        <w:pStyle w:val="Titre2"/>
      </w:pPr>
      <w:bookmarkStart w:id="41" w:name="_Toc201851412"/>
      <w:r>
        <w:t>Informations demandées permettant l’évaluation des capacités financières, techniques et professionnelles des candidats</w:t>
      </w:r>
      <w:bookmarkEnd w:id="41"/>
      <w:r>
        <w:tab/>
      </w:r>
    </w:p>
    <w:p w14:paraId="6FDF2FD5" w14:textId="77777777" w:rsidR="00E84BD6" w:rsidRPr="00B326BD" w:rsidRDefault="00E84BD6" w:rsidP="00E84BD6">
      <w:r>
        <w:t>Les candidats doivent veiller à fournir dans leur dossier de candidature les informations suivantes :</w:t>
      </w:r>
    </w:p>
    <w:p w14:paraId="603AEB19" w14:textId="69E01589" w:rsidR="00E84BD6" w:rsidRDefault="00E84BD6" w:rsidP="00E84BD6">
      <w:pPr>
        <w:pStyle w:val="Titre3"/>
      </w:pPr>
      <w:bookmarkStart w:id="42" w:name="_Toc201851413"/>
      <w:r>
        <w:t>Capacités financières du candidat</w:t>
      </w:r>
      <w:bookmarkEnd w:id="42"/>
      <w:r>
        <w:tab/>
        <w:t xml:space="preserve"> </w:t>
      </w:r>
    </w:p>
    <w:p w14:paraId="4F5A0D80" w14:textId="77777777" w:rsidR="00E84BD6" w:rsidRDefault="0020731B" w:rsidP="00E84BD6">
      <w:sdt>
        <w:sdtPr>
          <w:rPr>
            <w:rFonts w:ascii="Segoe UI Symbol" w:hAnsi="Segoe UI Symbol" w:cs="Segoe UI Symbol"/>
          </w:rPr>
          <w:id w:val="-938373931"/>
          <w14:checkbox>
            <w14:checked w14:val="1"/>
            <w14:checkedState w14:val="2612" w14:font="MS Gothic"/>
            <w14:uncheckedState w14:val="2610" w14:font="MS Gothic"/>
          </w14:checkbox>
        </w:sdtPr>
        <w:sdtEndPr/>
        <w:sdtContent>
          <w:r w:rsidR="00E84BD6">
            <w:rPr>
              <w:rFonts w:ascii="MS Gothic" w:eastAsia="MS Gothic" w:hAnsi="MS Gothic" w:cs="Segoe UI Symbol" w:hint="eastAsia"/>
            </w:rPr>
            <w:t>☒</w:t>
          </w:r>
        </w:sdtContent>
      </w:sdt>
      <w:r w:rsidR="00E84BD6">
        <w:t xml:space="preserve"> Déclaration concernant le chiffre d'affaires global et le chiffre d'affaires du domaine d'activité faisant l'objet du marché public, réalisés au cours des </w:t>
      </w:r>
      <w:r w:rsidR="00E84BD6" w:rsidRPr="00B326BD">
        <w:rPr>
          <w:b/>
        </w:rPr>
        <w:t>trois (3) derniers exercices</w:t>
      </w:r>
      <w:r w:rsidR="00E84BD6">
        <w:t xml:space="preserve"> disponibles en fonction de la date de création de l'entreprise ou du début d'activité de l'opérateur économique, dans la mesure où les informations sur ces chiffres d'affaires sont disponibles ;</w:t>
      </w:r>
    </w:p>
    <w:p w14:paraId="4CC4C529" w14:textId="4CB415C8" w:rsidR="00E84BD6" w:rsidRDefault="00E84BD6" w:rsidP="00E84BD6">
      <w:pPr>
        <w:pStyle w:val="Titre3"/>
      </w:pPr>
      <w:bookmarkStart w:id="43" w:name="_Toc201851414"/>
      <w:r>
        <w:t>Capacités professionnelles et techniques du candidat</w:t>
      </w:r>
      <w:bookmarkEnd w:id="43"/>
      <w:r>
        <w:tab/>
      </w:r>
    </w:p>
    <w:p w14:paraId="33CC91AF" w14:textId="77777777" w:rsidR="00E84BD6" w:rsidRDefault="0020731B" w:rsidP="00E84BD6">
      <w:pPr>
        <w:tabs>
          <w:tab w:val="left" w:pos="837"/>
        </w:tabs>
      </w:pPr>
      <w:sdt>
        <w:sdtPr>
          <w:id w:val="1518353859"/>
          <w14:checkbox>
            <w14:checked w14:val="1"/>
            <w14:checkedState w14:val="2612" w14:font="MS Gothic"/>
            <w14:uncheckedState w14:val="2610" w14:font="MS Gothic"/>
          </w14:checkbox>
        </w:sdtPr>
        <w:sdtEndPr/>
        <w:sdtContent>
          <w:r w:rsidR="00E84BD6">
            <w:rPr>
              <w:rFonts w:ascii="MS Gothic" w:eastAsia="MS Gothic" w:hAnsi="MS Gothic" w:hint="eastAsia"/>
            </w:rPr>
            <w:t>☒</w:t>
          </w:r>
        </w:sdtContent>
      </w:sdt>
      <w:r w:rsidR="00E84BD6">
        <w:t xml:space="preserve"> Déclaration indiquant les effectifs moyens annuels du candidat et l'importance du personnel d'encadrement pendant les </w:t>
      </w:r>
      <w:r w:rsidR="00E84BD6" w:rsidRPr="00B326BD">
        <w:rPr>
          <w:b/>
        </w:rPr>
        <w:t>trois (3) dernières années</w:t>
      </w:r>
      <w:r w:rsidR="00E84BD6">
        <w:t xml:space="preserve"> ;</w:t>
      </w:r>
      <w:r w:rsidR="00E84BD6" w:rsidRPr="000E5ABE">
        <w:t xml:space="preserve"> </w:t>
      </w:r>
    </w:p>
    <w:p w14:paraId="49FDAD9B" w14:textId="374DACAE" w:rsidR="00E84BD6" w:rsidRDefault="0020731B" w:rsidP="00E84BD6">
      <w:pPr>
        <w:tabs>
          <w:tab w:val="left" w:pos="837"/>
        </w:tabs>
      </w:pPr>
      <w:sdt>
        <w:sdtPr>
          <w:id w:val="657589489"/>
          <w14:checkbox>
            <w14:checked w14:val="0"/>
            <w14:checkedState w14:val="2612" w14:font="MS Gothic"/>
            <w14:uncheckedState w14:val="2610" w14:font="MS Gothic"/>
          </w14:checkbox>
        </w:sdtPr>
        <w:sdtEndPr/>
        <w:sdtContent>
          <w:r w:rsidR="00115278">
            <w:rPr>
              <w:rFonts w:ascii="MS Gothic" w:eastAsia="MS Gothic" w:hAnsi="MS Gothic" w:hint="eastAsia"/>
            </w:rPr>
            <w:t>☐</w:t>
          </w:r>
        </w:sdtContent>
      </w:sdt>
      <w:r w:rsidR="00E84BD6">
        <w:t xml:space="preserve"> </w:t>
      </w:r>
      <w:r w:rsidR="00E84BD6" w:rsidRPr="000E5ABE">
        <w:t xml:space="preserve">Les moyens humains, le matériel et l’équipement technique dont le candidat dispose pour la réalisation de marchés de même nature et notamment pour </w:t>
      </w:r>
      <w:r w:rsidR="00E84BD6">
        <w:t>assurer la prestation (présentation du service de réservation accompagnée, site web…).</w:t>
      </w:r>
    </w:p>
    <w:p w14:paraId="23F9F4A4" w14:textId="77777777" w:rsidR="00E84BD6" w:rsidRDefault="0020731B" w:rsidP="00E84BD6">
      <w:sdt>
        <w:sdtPr>
          <w:id w:val="-1074740267"/>
          <w14:checkbox>
            <w14:checked w14:val="1"/>
            <w14:checkedState w14:val="2612" w14:font="MS Gothic"/>
            <w14:uncheckedState w14:val="2610" w14:font="MS Gothic"/>
          </w14:checkbox>
        </w:sdtPr>
        <w:sdtEndPr/>
        <w:sdtContent>
          <w:r w:rsidR="00E84BD6">
            <w:rPr>
              <w:rFonts w:ascii="MS Gothic" w:eastAsia="MS Gothic" w:hAnsi="MS Gothic" w:hint="eastAsia"/>
            </w:rPr>
            <w:t>☒</w:t>
          </w:r>
        </w:sdtContent>
      </w:sdt>
      <w:r w:rsidR="00E84BD6">
        <w:t xml:space="preserve"> </w:t>
      </w:r>
      <w:r w:rsidR="00E84BD6" w:rsidRPr="001F1DF6">
        <w:t xml:space="preserve">Présentation d'une liste des principales fournitures ou des principaux services effectués au cours des </w:t>
      </w:r>
      <w:r w:rsidR="00E84BD6" w:rsidRPr="001F1DF6">
        <w:rPr>
          <w:b/>
        </w:rPr>
        <w:t>trois (3</w:t>
      </w:r>
      <w:r w:rsidR="00E84BD6">
        <w:rPr>
          <w:b/>
        </w:rPr>
        <w:t xml:space="preserve">) </w:t>
      </w:r>
      <w:r w:rsidR="00E84BD6" w:rsidRPr="001F1DF6">
        <w:rPr>
          <w:b/>
        </w:rPr>
        <w:t>dernières années</w:t>
      </w:r>
      <w:r w:rsidR="00E84BD6" w:rsidRPr="001F1DF6">
        <w:t>, indiquant le montant, la date et le destinataire public ou privé. Les livraisons et les prestations de services sont prouvées par des attestations du destinataire ou, à défaut, par une déclaration de l'opérateur économique</w:t>
      </w:r>
    </w:p>
    <w:p w14:paraId="472B0F8B" w14:textId="77777777" w:rsidR="00E84BD6" w:rsidRDefault="00E84BD6" w:rsidP="00E84BD6">
      <w:r>
        <w:t>Conformément à l’article R.2143-13, les candidats ne sont pas tenus de fournir les documents et renseignements relatifs à la candidature que INRAE peut obtenir directement par le biais d'un système électronique de mise à disposition d'informations administré par un organisme officiel ou d'un espace de stockage numérique, à condition que figurent dans le dossier de candidature toutes les informations nécessaires à la consultation de ce système ou de cet espace et que l'accès à ceux-ci soit gratuit.</w:t>
      </w:r>
    </w:p>
    <w:p w14:paraId="5A002AC6" w14:textId="77777777" w:rsidR="00E84BD6" w:rsidRDefault="00E84BD6" w:rsidP="00E84BD6">
      <w:r>
        <w:t xml:space="preserve">En application des articles R.2142-2 et R.2142-3, pour justifier de ses capacités professionnelles, techniques et financières, le candidat, même s’il s’agit d’un groupement, peut demander que soient également prises en compte les </w:t>
      </w:r>
      <w:r>
        <w:lastRenderedPageBreak/>
        <w:t>capacités professionnelles, techniques et financières d’autres opérateurs économiques, quelle que soit la nature juridique des liens existant entre ces opérateurs et lui. Dans ce cas, il justifie des capacités de ce ou ces opérateurs économiques et apporte la preuve qu’il en disposera pour l’exécution du marché.</w:t>
      </w:r>
    </w:p>
    <w:p w14:paraId="5375E19E" w14:textId="77777777" w:rsidR="00E84BD6" w:rsidRDefault="00E84BD6" w:rsidP="00E84BD6"/>
    <w:tbl>
      <w:tblPr>
        <w:tblStyle w:val="Grilledutableau"/>
        <w:tblW w:w="0" w:type="auto"/>
        <w:tblLook w:val="04A0" w:firstRow="1" w:lastRow="0" w:firstColumn="1" w:lastColumn="0" w:noHBand="0" w:noVBand="1"/>
      </w:tblPr>
      <w:tblGrid>
        <w:gridCol w:w="9062"/>
      </w:tblGrid>
      <w:tr w:rsidR="00E84BD6" w14:paraId="68C4A793" w14:textId="77777777" w:rsidTr="00591245">
        <w:trPr>
          <w:trHeight w:val="1792"/>
        </w:trPr>
        <w:tc>
          <w:tcPr>
            <w:tcW w:w="9062" w:type="dxa"/>
          </w:tcPr>
          <w:p w14:paraId="6C5D559E" w14:textId="77777777" w:rsidR="00E84BD6" w:rsidRPr="001A3697" w:rsidRDefault="00E84BD6" w:rsidP="00591245">
            <w:r>
              <w:t xml:space="preserve">NOTA : </w:t>
            </w:r>
            <w:r w:rsidRPr="001A3697">
              <w:t>Ces pièces sont également à fournir pour </w:t>
            </w:r>
          </w:p>
          <w:p w14:paraId="53AA8BD4" w14:textId="77777777" w:rsidR="00E84BD6" w:rsidRPr="001A3697" w:rsidRDefault="00E84BD6" w:rsidP="00E84BD6">
            <w:pPr>
              <w:numPr>
                <w:ilvl w:val="1"/>
                <w:numId w:val="1"/>
              </w:numPr>
              <w:spacing w:before="0" w:after="0"/>
            </w:pPr>
            <w:r w:rsidRPr="001A3697">
              <w:t>Chaque cotraitant membre du groupement (à l’exception du DC1 à communiquer uniquement par le mandataire du groupement) ;</w:t>
            </w:r>
          </w:p>
          <w:p w14:paraId="50C3208D" w14:textId="77777777" w:rsidR="00E84BD6" w:rsidRDefault="00E84BD6" w:rsidP="00E84BD6">
            <w:pPr>
              <w:numPr>
                <w:ilvl w:val="1"/>
                <w:numId w:val="1"/>
              </w:numPr>
              <w:spacing w:before="0" w:after="0"/>
            </w:pPr>
            <w:r w:rsidRPr="001A3697">
              <w:t>Chaque sous-traitant. Ce dernier devra produire en appui du formulaire DC4 (déclaration de sous-traitance) uniquement le DC2 avec son annexe telle que demandée en</w:t>
            </w:r>
            <w:r>
              <w:t xml:space="preserve"> pièce n°2 du présent article).</w:t>
            </w:r>
          </w:p>
        </w:tc>
      </w:tr>
    </w:tbl>
    <w:p w14:paraId="22B76B4C" w14:textId="77777777" w:rsidR="0046341F" w:rsidRPr="00862892" w:rsidRDefault="0046341F" w:rsidP="00E84BD6"/>
    <w:p w14:paraId="2F8C302E" w14:textId="33B47C56" w:rsidR="00E84BD6" w:rsidRDefault="00E84BD6" w:rsidP="00E84BD6">
      <w:pPr>
        <w:pStyle w:val="Titre2"/>
      </w:pPr>
      <w:bookmarkStart w:id="44" w:name="_Toc201851415"/>
      <w:r>
        <w:t>Pièces à produire dans le cadre de l’offre</w:t>
      </w:r>
      <w:bookmarkEnd w:id="44"/>
      <w:r>
        <w:tab/>
      </w:r>
    </w:p>
    <w:p w14:paraId="302114C7" w14:textId="77777777" w:rsidR="00E84BD6" w:rsidRPr="00115278" w:rsidRDefault="00E84BD6" w:rsidP="00E84BD6">
      <w:r w:rsidRPr="00115278">
        <w:t>Le dossier à remettre par les candidats doit comporter :</w:t>
      </w:r>
    </w:p>
    <w:p w14:paraId="0026D563" w14:textId="77777777" w:rsidR="00E84BD6" w:rsidRPr="00115278" w:rsidRDefault="00E84BD6" w:rsidP="00846602">
      <w:pPr>
        <w:pStyle w:val="Paragraphedeliste"/>
        <w:numPr>
          <w:ilvl w:val="0"/>
          <w:numId w:val="14"/>
        </w:numPr>
        <w:tabs>
          <w:tab w:val="left" w:pos="142"/>
        </w:tabs>
        <w:spacing w:line="276" w:lineRule="auto"/>
        <w:contextualSpacing/>
      </w:pPr>
      <w:r w:rsidRPr="00115278">
        <w:t>L’acte d’engagement complété,</w:t>
      </w:r>
    </w:p>
    <w:p w14:paraId="6CD4E831" w14:textId="553B842E" w:rsidR="00E84BD6" w:rsidRPr="00115278" w:rsidRDefault="00E84BD6" w:rsidP="00846602">
      <w:pPr>
        <w:pStyle w:val="Paragraphedeliste"/>
        <w:numPr>
          <w:ilvl w:val="0"/>
          <w:numId w:val="14"/>
        </w:numPr>
        <w:tabs>
          <w:tab w:val="left" w:pos="142"/>
        </w:tabs>
        <w:spacing w:line="276" w:lineRule="auto"/>
        <w:contextualSpacing/>
      </w:pPr>
      <w:r w:rsidRPr="00115278">
        <w:t>Le Bordereau des prix complété</w:t>
      </w:r>
      <w:r w:rsidR="00115278" w:rsidRPr="00115278">
        <w:t xml:space="preserve"> pour chacun des lots candidatés,</w:t>
      </w:r>
    </w:p>
    <w:p w14:paraId="3EDC869B" w14:textId="0CB407A5" w:rsidR="00E84BD6" w:rsidRPr="00115278" w:rsidRDefault="00115278" w:rsidP="00846602">
      <w:pPr>
        <w:pStyle w:val="Paragraphedeliste"/>
        <w:numPr>
          <w:ilvl w:val="0"/>
          <w:numId w:val="14"/>
        </w:numPr>
        <w:tabs>
          <w:tab w:val="left" w:pos="142"/>
        </w:tabs>
        <w:spacing w:line="276" w:lineRule="auto"/>
        <w:contextualSpacing/>
      </w:pPr>
      <w:r w:rsidRPr="00115278">
        <w:t>L</w:t>
      </w:r>
      <w:r w:rsidR="00C62DD7" w:rsidRPr="00115278">
        <w:t xml:space="preserve">e cadre de réponse technique </w:t>
      </w:r>
      <w:r w:rsidRPr="00115278">
        <w:t xml:space="preserve">complété pour chacun des lots candidatés </w:t>
      </w:r>
      <w:r w:rsidR="00C62DD7" w:rsidRPr="00115278">
        <w:t>constituant le mémoire technique de l’offre</w:t>
      </w:r>
      <w:r>
        <w:t>,</w:t>
      </w:r>
    </w:p>
    <w:p w14:paraId="57A254B7" w14:textId="31F826D4" w:rsidR="0046341F" w:rsidRPr="00115278" w:rsidRDefault="0046341F" w:rsidP="00846602">
      <w:pPr>
        <w:pStyle w:val="Paragraphedeliste"/>
        <w:numPr>
          <w:ilvl w:val="0"/>
          <w:numId w:val="14"/>
        </w:numPr>
        <w:tabs>
          <w:tab w:val="left" w:pos="142"/>
        </w:tabs>
        <w:spacing w:line="276" w:lineRule="auto"/>
        <w:contextualSpacing/>
      </w:pPr>
      <w:r w:rsidRPr="00115278">
        <w:t xml:space="preserve">Un RIB </w:t>
      </w:r>
    </w:p>
    <w:p w14:paraId="73D798E4" w14:textId="77777777" w:rsidR="00E84BD6" w:rsidRDefault="00E84BD6" w:rsidP="00E84BD6">
      <w:r>
        <w:t>NOTA : Les candidats acceptent sans restriction, ni réserve les documents régissant le marché, notamment le CCAP et le CCTP, sous peine de rendre leur offre irrégulière.</w:t>
      </w:r>
    </w:p>
    <w:p w14:paraId="4223A678" w14:textId="77777777" w:rsidR="00E84BD6" w:rsidRDefault="00E84BD6" w:rsidP="00E84BD6">
      <w:pPr>
        <w:pStyle w:val="Titre1"/>
      </w:pPr>
      <w:bookmarkStart w:id="45" w:name="_Toc201851416"/>
      <w:r>
        <w:t>Modalités de transmissions des réponses</w:t>
      </w:r>
      <w:bookmarkEnd w:id="45"/>
      <w:r>
        <w:tab/>
      </w:r>
    </w:p>
    <w:p w14:paraId="6CB627D7" w14:textId="77777777" w:rsidR="00E84BD6" w:rsidRPr="000E5ABE" w:rsidRDefault="00E84BD6" w:rsidP="00E84BD6">
      <w:pPr>
        <w:rPr>
          <w:sz w:val="2"/>
          <w:szCs w:val="2"/>
        </w:rPr>
      </w:pPr>
    </w:p>
    <w:tbl>
      <w:tblPr>
        <w:tblStyle w:val="Grilledutableau"/>
        <w:tblW w:w="0" w:type="auto"/>
        <w:tblLook w:val="04A0" w:firstRow="1" w:lastRow="0" w:firstColumn="1" w:lastColumn="0" w:noHBand="0" w:noVBand="1"/>
      </w:tblPr>
      <w:tblGrid>
        <w:gridCol w:w="9062"/>
      </w:tblGrid>
      <w:tr w:rsidR="00E84BD6" w14:paraId="2040D877" w14:textId="77777777" w:rsidTr="00591245">
        <w:tc>
          <w:tcPr>
            <w:tcW w:w="9062" w:type="dxa"/>
          </w:tcPr>
          <w:p w14:paraId="2323675B" w14:textId="77777777" w:rsidR="00E84BD6" w:rsidRPr="00862892" w:rsidRDefault="00E84BD6" w:rsidP="00591245">
            <w:pPr>
              <w:jc w:val="center"/>
              <w:rPr>
                <w:b/>
              </w:rPr>
            </w:pPr>
            <w:r w:rsidRPr="00862892">
              <w:rPr>
                <w:b/>
              </w:rPr>
              <w:t>La date et l’heure limite de remise des réponses à la présente consultation est indiquée sur la page de garde du présent document.</w:t>
            </w:r>
          </w:p>
        </w:tc>
      </w:tr>
    </w:tbl>
    <w:p w14:paraId="72BD0EDD" w14:textId="77777777" w:rsidR="00E84BD6" w:rsidRPr="000E5ABE" w:rsidRDefault="00E84BD6" w:rsidP="00E84BD6">
      <w:pPr>
        <w:rPr>
          <w:sz w:val="2"/>
          <w:szCs w:val="2"/>
        </w:rPr>
      </w:pPr>
    </w:p>
    <w:p w14:paraId="59F038FB" w14:textId="466C2700" w:rsidR="00E84BD6" w:rsidRDefault="00E84BD6" w:rsidP="00E84BD6">
      <w:pPr>
        <w:pStyle w:val="Titre2"/>
      </w:pPr>
      <w:bookmarkStart w:id="46" w:name="_Toc201851417"/>
      <w:r>
        <w:t>Remise dématérialisée</w:t>
      </w:r>
      <w:bookmarkEnd w:id="46"/>
      <w:r>
        <w:tab/>
      </w:r>
    </w:p>
    <w:p w14:paraId="6FC6E965" w14:textId="77777777" w:rsidR="00E84BD6" w:rsidRDefault="00E84BD6" w:rsidP="00E84BD6">
      <w:r>
        <w:t xml:space="preserve">En application de l'article R.2132-7 et suivants du Code de la commande publique, la transmission des documents en réponse à la consultation par voie électronique est obligatoire. Elle s'effectue en utilisant la plateforme PLACE disponible à l’adresse suivante : </w:t>
      </w:r>
      <w:hyperlink r:id="rId15" w:history="1">
        <w:r w:rsidRPr="00D94629">
          <w:rPr>
            <w:rStyle w:val="Lienhypertexte"/>
          </w:rPr>
          <w:t>https://www.marches-publics.gouv.fr/</w:t>
        </w:r>
      </w:hyperlink>
      <w:r>
        <w:t xml:space="preserve"> </w:t>
      </w:r>
    </w:p>
    <w:p w14:paraId="3CF4BD54" w14:textId="77777777" w:rsidR="00E84BD6" w:rsidRDefault="00E84BD6" w:rsidP="00E84BD6">
      <w:r>
        <w:t>Les candidats trouveront sur ce site un « guide utilisateur » téléchargeable qui précise les conditions d'utilisations de la plate-forme des achats de l'État PLACE, notamment les prérequis techniques au dépôt d'une offre dématérialisée.</w:t>
      </w:r>
    </w:p>
    <w:p w14:paraId="14102040" w14:textId="77777777" w:rsidR="00E84BD6" w:rsidRDefault="00E84BD6" w:rsidP="00E84BD6">
      <w:r>
        <w:t>Aucun autre mode de transmission n’est autorisé. Notamment, l'envoi des documents sur une boite mail d'un contact INRAE identifié n'est pas autorisé.</w:t>
      </w:r>
    </w:p>
    <w:p w14:paraId="49B1FDD5" w14:textId="77777777" w:rsidR="00E84BD6" w:rsidRPr="00B326BD" w:rsidRDefault="00E84BD6" w:rsidP="00E84BD6">
      <w:pPr>
        <w:rPr>
          <w:u w:val="single"/>
        </w:rPr>
      </w:pPr>
      <w:r w:rsidRPr="00B326BD">
        <w:rPr>
          <w:u w:val="single"/>
        </w:rPr>
        <w:t>Horodatage :</w:t>
      </w:r>
    </w:p>
    <w:p w14:paraId="4C63B243" w14:textId="77777777" w:rsidR="00E84BD6" w:rsidRDefault="00E84BD6" w:rsidP="00E84BD6">
      <w:r>
        <w:t xml:space="preserve">Les plis transmis par voie dématérialisée sont horodatés. Tout pli dont le début de chargement commence après la date et de l’heure limite de </w:t>
      </w:r>
      <w:proofErr w:type="gramStart"/>
      <w:r>
        <w:t>dépôt susmentionnées</w:t>
      </w:r>
      <w:proofErr w:type="gramEnd"/>
      <w:r>
        <w:t xml:space="preserve"> sera considéré comme remis hors délais. Il ne sera pas ouvert et sera déclaré irrecevable.</w:t>
      </w:r>
    </w:p>
    <w:p w14:paraId="27BAA509" w14:textId="77777777" w:rsidR="00E84BD6" w:rsidRDefault="00E84BD6" w:rsidP="00E84BD6">
      <w:r>
        <w:t>La date et l’heure prises en compte pour la remise des réponses sont celles données par la plateforme PLACE à réception des documents envoyés par le candidat.</w:t>
      </w:r>
    </w:p>
    <w:p w14:paraId="3E5A04F0" w14:textId="77777777" w:rsidR="00E84BD6" w:rsidRPr="00B326BD" w:rsidRDefault="00E84BD6" w:rsidP="00E84BD6">
      <w:pPr>
        <w:rPr>
          <w:u w:val="single"/>
        </w:rPr>
      </w:pPr>
      <w:r w:rsidRPr="00B326BD">
        <w:rPr>
          <w:u w:val="single"/>
        </w:rPr>
        <w:t>Sécurité et confidentialité des candidatures :</w:t>
      </w:r>
    </w:p>
    <w:p w14:paraId="1E7C4DA5" w14:textId="05F686AA" w:rsidR="00E84BD6" w:rsidRDefault="00E84BD6" w:rsidP="00E84BD6">
      <w:r>
        <w:lastRenderedPageBreak/>
        <w:t>La sécurité des transactions sera principalement obtenue par l’utilisation d’un protocole https. La confidentialité des informations contenues dans les réponses envoyées par voie dématérialisée est notamment garantie par le chiffrement des fichiers transmis.</w:t>
      </w:r>
    </w:p>
    <w:p w14:paraId="5D98EA4B" w14:textId="77777777" w:rsidR="00A67850" w:rsidRDefault="00A67850" w:rsidP="00E84BD6"/>
    <w:p w14:paraId="21BB8058" w14:textId="77777777" w:rsidR="00E84BD6" w:rsidRPr="00B326BD" w:rsidRDefault="00E84BD6" w:rsidP="00E84BD6">
      <w:pPr>
        <w:rPr>
          <w:u w:val="single"/>
        </w:rPr>
      </w:pPr>
      <w:r w:rsidRPr="00B326BD">
        <w:rPr>
          <w:u w:val="single"/>
        </w:rPr>
        <w:t>Format des fichiers électroniques :</w:t>
      </w:r>
    </w:p>
    <w:p w14:paraId="31377BCC" w14:textId="77777777" w:rsidR="00E84BD6" w:rsidRDefault="00E84BD6" w:rsidP="00E84BD6">
      <w:r>
        <w:t>Les formats compatibles avec le système informatique de INRAE sont les suivants :</w:t>
      </w:r>
    </w:p>
    <w:p w14:paraId="222EAC71" w14:textId="49A21165" w:rsidR="0046341F" w:rsidRDefault="00E84BD6" w:rsidP="0046341F">
      <w:pPr>
        <w:pStyle w:val="Paragraphedeliste"/>
        <w:numPr>
          <w:ilvl w:val="0"/>
          <w:numId w:val="15"/>
        </w:numPr>
        <w:spacing w:line="276" w:lineRule="auto"/>
        <w:contextualSpacing/>
      </w:pPr>
      <w:r>
        <w:t>.doc ; .</w:t>
      </w:r>
      <w:proofErr w:type="spellStart"/>
      <w:r>
        <w:t>xls</w:t>
      </w:r>
      <w:proofErr w:type="spellEnd"/>
      <w:r>
        <w:t xml:space="preserve"> ; .</w:t>
      </w:r>
      <w:proofErr w:type="spellStart"/>
      <w:r>
        <w:t>ppt</w:t>
      </w:r>
      <w:proofErr w:type="spellEnd"/>
      <w:r>
        <w:t xml:space="preserve"> ; .</w:t>
      </w:r>
      <w:proofErr w:type="spellStart"/>
      <w:r>
        <w:t>pdf</w:t>
      </w:r>
      <w:proofErr w:type="spellEnd"/>
      <w:r>
        <w:t xml:space="preserve">. ; </w:t>
      </w:r>
      <w:proofErr w:type="spellStart"/>
      <w:r>
        <w:t>rtf</w:t>
      </w:r>
      <w:proofErr w:type="spellEnd"/>
      <w:r>
        <w:t>, .zip, .docx, .xlsx, .pptx ;</w:t>
      </w:r>
    </w:p>
    <w:p w14:paraId="4A2F39D9" w14:textId="77777777" w:rsidR="00E84BD6" w:rsidRDefault="00E84BD6" w:rsidP="00E84BD6">
      <w:r>
        <w:t>Le candidat est invité à :</w:t>
      </w:r>
    </w:p>
    <w:p w14:paraId="10CB0EBB" w14:textId="77777777" w:rsidR="00E84BD6" w:rsidRDefault="00E84BD6" w:rsidP="00846602">
      <w:pPr>
        <w:pStyle w:val="Paragraphedeliste"/>
        <w:numPr>
          <w:ilvl w:val="0"/>
          <w:numId w:val="15"/>
        </w:numPr>
        <w:spacing w:line="276" w:lineRule="auto"/>
        <w:contextualSpacing/>
      </w:pPr>
      <w:r>
        <w:t>Le cas échéant, transmettre le bordereau de prix au format .</w:t>
      </w:r>
      <w:proofErr w:type="spellStart"/>
      <w:r>
        <w:t>xls</w:t>
      </w:r>
      <w:proofErr w:type="spellEnd"/>
      <w:r>
        <w:t xml:space="preserve"> </w:t>
      </w:r>
      <w:proofErr w:type="gramStart"/>
      <w:r>
        <w:t>ou</w:t>
      </w:r>
      <w:proofErr w:type="gramEnd"/>
      <w:r>
        <w:t xml:space="preserve"> .xlsx (.doc ou .docx ou .</w:t>
      </w:r>
      <w:proofErr w:type="spellStart"/>
      <w:r>
        <w:t>pdf</w:t>
      </w:r>
      <w:proofErr w:type="spellEnd"/>
      <w:r>
        <w:t>)</w:t>
      </w:r>
    </w:p>
    <w:p w14:paraId="5900C7B1" w14:textId="77777777" w:rsidR="00E84BD6" w:rsidRDefault="00E84BD6" w:rsidP="00E84BD6">
      <w:r>
        <w:t>Et le cadre de sa réponse technique au format .doc, .docx (</w:t>
      </w:r>
      <w:proofErr w:type="gramStart"/>
      <w:r>
        <w:t>ou</w:t>
      </w:r>
      <w:proofErr w:type="gramEnd"/>
      <w:r>
        <w:t xml:space="preserve"> .</w:t>
      </w:r>
      <w:proofErr w:type="spellStart"/>
      <w:r>
        <w:t>pdf</w:t>
      </w:r>
      <w:proofErr w:type="spellEnd"/>
      <w:r>
        <w:t>) ;</w:t>
      </w:r>
    </w:p>
    <w:p w14:paraId="0DF9AE24" w14:textId="77777777" w:rsidR="00E84BD6" w:rsidRDefault="00E84BD6" w:rsidP="00846602">
      <w:pPr>
        <w:pStyle w:val="Paragraphedeliste"/>
        <w:numPr>
          <w:ilvl w:val="0"/>
          <w:numId w:val="15"/>
        </w:numPr>
        <w:spacing w:line="276" w:lineRule="auto"/>
        <w:contextualSpacing/>
      </w:pPr>
      <w:r>
        <w:t>Ne pas utiliser de fichiers exécutables .exe ;</w:t>
      </w:r>
    </w:p>
    <w:p w14:paraId="3E9A5094" w14:textId="77777777" w:rsidR="00E84BD6" w:rsidRDefault="00E84BD6" w:rsidP="00846602">
      <w:pPr>
        <w:pStyle w:val="Paragraphedeliste"/>
        <w:numPr>
          <w:ilvl w:val="0"/>
          <w:numId w:val="15"/>
        </w:numPr>
        <w:spacing w:line="276" w:lineRule="auto"/>
        <w:contextualSpacing/>
      </w:pPr>
      <w:r>
        <w:t>Ne pas utiliser de macros ;</w:t>
      </w:r>
    </w:p>
    <w:p w14:paraId="41120BC4" w14:textId="77777777" w:rsidR="00E84BD6" w:rsidRDefault="00E84BD6" w:rsidP="00846602">
      <w:pPr>
        <w:pStyle w:val="Paragraphedeliste"/>
        <w:numPr>
          <w:ilvl w:val="0"/>
          <w:numId w:val="15"/>
        </w:numPr>
        <w:spacing w:line="276" w:lineRule="auto"/>
        <w:contextualSpacing/>
      </w:pPr>
      <w:r>
        <w:t>Ne pas utiliser de liaisons de données dans ses documents.</w:t>
      </w:r>
    </w:p>
    <w:p w14:paraId="6C5A3B69" w14:textId="77777777" w:rsidR="00E84BD6" w:rsidRPr="00B326BD" w:rsidRDefault="00E84BD6" w:rsidP="00E84BD6">
      <w:pPr>
        <w:rPr>
          <w:u w:val="single"/>
        </w:rPr>
      </w:pPr>
      <w:r w:rsidRPr="00B326BD">
        <w:rPr>
          <w:u w:val="single"/>
        </w:rPr>
        <w:t>Anti-virus :</w:t>
      </w:r>
    </w:p>
    <w:p w14:paraId="5CA629D9" w14:textId="77777777" w:rsidR="00E84BD6" w:rsidRDefault="00E84BD6" w:rsidP="00846602">
      <w:pPr>
        <w:pStyle w:val="Paragraphedeliste"/>
        <w:numPr>
          <w:ilvl w:val="0"/>
          <w:numId w:val="15"/>
        </w:numPr>
        <w:spacing w:line="276" w:lineRule="auto"/>
        <w:contextualSpacing/>
      </w:pPr>
      <w:r>
        <w:t>Les candidats s’assurent avant l’envoi de leur pli que les fichiers transmis ne comportent pas de virus. Tout fichier constitutif de la candidature doit préalablement être traité par le soumissionnaire avec un anti-virus. En effet, la réception de tout fichier contenant un virus est susceptible d’entraîner l’irrecevabilité de la candidature ou de l’offre ;</w:t>
      </w:r>
    </w:p>
    <w:p w14:paraId="49AFA8FF" w14:textId="220D9680" w:rsidR="00F856A3" w:rsidRDefault="00E84BD6" w:rsidP="00F856A3">
      <w:pPr>
        <w:pStyle w:val="Paragraphedeliste"/>
        <w:numPr>
          <w:ilvl w:val="0"/>
          <w:numId w:val="15"/>
        </w:numPr>
        <w:spacing w:line="276" w:lineRule="auto"/>
        <w:contextualSpacing/>
      </w:pPr>
      <w:r>
        <w:t xml:space="preserve">Si un virus était détecté, la copie de sauvegarde transmise le cas échéant sera ouverte. En cas d’absence de copie de sauvegarde ou lorsque cette même copie de sauvegarde transmise sur support physique électronique contient un virus, le pli est considéré comme n’ayant jamais été reçu, et le candidat sera averti grâce aux renseignements saisis lors de son identification. </w:t>
      </w:r>
    </w:p>
    <w:p w14:paraId="7E535E53" w14:textId="77777777" w:rsidR="00F856A3" w:rsidRDefault="00F856A3" w:rsidP="00F856A3">
      <w:pPr>
        <w:pStyle w:val="Paragraphedeliste"/>
        <w:spacing w:line="276" w:lineRule="auto"/>
        <w:ind w:left="770"/>
        <w:contextualSpacing/>
      </w:pPr>
    </w:p>
    <w:p w14:paraId="09F4C254" w14:textId="44E40535" w:rsidR="00E84BD6" w:rsidRDefault="00E84BD6" w:rsidP="00E84BD6">
      <w:pPr>
        <w:pStyle w:val="Titre2"/>
      </w:pPr>
      <w:bookmarkStart w:id="47" w:name="_Toc201851418"/>
      <w:r>
        <w:t>Copie de sauvegarde</w:t>
      </w:r>
      <w:bookmarkEnd w:id="47"/>
      <w:r>
        <w:tab/>
      </w:r>
    </w:p>
    <w:p w14:paraId="0DCFBDED" w14:textId="77777777" w:rsidR="00E84BD6" w:rsidRDefault="00E84BD6" w:rsidP="00E84BD6">
      <w:r>
        <w:t>Une copie de sauvegarde est une copie à l’identique de la réponse électronique déposée sur la plateforme PLACE destinée à se substituer, en cas d’anomalies, aux dossiers des candidatures et des offres transmis par voie électronique, elle n’est pas obligatoire.</w:t>
      </w:r>
    </w:p>
    <w:p w14:paraId="75B5E36B" w14:textId="77777777" w:rsidR="00E84BD6" w:rsidRDefault="00E84BD6" w:rsidP="00E84BD6">
      <w:r>
        <w:t>La remise du pli électronique sur la plateforme PLACE par le candidat peut donc être doublée de la remise d’une copie de sauvegarde dans les mêmes délais impartis que le dépôt autorisé sur la plateforme, sur support physique (clé USB ou support papier).</w:t>
      </w:r>
    </w:p>
    <w:p w14:paraId="5DE27429" w14:textId="77777777" w:rsidR="00E84BD6" w:rsidRDefault="00E84BD6" w:rsidP="00E84BD6">
      <w:r>
        <w:t xml:space="preserve">Cette copie de sauvegarde ne sera ouverte que dans les cas suivants : </w:t>
      </w:r>
    </w:p>
    <w:p w14:paraId="538F1F23" w14:textId="77777777" w:rsidR="00E84BD6" w:rsidRDefault="00E84BD6" w:rsidP="00846602">
      <w:pPr>
        <w:pStyle w:val="Paragraphedeliste"/>
        <w:numPr>
          <w:ilvl w:val="0"/>
          <w:numId w:val="17"/>
        </w:numPr>
        <w:spacing w:line="276" w:lineRule="auto"/>
        <w:contextualSpacing/>
      </w:pPr>
      <w:r>
        <w:t>Lorsqu’un programme informatique malveillant est détecté dans les candidatures et / ou les offres transmises par voie électronique sur le profil d’acheteur ;</w:t>
      </w:r>
    </w:p>
    <w:p w14:paraId="34AA5E2D" w14:textId="77777777" w:rsidR="00E84BD6" w:rsidRDefault="00E84BD6" w:rsidP="00846602">
      <w:pPr>
        <w:pStyle w:val="Paragraphedeliste"/>
        <w:numPr>
          <w:ilvl w:val="0"/>
          <w:numId w:val="17"/>
        </w:numPr>
        <w:spacing w:line="276" w:lineRule="auto"/>
        <w:contextualSpacing/>
      </w:pPr>
      <w:r>
        <w:t>Lorsqu’une offre est parvenue par voie électronique sur le profil d’acheteur et n’a pu être ouverte ;</w:t>
      </w:r>
    </w:p>
    <w:p w14:paraId="06EBC3BC" w14:textId="77777777" w:rsidR="00E84BD6" w:rsidRDefault="00E84BD6" w:rsidP="00846602">
      <w:pPr>
        <w:pStyle w:val="Paragraphedeliste"/>
        <w:numPr>
          <w:ilvl w:val="0"/>
          <w:numId w:val="17"/>
        </w:numPr>
        <w:spacing w:line="276" w:lineRule="auto"/>
        <w:contextualSpacing/>
      </w:pPr>
      <w:r>
        <w:t xml:space="preserve">Lorsqu’un problème technique émanant de la plate-forme de dématérialisation, objectivement sans lien avec le soumissionnaire, empêche ce dernier de remettre un pli électronique. Dans ce cas le soumissionnaire devra prouver par tout moyen de preuve (ticket ouvert au support PLACE, copies-écran, </w:t>
      </w:r>
      <w:proofErr w:type="spellStart"/>
      <w:r>
        <w:t>etc</w:t>
      </w:r>
      <w:proofErr w:type="spellEnd"/>
      <w:r>
        <w:t xml:space="preserve"> …), qu’il a tenté de remettre un pli et qu’il a été objectivement dans l’impossibilité de le déposer sur la plate-forme. Attention le problème doit résulter de la plate-forme et non d’une mauvaise configuration du poste du soumissionnaire à partir duquel est remis le pli ou encore d’un empêchement dû aux filtres de sécurité du soumissionnaire ou de tout autre motif qui ne résulte pas entièrement de la plate-forme.</w:t>
      </w:r>
    </w:p>
    <w:p w14:paraId="1DC0BF8B" w14:textId="77777777" w:rsidR="00E84BD6" w:rsidRDefault="00E84BD6" w:rsidP="00E84BD6">
      <w:r>
        <w:lastRenderedPageBreak/>
        <w:t>La copie de sauvegarde comporte toutes les pièces de la candidature et de l’offre. Elle est placée sous enveloppe cachetée (ou tout autre emballage adapté et scellé).</w:t>
      </w:r>
    </w:p>
    <w:p w14:paraId="0680EC79" w14:textId="77777777" w:rsidR="00E84BD6" w:rsidRDefault="00E84BD6" w:rsidP="00E84BD6">
      <w:r>
        <w:t>En cas de copie de sauvegarde électronique elle-même vérolée, celle-ci sera écartée par l’acheteur.</w:t>
      </w:r>
    </w:p>
    <w:p w14:paraId="68CE2530" w14:textId="77777777" w:rsidR="00E84BD6" w:rsidRDefault="00E84BD6" w:rsidP="00E84BD6">
      <w:r>
        <w:t xml:space="preserve">Cette copie est transmise sous pli scellé et comporte obligatoirement la mention </w:t>
      </w:r>
    </w:p>
    <w:p w14:paraId="47759E85" w14:textId="77777777" w:rsidR="00E84BD6" w:rsidRDefault="00E84BD6" w:rsidP="00E84BD6">
      <w:pPr>
        <w:jc w:val="center"/>
        <w:rPr>
          <w:b/>
        </w:rPr>
      </w:pPr>
      <w:r>
        <w:rPr>
          <w:b/>
        </w:rPr>
        <w:t>INRAE</w:t>
      </w:r>
    </w:p>
    <w:p w14:paraId="064F265E" w14:textId="13B17168" w:rsidR="00E84BD6" w:rsidRDefault="00E84BD6" w:rsidP="00E84BD6">
      <w:pPr>
        <w:jc w:val="center"/>
        <w:rPr>
          <w:b/>
        </w:rPr>
      </w:pPr>
      <w:r>
        <w:rPr>
          <w:b/>
        </w:rPr>
        <w:t>202</w:t>
      </w:r>
      <w:r w:rsidR="00064A8B">
        <w:rPr>
          <w:b/>
        </w:rPr>
        <w:t>5</w:t>
      </w:r>
      <w:r>
        <w:rPr>
          <w:b/>
        </w:rPr>
        <w:t>_INRAE_AOO_</w:t>
      </w:r>
      <w:r w:rsidR="00064A8B">
        <w:rPr>
          <w:b/>
        </w:rPr>
        <w:t>CARTESACHAT&amp;CORPORATE</w:t>
      </w:r>
    </w:p>
    <w:p w14:paraId="257F93A8" w14:textId="77777777" w:rsidR="00E84BD6" w:rsidRDefault="00E84BD6" w:rsidP="00E84BD6">
      <w:pPr>
        <w:jc w:val="center"/>
        <w:rPr>
          <w:b/>
        </w:rPr>
      </w:pPr>
      <w:r>
        <w:rPr>
          <w:b/>
        </w:rPr>
        <w:t>COPIE DE SAUVEGARDE</w:t>
      </w:r>
    </w:p>
    <w:p w14:paraId="2A504DA7" w14:textId="77777777" w:rsidR="00E84BD6" w:rsidRDefault="00E84BD6" w:rsidP="00E84BD6">
      <w:pPr>
        <w:jc w:val="center"/>
      </w:pPr>
      <w:r w:rsidRPr="003C1A63">
        <w:rPr>
          <w:b/>
        </w:rPr>
        <w:t>CONFIDENTIEL</w:t>
      </w:r>
    </w:p>
    <w:p w14:paraId="65BFCD4B" w14:textId="77777777" w:rsidR="00E84BD6" w:rsidRDefault="00E84BD6" w:rsidP="00E84BD6">
      <w:pPr>
        <w:jc w:val="center"/>
      </w:pPr>
      <w:r w:rsidRPr="0084766D">
        <w:rPr>
          <w:b/>
        </w:rPr>
        <w:t>Le nom du candidat</w:t>
      </w:r>
      <w:r>
        <w:t>.</w:t>
      </w:r>
    </w:p>
    <w:p w14:paraId="0A3396FB" w14:textId="77777777" w:rsidR="00E84BD6" w:rsidRDefault="00E84BD6" w:rsidP="00E84BD6">
      <w:pPr>
        <w:spacing w:before="0" w:after="0"/>
      </w:pPr>
    </w:p>
    <w:p w14:paraId="7833E1C3" w14:textId="77777777" w:rsidR="00E84BD6" w:rsidRDefault="00E84BD6" w:rsidP="00E84BD6">
      <w:r>
        <w:t>L’adresse d’envoi de la copie de sauvegarde est la suivante :</w:t>
      </w:r>
    </w:p>
    <w:p w14:paraId="7968FA16" w14:textId="77777777" w:rsidR="00E84BD6" w:rsidRDefault="00E84BD6" w:rsidP="00E84BD6">
      <w:pPr>
        <w:jc w:val="center"/>
      </w:pPr>
      <w:r>
        <w:t>INRAE</w:t>
      </w:r>
    </w:p>
    <w:p w14:paraId="4B4F0EC2" w14:textId="77777777" w:rsidR="00E84BD6" w:rsidRDefault="00E84BD6" w:rsidP="00E84BD6">
      <w:pPr>
        <w:jc w:val="center"/>
      </w:pPr>
      <w:r>
        <w:t>DIFA – Service des Achats – DIFA – 5eme étage</w:t>
      </w:r>
    </w:p>
    <w:p w14:paraId="32F6108E" w14:textId="77777777" w:rsidR="00E84BD6" w:rsidRDefault="00E84BD6" w:rsidP="00E84BD6">
      <w:pPr>
        <w:jc w:val="center"/>
      </w:pPr>
      <w:r>
        <w:t>147, rue de l'Université</w:t>
      </w:r>
    </w:p>
    <w:p w14:paraId="24E5D687" w14:textId="77777777" w:rsidR="00E84BD6" w:rsidRDefault="00E84BD6" w:rsidP="00E84BD6">
      <w:pPr>
        <w:jc w:val="center"/>
      </w:pPr>
      <w:r>
        <w:t>75338 Paris Cedex 07</w:t>
      </w:r>
    </w:p>
    <w:p w14:paraId="2063C2B3" w14:textId="77777777" w:rsidR="00E84BD6" w:rsidRDefault="00E84BD6" w:rsidP="00E84BD6">
      <w:r>
        <w:t>Cette copie peut être :</w:t>
      </w:r>
    </w:p>
    <w:p w14:paraId="2E3115B6" w14:textId="77777777" w:rsidR="00E84BD6" w:rsidRDefault="00E84BD6" w:rsidP="00846602">
      <w:pPr>
        <w:pStyle w:val="Paragraphedeliste"/>
        <w:numPr>
          <w:ilvl w:val="0"/>
          <w:numId w:val="16"/>
        </w:numPr>
        <w:spacing w:line="276" w:lineRule="auto"/>
        <w:contextualSpacing/>
      </w:pPr>
      <w:r>
        <w:t>Soit expédiée par courrier (l’usage du recommandé avec demande d’accusé de réception est ici préconisé) à l’adresse mentionnée ci-dessus.</w:t>
      </w:r>
    </w:p>
    <w:p w14:paraId="2C1AA1F0" w14:textId="77777777" w:rsidR="00E84BD6" w:rsidRDefault="00E84BD6" w:rsidP="00846602">
      <w:pPr>
        <w:pStyle w:val="Paragraphedeliste"/>
        <w:numPr>
          <w:ilvl w:val="0"/>
          <w:numId w:val="16"/>
        </w:numPr>
        <w:spacing w:line="276" w:lineRule="auto"/>
        <w:contextualSpacing/>
      </w:pPr>
      <w:r>
        <w:t>Soit remise en mains propres contre récépissé à l’adresse indiquée ci-dessus.</w:t>
      </w:r>
    </w:p>
    <w:p w14:paraId="14C33E38" w14:textId="77777777" w:rsidR="00E84BD6" w:rsidRDefault="00E84BD6" w:rsidP="00E84BD6">
      <w:r>
        <w:t>En cas de remise du pli en mains propres, l’attention des candidats est appelée sur le fait que la remise des plis dans les locaux de INRAE s’effectue du lundi au vendredi de 9h à 12h et de 14h à 17h (heures françaises), sauf week-end, jours fériés.</w:t>
      </w:r>
    </w:p>
    <w:p w14:paraId="2136AF81" w14:textId="77777777" w:rsidR="00E84BD6" w:rsidRDefault="00E84BD6" w:rsidP="00E84BD6">
      <w:r>
        <w:t>Les plis contenant les copies de sauvegardes qui n’auront pas nécessité d’ouverture seront détruits par INRAE à l’issue de la procédure de passation du marché.</w:t>
      </w:r>
    </w:p>
    <w:p w14:paraId="49F7B471" w14:textId="77777777" w:rsidR="00E84BD6" w:rsidRDefault="00E84BD6" w:rsidP="00E84BD6">
      <w:r>
        <w:t>Tout retard dans l’arrivée de la copie de sauvegarde dû à la défaillance d’un transporteur ne saurait engager la responsabilité de INRAE mais du seul transporteur.</w:t>
      </w:r>
    </w:p>
    <w:p w14:paraId="3ED21EF4" w14:textId="77777777" w:rsidR="00E84BD6" w:rsidRDefault="00E84BD6" w:rsidP="00E84BD6">
      <w:r>
        <w:t>Les candidats sont donc invités, s’ils entendent transmettre leur copie de sauvegarde par voie postale, de les confier au transporteur de leur choix dans les délais lui permettant de remettre le pli avant la date et l’heure limites figurant sur la page de garde du présent document.</w:t>
      </w:r>
    </w:p>
    <w:p w14:paraId="1DFA508F" w14:textId="2E4BC03B" w:rsidR="00E84BD6" w:rsidRDefault="00E84BD6" w:rsidP="00E84BD6">
      <w:r>
        <w:t>INRAE délivrera un récépissé daté et signé, mentionnant l’horaire précis du dépôt. Seul ce document transmis au transporteur lors de la réception de la copie de sauvegarde fait foi pour justifier du dépôt dans les délais fixés.</w:t>
      </w:r>
    </w:p>
    <w:p w14:paraId="2B1A6476" w14:textId="77777777" w:rsidR="00F856A3" w:rsidRDefault="00F856A3" w:rsidP="00E84BD6"/>
    <w:p w14:paraId="26F1303A" w14:textId="088A085A" w:rsidR="00E84BD6" w:rsidRDefault="00E84BD6" w:rsidP="00E84BD6">
      <w:pPr>
        <w:pStyle w:val="Titre2"/>
      </w:pPr>
      <w:bookmarkStart w:id="48" w:name="_Toc201851419"/>
      <w:r>
        <w:t>Délai de validité des offres</w:t>
      </w:r>
      <w:bookmarkEnd w:id="48"/>
      <w:r>
        <w:tab/>
      </w:r>
    </w:p>
    <w:p w14:paraId="3B597EA7" w14:textId="4E612479" w:rsidR="00F856A3" w:rsidRDefault="00E84BD6" w:rsidP="005079BA">
      <w:pPr>
        <w:rPr>
          <w:rFonts w:eastAsia="Calibri"/>
        </w:rPr>
      </w:pPr>
      <w:r w:rsidRPr="006573E4">
        <w:rPr>
          <w:rFonts w:eastAsia="Calibri"/>
        </w:rPr>
        <w:t>Le délai de validité des propositions est de</w:t>
      </w:r>
      <w:r>
        <w:rPr>
          <w:rFonts w:eastAsia="Calibri"/>
        </w:rPr>
        <w:t xml:space="preserve"> cent-vingt</w:t>
      </w:r>
      <w:r w:rsidRPr="006573E4">
        <w:rPr>
          <w:rFonts w:eastAsia="Calibri"/>
        </w:rPr>
        <w:t xml:space="preserve"> </w:t>
      </w:r>
      <w:r>
        <w:rPr>
          <w:rFonts w:eastAsia="Calibri"/>
        </w:rPr>
        <w:t>(120)</w:t>
      </w:r>
      <w:r w:rsidRPr="006573E4">
        <w:rPr>
          <w:rFonts w:eastAsia="Calibri"/>
        </w:rPr>
        <w:t xml:space="preserve"> jours à compter de la date limite de remise des offres fixée en page de garde du présent document</w:t>
      </w:r>
      <w:r>
        <w:rPr>
          <w:rFonts w:eastAsia="Calibri"/>
        </w:rPr>
        <w:t xml:space="preserve"> ou de la date limite de remise des offres ultérieures dans le cadre des négociations éventuelles.</w:t>
      </w:r>
    </w:p>
    <w:p w14:paraId="7FC11F01" w14:textId="2ECF5C88" w:rsidR="00A67850" w:rsidRDefault="00A67850" w:rsidP="005079BA">
      <w:pPr>
        <w:rPr>
          <w:rFonts w:eastAsia="Calibri"/>
        </w:rPr>
      </w:pPr>
    </w:p>
    <w:p w14:paraId="641D87EC" w14:textId="5FBCC313" w:rsidR="00A67850" w:rsidRDefault="00A67850" w:rsidP="005079BA">
      <w:pPr>
        <w:rPr>
          <w:rFonts w:eastAsia="Calibri"/>
        </w:rPr>
      </w:pPr>
    </w:p>
    <w:p w14:paraId="679489E4" w14:textId="77777777" w:rsidR="00A67850" w:rsidRPr="00115278" w:rsidRDefault="00A67850" w:rsidP="005079BA">
      <w:pPr>
        <w:rPr>
          <w:rFonts w:eastAsia="Calibri"/>
        </w:rPr>
      </w:pPr>
    </w:p>
    <w:p w14:paraId="65EE6CA2" w14:textId="326F268F" w:rsidR="00E84BD6" w:rsidRDefault="00E84BD6" w:rsidP="00E84BD6">
      <w:pPr>
        <w:pStyle w:val="Titre1"/>
      </w:pPr>
      <w:bookmarkStart w:id="49" w:name="_Toc176350058"/>
      <w:bookmarkStart w:id="50" w:name="_Toc201851420"/>
      <w:r>
        <w:lastRenderedPageBreak/>
        <w:t>Pièces à produire par le titulaire pressenti</w:t>
      </w:r>
      <w:bookmarkEnd w:id="49"/>
      <w:bookmarkEnd w:id="50"/>
      <w:r>
        <w:tab/>
      </w:r>
    </w:p>
    <w:p w14:paraId="06CA82AF" w14:textId="77777777" w:rsidR="00E84BD6" w:rsidRDefault="00E84BD6" w:rsidP="00E84BD6">
      <w:r>
        <w:t>Les candidats ne sont pas tenus de fournir les documents justificatifs et moyens de preuve que l’acheteur peut obtenir directement par le biais d’un système électronique de mise à disposition d’informations qui devra être spécifié dans le dossier de candidature, ainsi que ceux qui ont déjà été transmis au service acheteur de INRAE concerné lors d’une précédente consultation et qui demeurent valables.</w:t>
      </w:r>
    </w:p>
    <w:p w14:paraId="22042268" w14:textId="77777777" w:rsidR="00E84BD6" w:rsidRDefault="00E84BD6" w:rsidP="00E84BD6">
      <w:r>
        <w:t>Après signature du marché ou de l’accord cadre, en cas d'inexactitude des documents ci-dessus et de ceux fournis au titre de la candidature, il est fait application aux torts du titulaire des conditions de résiliation prévues par le marché ou par l’accord cadre.</w:t>
      </w:r>
    </w:p>
    <w:p w14:paraId="13A8B76A" w14:textId="77777777" w:rsidR="00E84BD6" w:rsidRDefault="00E84BD6" w:rsidP="00E84BD6">
      <w:r>
        <w:t>L’attention du candidat est attirée sur le fait qu’il a la faculté de joindre dès le dépôt de son offre les documents cités ci-dessous. Cette démarche permet notamment de raccourcir les délais de notification du marché.</w:t>
      </w:r>
    </w:p>
    <w:p w14:paraId="4A9129DC" w14:textId="77777777" w:rsidR="00E84BD6" w:rsidRPr="00B326BD" w:rsidRDefault="00E84BD6" w:rsidP="00E84BD6">
      <w:pPr>
        <w:rPr>
          <w:b/>
          <w:u w:val="single"/>
        </w:rPr>
      </w:pPr>
      <w:r w:rsidRPr="00B326BD">
        <w:rPr>
          <w:b/>
          <w:u w:val="single"/>
        </w:rPr>
        <w:t>Liste des documents justificatifs de la régularité du candidat :</w:t>
      </w:r>
    </w:p>
    <w:p w14:paraId="3DFFBA48" w14:textId="77777777" w:rsidR="00E84BD6" w:rsidRDefault="0020731B" w:rsidP="00E84BD6">
      <w:sdt>
        <w:sdtPr>
          <w:id w:val="1075472859"/>
          <w14:checkbox>
            <w14:checked w14:val="1"/>
            <w14:checkedState w14:val="2612" w14:font="MS Gothic"/>
            <w14:uncheckedState w14:val="2610" w14:font="MS Gothic"/>
          </w14:checkbox>
        </w:sdtPr>
        <w:sdtEndPr/>
        <w:sdtContent>
          <w:r w:rsidR="00E84BD6">
            <w:rPr>
              <w:rFonts w:ascii="MS Gothic" w:eastAsia="MS Gothic" w:hAnsi="MS Gothic" w:hint="eastAsia"/>
            </w:rPr>
            <w:t>☒</w:t>
          </w:r>
        </w:sdtContent>
      </w:sdt>
      <w:r w:rsidR="00E84BD6">
        <w:t xml:space="preserve"> Si le candidat est un groupement, un document prouvant l’habilitation du mandataire par les autres membres du groupement (convention de cotraitance ou de groupement momentané d’entreprise) ;</w:t>
      </w:r>
    </w:p>
    <w:p w14:paraId="169A4270" w14:textId="77777777" w:rsidR="00E84BD6" w:rsidRDefault="0020731B" w:rsidP="00E84BD6">
      <w:sdt>
        <w:sdtPr>
          <w:id w:val="-756753938"/>
          <w14:checkbox>
            <w14:checked w14:val="1"/>
            <w14:checkedState w14:val="2612" w14:font="MS Gothic"/>
            <w14:uncheckedState w14:val="2610" w14:font="MS Gothic"/>
          </w14:checkbox>
        </w:sdtPr>
        <w:sdtEndPr/>
        <w:sdtContent>
          <w:r w:rsidR="00E84BD6">
            <w:rPr>
              <w:rFonts w:ascii="MS Gothic" w:eastAsia="MS Gothic" w:hAnsi="MS Gothic" w:hint="eastAsia"/>
            </w:rPr>
            <w:t>☒</w:t>
          </w:r>
        </w:sdtContent>
      </w:sdt>
      <w:r w:rsidR="00E84BD6">
        <w:t xml:space="preserve"> Copie du ou des jugements prononcés, si le candidat est en redressement judiciaire,</w:t>
      </w:r>
    </w:p>
    <w:p w14:paraId="36F373D7" w14:textId="77777777" w:rsidR="00E84BD6" w:rsidRDefault="0020731B" w:rsidP="00E84BD6">
      <w:sdt>
        <w:sdtPr>
          <w:id w:val="283701967"/>
          <w14:checkbox>
            <w14:checked w14:val="1"/>
            <w14:checkedState w14:val="2612" w14:font="MS Gothic"/>
            <w14:uncheckedState w14:val="2610" w14:font="MS Gothic"/>
          </w14:checkbox>
        </w:sdtPr>
        <w:sdtEndPr/>
        <w:sdtContent>
          <w:r w:rsidR="00E84BD6">
            <w:rPr>
              <w:rFonts w:ascii="MS Gothic" w:eastAsia="MS Gothic" w:hAnsi="MS Gothic" w:hint="eastAsia"/>
            </w:rPr>
            <w:t>☒</w:t>
          </w:r>
        </w:sdtContent>
      </w:sdt>
      <w:r w:rsidR="00E84BD6">
        <w:t xml:space="preserve"> Si elle n’est pas disponible à jour sur PLACE, une attestation de régularité fiscale prouvant qu'il est à jour de ses obligations fiscales auprès du Trésor Public (disponibles sur l'espace sécurisé impots.gouv.fr) ;</w:t>
      </w:r>
    </w:p>
    <w:p w14:paraId="34AFDEF1" w14:textId="77777777" w:rsidR="00E84BD6" w:rsidRDefault="0020731B" w:rsidP="00E84BD6">
      <w:sdt>
        <w:sdtPr>
          <w:id w:val="1230736906"/>
          <w14:checkbox>
            <w14:checked w14:val="1"/>
            <w14:checkedState w14:val="2612" w14:font="MS Gothic"/>
            <w14:uncheckedState w14:val="2610" w14:font="MS Gothic"/>
          </w14:checkbox>
        </w:sdtPr>
        <w:sdtEndPr/>
        <w:sdtContent>
          <w:r w:rsidR="00E84BD6">
            <w:rPr>
              <w:rFonts w:ascii="MS Gothic" w:eastAsia="MS Gothic" w:hAnsi="MS Gothic" w:hint="eastAsia"/>
            </w:rPr>
            <w:t>☒</w:t>
          </w:r>
        </w:sdtContent>
      </w:sdt>
      <w:r w:rsidR="00E84BD6">
        <w:t xml:space="preserve"> Déclaration sur l'honneur du candidat attestant qu'il est en règle, au cours de l'année précédant celle au cours de laquelle a lieu le lancement de la consultation, au regard des articles L. 5212-1, L. 5212-2, L. 5212 5 et L. 5212-9 du code du travail, concernant l'emploi des travailleurs handicapés.</w:t>
      </w:r>
    </w:p>
    <w:p w14:paraId="5A08833D" w14:textId="77777777" w:rsidR="00E84BD6" w:rsidRPr="0007448F" w:rsidRDefault="00E84BD6" w:rsidP="00E84BD6">
      <w:pPr>
        <w:rPr>
          <w:i/>
          <w:u w:val="single"/>
        </w:rPr>
      </w:pPr>
      <w:r w:rsidRPr="0007448F">
        <w:rPr>
          <w:i/>
          <w:u w:val="single"/>
        </w:rPr>
        <w:t>Concernant la lutte contre le travail dissimulé</w:t>
      </w:r>
    </w:p>
    <w:p w14:paraId="139FA423" w14:textId="77777777" w:rsidR="00E84BD6" w:rsidRPr="0007448F" w:rsidRDefault="00E84BD6" w:rsidP="00846602">
      <w:pPr>
        <w:pStyle w:val="Paragraphedeliste"/>
        <w:numPr>
          <w:ilvl w:val="0"/>
          <w:numId w:val="18"/>
        </w:numPr>
        <w:spacing w:line="276" w:lineRule="auto"/>
        <w:ind w:left="1418"/>
        <w:contextualSpacing/>
        <w:rPr>
          <w:b/>
        </w:rPr>
      </w:pPr>
      <w:r w:rsidRPr="0007448F">
        <w:rPr>
          <w:b/>
        </w:rPr>
        <w:t>Pour les candidats établis en France</w:t>
      </w:r>
    </w:p>
    <w:p w14:paraId="6E68988C" w14:textId="77777777" w:rsidR="00E84BD6" w:rsidRDefault="0020731B" w:rsidP="00E84BD6">
      <w:sdt>
        <w:sdtPr>
          <w:id w:val="-1827115199"/>
          <w14:checkbox>
            <w14:checked w14:val="1"/>
            <w14:checkedState w14:val="2612" w14:font="MS Gothic"/>
            <w14:uncheckedState w14:val="2610" w14:font="MS Gothic"/>
          </w14:checkbox>
        </w:sdtPr>
        <w:sdtEndPr/>
        <w:sdtContent>
          <w:r w:rsidR="00E84BD6">
            <w:rPr>
              <w:rFonts w:ascii="MS Gothic" w:eastAsia="MS Gothic" w:hAnsi="MS Gothic" w:hint="eastAsia"/>
            </w:rPr>
            <w:t>☒</w:t>
          </w:r>
        </w:sdtContent>
      </w:sdt>
      <w:r w:rsidR="00E84BD6">
        <w:t xml:space="preserve"> Les pièces prévues aux articles D. 8222-5 ou D. 8222-7 et D. 8222-8 du code du travail,</w:t>
      </w:r>
    </w:p>
    <w:p w14:paraId="3DB117CA" w14:textId="77777777" w:rsidR="00E84BD6" w:rsidRDefault="0020731B" w:rsidP="00E84BD6">
      <w:pPr>
        <w:rPr>
          <w:i/>
        </w:rPr>
      </w:pPr>
      <w:sdt>
        <w:sdtPr>
          <w:id w:val="-2105877097"/>
          <w14:checkbox>
            <w14:checked w14:val="1"/>
            <w14:checkedState w14:val="2612" w14:font="MS Gothic"/>
            <w14:uncheckedState w14:val="2610" w14:font="MS Gothic"/>
          </w14:checkbox>
        </w:sdtPr>
        <w:sdtEndPr/>
        <w:sdtContent>
          <w:r w:rsidR="00E84BD6">
            <w:rPr>
              <w:rFonts w:ascii="MS Gothic" w:eastAsia="MS Gothic" w:hAnsi="MS Gothic" w:hint="eastAsia"/>
            </w:rPr>
            <w:t>☒</w:t>
          </w:r>
        </w:sdtContent>
      </w:sdt>
      <w:r w:rsidR="00E84BD6">
        <w:t xml:space="preserve"> Si l'attributaire est établi en France, les attestations et certificats délivrés par les administrations et organismes compétents prouvant qu'il a satisfait à ses obligations fiscales et sociales ou un état annuel des certificats reçus. </w:t>
      </w:r>
      <w:r w:rsidR="00E84BD6" w:rsidRPr="0058606D">
        <w:rPr>
          <w:b/>
          <w:i/>
        </w:rPr>
        <w:t>(Formulaire NOTI2)</w:t>
      </w:r>
      <w:r w:rsidR="00E84BD6">
        <w:rPr>
          <w:i/>
        </w:rPr>
        <w:t>,</w:t>
      </w:r>
    </w:p>
    <w:p w14:paraId="4DEA6DA2" w14:textId="77777777" w:rsidR="00E84BD6" w:rsidRPr="001F1DF6" w:rsidRDefault="0020731B" w:rsidP="00E84BD6">
      <w:sdt>
        <w:sdtPr>
          <w:id w:val="-1235777406"/>
          <w14:checkbox>
            <w14:checked w14:val="1"/>
            <w14:checkedState w14:val="2612" w14:font="MS Gothic"/>
            <w14:uncheckedState w14:val="2610" w14:font="MS Gothic"/>
          </w14:checkbox>
        </w:sdtPr>
        <w:sdtEndPr/>
        <w:sdtContent>
          <w:r w:rsidR="00E84BD6">
            <w:rPr>
              <w:rFonts w:ascii="MS Gothic" w:eastAsia="MS Gothic" w:hAnsi="MS Gothic" w:hint="eastAsia"/>
            </w:rPr>
            <w:t>☒</w:t>
          </w:r>
        </w:sdtContent>
      </w:sdt>
      <w:r w:rsidR="00E84BD6">
        <w:t xml:space="preserve"> </w:t>
      </w:r>
      <w:r w:rsidR="00E84BD6" w:rsidRPr="001F1DF6">
        <w:t>Si le candidat est établi en France, une déclaration sur l'honneur du candidat justifiant que le travail est effectué par des salariés employés régulièrement au regard des articles L. 1221-10, L. 3243-2 et R. 3243-1 du code du travail (dans le cas où le candidat emploie des salariés, conformément à l'article D. 8222-5-3° du code du travail)</w:t>
      </w:r>
      <w:r w:rsidR="00E84BD6">
        <w:t>,</w:t>
      </w:r>
    </w:p>
    <w:p w14:paraId="357CC41B" w14:textId="77777777" w:rsidR="00E84BD6" w:rsidRDefault="0020731B" w:rsidP="00E84BD6">
      <w:sdt>
        <w:sdtPr>
          <w:id w:val="1999614882"/>
          <w14:checkbox>
            <w14:checked w14:val="1"/>
            <w14:checkedState w14:val="2612" w14:font="MS Gothic"/>
            <w14:uncheckedState w14:val="2610" w14:font="MS Gothic"/>
          </w14:checkbox>
        </w:sdtPr>
        <w:sdtEndPr/>
        <w:sdtContent>
          <w:r w:rsidR="00E84BD6">
            <w:rPr>
              <w:rFonts w:ascii="MS Gothic" w:eastAsia="MS Gothic" w:hAnsi="MS Gothic" w:hint="eastAsia"/>
            </w:rPr>
            <w:t>☒</w:t>
          </w:r>
        </w:sdtContent>
      </w:sdt>
      <w:r w:rsidR="00E84BD6">
        <w:t xml:space="preserve"> Si les documents fournis par l’attributaire ne sont pas établis en langue française, ils doivent être accompagnés d'une traduction en français, certifiée conforme à l'original par un traducteur assermenté.</w:t>
      </w:r>
    </w:p>
    <w:p w14:paraId="0E7C1B00" w14:textId="77777777" w:rsidR="00E84BD6" w:rsidRPr="00F4055F" w:rsidRDefault="00E84BD6" w:rsidP="00E84BD6">
      <w:pPr>
        <w:rPr>
          <w:i/>
          <w:u w:val="single"/>
        </w:rPr>
      </w:pPr>
      <w:r w:rsidRPr="00F4055F">
        <w:rPr>
          <w:i/>
          <w:u w:val="single"/>
        </w:rPr>
        <w:t>Concernant la lutte contre l’emploi d’étranger sans titre de travail</w:t>
      </w:r>
    </w:p>
    <w:p w14:paraId="4A2484A6" w14:textId="77777777" w:rsidR="00E84BD6" w:rsidRDefault="0020731B" w:rsidP="00E84BD6">
      <w:sdt>
        <w:sdtPr>
          <w:id w:val="-604964419"/>
          <w14:checkbox>
            <w14:checked w14:val="1"/>
            <w14:checkedState w14:val="2612" w14:font="MS Gothic"/>
            <w14:uncheckedState w14:val="2610" w14:font="MS Gothic"/>
          </w14:checkbox>
        </w:sdtPr>
        <w:sdtEndPr/>
        <w:sdtContent>
          <w:r w:rsidR="00E84BD6">
            <w:rPr>
              <w:rFonts w:ascii="MS Gothic" w:eastAsia="MS Gothic" w:hAnsi="MS Gothic" w:hint="eastAsia"/>
            </w:rPr>
            <w:t>☒</w:t>
          </w:r>
        </w:sdtContent>
      </w:sdt>
      <w:r w:rsidR="00E84BD6">
        <w:t xml:space="preserve"> Les pièces prévues à l’article D8254-2 du code du travail, à savoir </w:t>
      </w:r>
      <w:r w:rsidR="00E84BD6" w:rsidRPr="00F4055F">
        <w:rPr>
          <w:u w:val="single"/>
        </w:rPr>
        <w:t>la liste nominative des salariés étrangers employés par l’employeur</w:t>
      </w:r>
      <w:r w:rsidR="00E84BD6">
        <w:t xml:space="preserve"> et soumis à l'autorisation de travail prévue à l'article L. 5221-2. Cette liste, établie à partir du registre unique du personnel, précise pour chaque salarié, sa date d'embauche nationalité ainsi que le type et le numéro d'ordre du titre valant autorisation de travail.</w:t>
      </w:r>
    </w:p>
    <w:p w14:paraId="7601B03D" w14:textId="77777777" w:rsidR="00E84BD6" w:rsidRPr="001F1DF6" w:rsidRDefault="00E84BD6" w:rsidP="00846602">
      <w:pPr>
        <w:pStyle w:val="Paragraphedeliste"/>
        <w:numPr>
          <w:ilvl w:val="0"/>
          <w:numId w:val="18"/>
        </w:numPr>
        <w:spacing w:line="276" w:lineRule="auto"/>
        <w:ind w:left="1418"/>
        <w:contextualSpacing/>
        <w:rPr>
          <w:b/>
        </w:rPr>
      </w:pPr>
      <w:r w:rsidRPr="001F1DF6">
        <w:rPr>
          <w:b/>
        </w:rPr>
        <w:t>Pour les candidats non établis en France</w:t>
      </w:r>
    </w:p>
    <w:p w14:paraId="39D30F7E" w14:textId="77777777" w:rsidR="00E84BD6" w:rsidRDefault="0020731B" w:rsidP="00E84BD6">
      <w:sdt>
        <w:sdtPr>
          <w:id w:val="363880472"/>
          <w14:checkbox>
            <w14:checked w14:val="1"/>
            <w14:checkedState w14:val="2612" w14:font="MS Gothic"/>
            <w14:uncheckedState w14:val="2610" w14:font="MS Gothic"/>
          </w14:checkbox>
        </w:sdtPr>
        <w:sdtEndPr/>
        <w:sdtContent>
          <w:r w:rsidR="00E84BD6">
            <w:rPr>
              <w:rFonts w:ascii="MS Gothic" w:eastAsia="MS Gothic" w:hAnsi="MS Gothic" w:hint="eastAsia"/>
            </w:rPr>
            <w:t>☒</w:t>
          </w:r>
        </w:sdtContent>
      </w:sdt>
      <w:r w:rsidR="00E84BD6">
        <w:t xml:space="preserve"> Si l'attributaire </w:t>
      </w:r>
      <w:r w:rsidR="00E84BD6" w:rsidRPr="001F1DF6">
        <w:t>est établi ou domicilié à l'étranger, une déclaration sur l'honneur du candidat attestant qu'il fournit à ses salariés des bulletins de paie comportant les mentions prévues à l'article R. 3243-1 du code du travail, ou des documents équivalents</w:t>
      </w:r>
      <w:r w:rsidR="00E84BD6">
        <w:t>,</w:t>
      </w:r>
    </w:p>
    <w:p w14:paraId="15200FBF" w14:textId="05937001" w:rsidR="00E84BD6" w:rsidRDefault="0020731B" w:rsidP="00E84BD6">
      <w:sdt>
        <w:sdtPr>
          <w:id w:val="756486431"/>
          <w14:checkbox>
            <w14:checked w14:val="1"/>
            <w14:checkedState w14:val="2612" w14:font="MS Gothic"/>
            <w14:uncheckedState w14:val="2610" w14:font="MS Gothic"/>
          </w14:checkbox>
        </w:sdtPr>
        <w:sdtEndPr/>
        <w:sdtContent>
          <w:r w:rsidR="00E84BD6">
            <w:rPr>
              <w:rFonts w:ascii="MS Gothic" w:eastAsia="MS Gothic" w:hAnsi="MS Gothic" w:hint="eastAsia"/>
            </w:rPr>
            <w:t>☒</w:t>
          </w:r>
        </w:sdtContent>
      </w:sdt>
      <w:r w:rsidR="00E84BD6">
        <w:t xml:space="preserve"> Si les documents fournis par l’attributaire ne sont pas établis en langue française, ils doivent être accompagnés d'une traduction en français, certifiée conforme à l'original par un traducteur assermenté.</w:t>
      </w:r>
    </w:p>
    <w:p w14:paraId="0A08C02C" w14:textId="6D2708D3" w:rsidR="00E84BD6" w:rsidRDefault="00E84BD6" w:rsidP="00E84BD6">
      <w:pPr>
        <w:pStyle w:val="Titre1"/>
      </w:pPr>
      <w:bookmarkStart w:id="51" w:name="_Toc176350059"/>
      <w:bookmarkStart w:id="52" w:name="_Toc201851421"/>
      <w:r>
        <w:lastRenderedPageBreak/>
        <w:t>Signature et notification de l’accord-cadre</w:t>
      </w:r>
      <w:bookmarkEnd w:id="51"/>
      <w:bookmarkEnd w:id="52"/>
      <w:r>
        <w:tab/>
      </w:r>
    </w:p>
    <w:p w14:paraId="0CC10ACA" w14:textId="77777777" w:rsidR="00E84BD6" w:rsidRDefault="00E84BD6" w:rsidP="00E84BD6">
      <w:r>
        <w:t xml:space="preserve">La signature du marché n’est requise que de l’attributaire du marché. </w:t>
      </w:r>
      <w:r w:rsidRPr="00840F13">
        <w:rPr>
          <w:b/>
        </w:rPr>
        <w:t>La signature électronique est recommandée</w:t>
      </w:r>
      <w:r>
        <w:t>, si cela n’est pas possible la signature originale sur support papier pourra être possible. Elle doit émaner d'une personne habilitée à engager le candidat. Cette personne est :</w:t>
      </w:r>
    </w:p>
    <w:p w14:paraId="64C7A0B3" w14:textId="77777777" w:rsidR="00E84BD6" w:rsidRDefault="00E84BD6" w:rsidP="00846602">
      <w:pPr>
        <w:pStyle w:val="Paragraphedeliste"/>
        <w:numPr>
          <w:ilvl w:val="0"/>
          <w:numId w:val="16"/>
        </w:numPr>
        <w:spacing w:line="276" w:lineRule="auto"/>
        <w:contextualSpacing/>
      </w:pPr>
      <w:r>
        <w:t>Soit le représentant légal du soumissionnaire ;</w:t>
      </w:r>
    </w:p>
    <w:p w14:paraId="596CF181" w14:textId="77777777" w:rsidR="00E84BD6" w:rsidRDefault="00E84BD6" w:rsidP="00846602">
      <w:pPr>
        <w:pStyle w:val="Paragraphedeliste"/>
        <w:numPr>
          <w:ilvl w:val="0"/>
          <w:numId w:val="16"/>
        </w:numPr>
        <w:spacing w:line="276" w:lineRule="auto"/>
        <w:contextualSpacing/>
      </w:pPr>
      <w:r>
        <w:t>Soit toute autre personne bénéficiant d'une délégation de pouvoir ou de signature établie par le représentant légal du soumissionnaire (les soumissionnaires doivent joindre la délégation correspondante).</w:t>
      </w:r>
    </w:p>
    <w:p w14:paraId="4379D314" w14:textId="77777777" w:rsidR="00E84BD6" w:rsidRDefault="00E84BD6" w:rsidP="00E84BD6">
      <w:r>
        <w:t>La signature des offres des groupements d’entreprises revient au mandataire qui, bénéficiant des habilitations nécessaires, signe seul l’offre au nom du groupement. Il assure la sécurité et l’authenticité des informations transmises au nom des membres du groupement.</w:t>
      </w:r>
    </w:p>
    <w:p w14:paraId="33A391B7" w14:textId="77777777" w:rsidR="00E84BD6" w:rsidRDefault="00E84BD6" w:rsidP="00E84BD6">
      <w:r>
        <w:t>Tous les documents à signer, doivent comporter le nom, la qualité de la personne habilitée à engager la société et le cachet commercial.</w:t>
      </w:r>
    </w:p>
    <w:p w14:paraId="2519DF17" w14:textId="215E5055" w:rsidR="00E84BD6" w:rsidRDefault="00E84BD6" w:rsidP="00E84BD6">
      <w:r>
        <w:t xml:space="preserve">NOTA : La signature électronique n’est pas obligatoire lors du dépôt de son pli par le candidat. Sauf impossibilité de l’attributaire, INRAE lui demandera de signer de façon électronique son offre avant que le marché ne lui soit notifié. Le format de signature accepté est : </w:t>
      </w:r>
      <w:proofErr w:type="spellStart"/>
      <w:r>
        <w:t>XAdES</w:t>
      </w:r>
      <w:proofErr w:type="spellEnd"/>
      <w:r>
        <w:t xml:space="preserve">, </w:t>
      </w:r>
      <w:proofErr w:type="spellStart"/>
      <w:r>
        <w:t>CAdES</w:t>
      </w:r>
      <w:proofErr w:type="spellEnd"/>
      <w:r>
        <w:t xml:space="preserve"> ou </w:t>
      </w:r>
      <w:proofErr w:type="spellStart"/>
      <w:r>
        <w:t>PAdES</w:t>
      </w:r>
      <w:proofErr w:type="spellEnd"/>
      <w:r>
        <w:t xml:space="preserve"> en application du règlement n°910/</w:t>
      </w:r>
      <w:r w:rsidRPr="00115278">
        <w:t xml:space="preserve">2014 « </w:t>
      </w:r>
      <w:proofErr w:type="spellStart"/>
      <w:r w:rsidR="00553E48" w:rsidRPr="00115278">
        <w:t>e</w:t>
      </w:r>
      <w:r w:rsidR="00115278" w:rsidRPr="00115278">
        <w:t>I</w:t>
      </w:r>
      <w:r w:rsidRPr="00115278">
        <w:t>DAS</w:t>
      </w:r>
      <w:proofErr w:type="spellEnd"/>
      <w:r w:rsidRPr="00115278">
        <w:t xml:space="preserve"> ».</w:t>
      </w:r>
      <w:r>
        <w:t xml:space="preserve"> </w:t>
      </w:r>
    </w:p>
    <w:p w14:paraId="6C904560" w14:textId="77777777" w:rsidR="00E84BD6" w:rsidRDefault="00E84BD6" w:rsidP="00E84BD6">
      <w:r>
        <w:t>Dans l’hypothèse où l’attributaire pressenti ne dispose pas de la signature électronique, il sera invité par INRAE à fournir un exemplaire physique de chacune des pièces constitutives de la candidature et de l’offre pour lesquelles une signature manuscrite originale sera requise.</w:t>
      </w:r>
    </w:p>
    <w:p w14:paraId="75C273C6" w14:textId="77777777" w:rsidR="00E84BD6" w:rsidRDefault="00E84BD6" w:rsidP="00E84BD6">
      <w:r>
        <w:t>La notification du marché consiste en la transmission par la voie dématérialisée via le profil d’acheteur d’INRAE d’une copie du marché signé par la personne habilitée de chacune des parties.</w:t>
      </w:r>
    </w:p>
    <w:p w14:paraId="7B9FB57E" w14:textId="734B717B" w:rsidR="00E84BD6" w:rsidRDefault="00E84BD6" w:rsidP="005079BA">
      <w:pPr>
        <w:rPr>
          <w:lang w:eastAsia="fr-FR"/>
        </w:rPr>
      </w:pPr>
    </w:p>
    <w:p w14:paraId="0177AFC9" w14:textId="253E7B8C" w:rsidR="00E84BD6" w:rsidRDefault="00E84BD6" w:rsidP="005079BA">
      <w:pPr>
        <w:rPr>
          <w:lang w:eastAsia="fr-FR"/>
        </w:rPr>
      </w:pPr>
    </w:p>
    <w:p w14:paraId="5231D5D4" w14:textId="77777777" w:rsidR="006B2DC9" w:rsidRDefault="006B2DC9" w:rsidP="006B2DC9">
      <w:pPr>
        <w:tabs>
          <w:tab w:val="left" w:pos="2850"/>
        </w:tabs>
        <w:rPr>
          <w:rFonts w:ascii="Arial" w:hAnsi="Arial" w:cs="Arial"/>
        </w:rPr>
      </w:pPr>
    </w:p>
    <w:p w14:paraId="69167C0E" w14:textId="24D2AEFD" w:rsidR="00E84BD6" w:rsidRDefault="00E84BD6" w:rsidP="005079BA">
      <w:pPr>
        <w:rPr>
          <w:lang w:eastAsia="fr-FR"/>
        </w:rPr>
      </w:pPr>
    </w:p>
    <w:p w14:paraId="418FE119" w14:textId="64B72FB4" w:rsidR="00E84BD6" w:rsidRDefault="00E84BD6" w:rsidP="005079BA">
      <w:pPr>
        <w:rPr>
          <w:lang w:eastAsia="fr-FR"/>
        </w:rPr>
      </w:pPr>
    </w:p>
    <w:p w14:paraId="62ADF789" w14:textId="7748BA75" w:rsidR="00E84BD6" w:rsidRDefault="00E84BD6" w:rsidP="005079BA">
      <w:pPr>
        <w:rPr>
          <w:lang w:eastAsia="fr-FR"/>
        </w:rPr>
      </w:pPr>
    </w:p>
    <w:p w14:paraId="3C2623B3" w14:textId="092ED96F" w:rsidR="00E84BD6" w:rsidRDefault="00E84BD6" w:rsidP="005079BA">
      <w:pPr>
        <w:rPr>
          <w:lang w:eastAsia="fr-FR"/>
        </w:rPr>
      </w:pPr>
    </w:p>
    <w:p w14:paraId="3FD1F875" w14:textId="657A27CF" w:rsidR="00846602" w:rsidRDefault="00846602" w:rsidP="008A162C">
      <w:pPr>
        <w:rPr>
          <w:i/>
        </w:rPr>
      </w:pPr>
      <w:bookmarkStart w:id="53" w:name="_Toc194835798"/>
      <w:bookmarkEnd w:id="15"/>
    </w:p>
    <w:p w14:paraId="1A561AC0" w14:textId="77777777" w:rsidR="00846602" w:rsidRPr="005B48C8" w:rsidRDefault="00846602" w:rsidP="008A162C">
      <w:pPr>
        <w:rPr>
          <w:i/>
        </w:rPr>
      </w:pPr>
    </w:p>
    <w:bookmarkEnd w:id="53"/>
    <w:p w14:paraId="68B7F81E" w14:textId="77777777" w:rsidR="00607180" w:rsidRDefault="00607180" w:rsidP="00AC7856">
      <w:pPr>
        <w:widowControl w:val="0"/>
        <w:tabs>
          <w:tab w:val="left" w:pos="9040"/>
        </w:tabs>
        <w:overflowPunct w:val="0"/>
        <w:autoSpaceDE w:val="0"/>
        <w:autoSpaceDN w:val="0"/>
        <w:adjustRightInd w:val="0"/>
        <w:spacing w:line="241" w:lineRule="auto"/>
        <w:ind w:right="-32"/>
        <w:rPr>
          <w:rFonts w:ascii="Arial" w:eastAsia="Calibri" w:hAnsi="Arial" w:cs="Arial"/>
          <w:i/>
        </w:rPr>
      </w:pPr>
    </w:p>
    <w:sectPr w:rsidR="00607180">
      <w:footerReference w:type="even" r:id="rId16"/>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59B1D" w14:textId="77777777" w:rsidR="00352F45" w:rsidRDefault="00352F45">
      <w:r>
        <w:separator/>
      </w:r>
    </w:p>
  </w:endnote>
  <w:endnote w:type="continuationSeparator" w:id="0">
    <w:p w14:paraId="49FEBB81" w14:textId="77777777" w:rsidR="00352F45" w:rsidRDefault="00352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AvenirNext LT Pro Cn">
    <w:panose1 w:val="020B0506020202020204"/>
    <w:charset w:val="00"/>
    <w:family w:val="swiss"/>
    <w:notTrueType/>
    <w:pitch w:val="variable"/>
    <w:sig w:usb0="800000AF" w:usb1="5000204A" w:usb2="00000000" w:usb3="00000000" w:csb0="00000093" w:csb1="00000000"/>
  </w:font>
  <w:font w:name="Raleway">
    <w:panose1 w:val="020B0503030101060003"/>
    <w:charset w:val="00"/>
    <w:family w:val="swiss"/>
    <w:pitch w:val="variable"/>
    <w:sig w:usb0="A00002FF" w:usb1="5000205B" w:usb2="00000000" w:usb3="00000000" w:csb0="00000097"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1343125815"/>
      <w:docPartObj>
        <w:docPartGallery w:val="Page Numbers (Bottom of Page)"/>
        <w:docPartUnique/>
      </w:docPartObj>
    </w:sdtPr>
    <w:sdtEndPr/>
    <w:sdtContent>
      <w:sdt>
        <w:sdtPr>
          <w:rPr>
            <w:sz w:val="16"/>
          </w:rPr>
          <w:id w:val="1849753981"/>
          <w:docPartObj>
            <w:docPartGallery w:val="Page Numbers (Top of Page)"/>
            <w:docPartUnique/>
          </w:docPartObj>
        </w:sdtPr>
        <w:sdtEndPr/>
        <w:sdtContent>
          <w:p w14:paraId="1DFC8C32" w14:textId="50F9B0BF" w:rsidR="00352F45" w:rsidRDefault="00352F45" w:rsidP="00372B4D">
            <w:pPr>
              <w:pStyle w:val="Pieddepage"/>
            </w:pPr>
          </w:p>
          <w:p w14:paraId="7C9B0971" w14:textId="2D28BCE7" w:rsidR="00352F45" w:rsidRPr="00725E15" w:rsidRDefault="0020731B" w:rsidP="00591245">
            <w:pPr>
              <w:pStyle w:val="Pieddepage"/>
              <w:rPr>
                <w:sz w:val="16"/>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5893" w14:textId="77777777" w:rsidR="00352F45" w:rsidRDefault="00352F4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CFCFCAE" w14:textId="77777777" w:rsidR="00352F45" w:rsidRDefault="00352F45">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823522"/>
      <w:docPartObj>
        <w:docPartGallery w:val="Page Numbers (Bottom of Page)"/>
        <w:docPartUnique/>
      </w:docPartObj>
    </w:sdtPr>
    <w:sdtEndPr/>
    <w:sdtContent>
      <w:p w14:paraId="0EF2F998" w14:textId="527B457A" w:rsidR="00352F45" w:rsidRDefault="00352F45" w:rsidP="00352F45">
        <w:pPr>
          <w:pStyle w:val="Pieddepage"/>
          <w:tabs>
            <w:tab w:val="clear" w:pos="4536"/>
            <w:tab w:val="clear" w:pos="9072"/>
            <w:tab w:val="right" w:pos="7938"/>
          </w:tabs>
          <w:ind w:right="360"/>
          <w:jc w:val="left"/>
        </w:pPr>
        <w:r>
          <w:t xml:space="preserve">2025_INRAE_AOO_CARTES_RC                  </w:t>
        </w:r>
        <w:r>
          <w:tab/>
          <w:t xml:space="preserve"> </w:t>
        </w:r>
        <w:r w:rsidRPr="00FD4A55">
          <w:t xml:space="preserve"> </w:t>
        </w:r>
        <w:r>
          <w:fldChar w:fldCharType="begin"/>
        </w:r>
        <w:r>
          <w:instrText>PAGE   \* MERGEFORMAT</w:instrText>
        </w:r>
        <w:r>
          <w:fldChar w:fldCharType="separate"/>
        </w:r>
        <w:r>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59BA6" w14:textId="77777777" w:rsidR="00352F45" w:rsidRDefault="00352F45">
      <w:r>
        <w:separator/>
      </w:r>
    </w:p>
  </w:footnote>
  <w:footnote w:type="continuationSeparator" w:id="0">
    <w:p w14:paraId="7BC32EFC" w14:textId="77777777" w:rsidR="00352F45" w:rsidRDefault="00352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B"/>
    <w:multiLevelType w:val="singleLevel"/>
    <w:tmpl w:val="0000000B"/>
    <w:lvl w:ilvl="0">
      <w:numFmt w:val="bullet"/>
      <w:lvlText w:val="-"/>
      <w:lvlJc w:val="left"/>
      <w:pPr>
        <w:tabs>
          <w:tab w:val="num" w:pos="720"/>
        </w:tabs>
        <w:ind w:left="720" w:hanging="360"/>
      </w:pPr>
      <w:rPr>
        <w:rFonts w:ascii="Times New Roman" w:hAnsi="Times New Roman"/>
      </w:rPr>
    </w:lvl>
  </w:abstractNum>
  <w:abstractNum w:abstractNumId="2" w15:restartNumberingAfterBreak="0">
    <w:nsid w:val="021768A8"/>
    <w:multiLevelType w:val="hybridMultilevel"/>
    <w:tmpl w:val="C3EA9D10"/>
    <w:lvl w:ilvl="0" w:tplc="040C000F">
      <w:start w:val="1"/>
      <w:numFmt w:val="decimal"/>
      <w:lvlText w:val="%1."/>
      <w:lvlJc w:val="left"/>
      <w:pPr>
        <w:tabs>
          <w:tab w:val="num" w:pos="720"/>
        </w:tabs>
        <w:ind w:left="720" w:hanging="360"/>
      </w:pPr>
    </w:lvl>
    <w:lvl w:ilvl="1" w:tplc="8AFE976E">
      <w:start w:val="1"/>
      <w:numFmt w:val="bullet"/>
      <w:lvlText w:val="-"/>
      <w:lvlJc w:val="left"/>
      <w:pPr>
        <w:tabs>
          <w:tab w:val="num" w:pos="1440"/>
        </w:tabs>
        <w:ind w:left="1440" w:hanging="360"/>
      </w:pPr>
      <w:rPr>
        <w:rFonts w:ascii="Arial" w:hAnsi="Arial" w:hint="default"/>
        <w:b w:val="0"/>
        <w:i w:val="0"/>
        <w:caps w:val="0"/>
        <w:strike w:val="0"/>
        <w:dstrike w:val="0"/>
        <w:vanish w:val="0"/>
        <w:color w:val="000000"/>
        <w:sz w:val="20"/>
        <w:szCs w:val="20"/>
        <w:u w:color="FF99CC"/>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34B0F8B"/>
    <w:multiLevelType w:val="hybridMultilevel"/>
    <w:tmpl w:val="E2DC92F6"/>
    <w:lvl w:ilvl="0" w:tplc="8AF418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72515E"/>
    <w:multiLevelType w:val="hybridMultilevel"/>
    <w:tmpl w:val="74B8347C"/>
    <w:lvl w:ilvl="0" w:tplc="8AF418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9D6E85"/>
    <w:multiLevelType w:val="hybridMultilevel"/>
    <w:tmpl w:val="6694C678"/>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1779374B"/>
    <w:multiLevelType w:val="hybridMultilevel"/>
    <w:tmpl w:val="FCFCFC64"/>
    <w:lvl w:ilvl="0" w:tplc="0000000B">
      <w:numFmt w:val="bullet"/>
      <w:lvlText w:val="-"/>
      <w:lvlJc w:val="left"/>
      <w:pPr>
        <w:ind w:left="720" w:hanging="360"/>
      </w:pPr>
      <w:rPr>
        <w:rFonts w:ascii="Times New Roman" w:hAnsi="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BB206B"/>
    <w:multiLevelType w:val="hybridMultilevel"/>
    <w:tmpl w:val="CC4E75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D50BFA"/>
    <w:multiLevelType w:val="hybridMultilevel"/>
    <w:tmpl w:val="44D0393A"/>
    <w:lvl w:ilvl="0" w:tplc="8AF418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3D1805"/>
    <w:multiLevelType w:val="hybridMultilevel"/>
    <w:tmpl w:val="E230DEE6"/>
    <w:lvl w:ilvl="0" w:tplc="7C4E2174">
      <w:start w:val="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3D4A0332"/>
    <w:multiLevelType w:val="hybridMultilevel"/>
    <w:tmpl w:val="8466A0CC"/>
    <w:lvl w:ilvl="0" w:tplc="FFFFFFFF">
      <w:start w:val="10"/>
      <w:numFmt w:val="bullet"/>
      <w:lvlText w:val="-"/>
      <w:lvlJc w:val="left"/>
      <w:pPr>
        <w:ind w:left="720" w:hanging="360"/>
      </w:pPr>
      <w:rPr>
        <w:rFonts w:ascii="Palatino" w:eastAsia="Times New Roman" w:hAnsi="Palatin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9E4807"/>
    <w:multiLevelType w:val="multilevel"/>
    <w:tmpl w:val="0E28726E"/>
    <w:styleLink w:val="ModleTitre"/>
    <w:lvl w:ilvl="0">
      <w:start w:val="1"/>
      <w:numFmt w:val="decimal"/>
      <w:pStyle w:val="Titre1"/>
      <w:lvlText w:val="%1."/>
      <w:lvlJc w:val="left"/>
      <w:pPr>
        <w:ind w:left="360" w:hanging="360"/>
      </w:pPr>
      <w:rPr>
        <w:rFonts w:hint="default"/>
        <w:b/>
        <w:color w:val="00A6A3"/>
      </w:rPr>
    </w:lvl>
    <w:lvl w:ilvl="1">
      <w:start w:val="1"/>
      <w:numFmt w:val="decimal"/>
      <w:pStyle w:val="Titre2"/>
      <w:lvlText w:val="%1.%2."/>
      <w:lvlJc w:val="left"/>
      <w:pPr>
        <w:ind w:left="792" w:hanging="432"/>
      </w:pPr>
      <w:rPr>
        <w:rFonts w:hint="default"/>
        <w:b/>
        <w:color w:val="00A6A3"/>
      </w:rPr>
    </w:lvl>
    <w:lvl w:ilvl="2">
      <w:start w:val="1"/>
      <w:numFmt w:val="decimal"/>
      <w:pStyle w:val="Titre3"/>
      <w:lvlText w:val="%1.%2.%3."/>
      <w:lvlJc w:val="left"/>
      <w:pPr>
        <w:ind w:left="1224" w:hanging="504"/>
      </w:pPr>
      <w:rPr>
        <w:rFonts w:hint="default"/>
        <w:b/>
        <w:color w:val="00A6A3"/>
      </w:rPr>
    </w:lvl>
    <w:lvl w:ilvl="3">
      <w:start w:val="1"/>
      <w:numFmt w:val="decimal"/>
      <w:pStyle w:val="Titre4"/>
      <w:lvlText w:val="%1.%2.%3.%4."/>
      <w:lvlJc w:val="left"/>
      <w:pPr>
        <w:ind w:left="1728" w:hanging="648"/>
      </w:pPr>
      <w:rPr>
        <w:rFonts w:hint="default"/>
        <w:b/>
        <w:color w:val="00A6A3"/>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06060B9"/>
    <w:multiLevelType w:val="hybridMultilevel"/>
    <w:tmpl w:val="A7969742"/>
    <w:lvl w:ilvl="0" w:tplc="000018BE">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AE0AD5"/>
    <w:multiLevelType w:val="hybridMultilevel"/>
    <w:tmpl w:val="7D72FBDC"/>
    <w:lvl w:ilvl="0" w:tplc="000018BE">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0C6DAC"/>
    <w:multiLevelType w:val="hybridMultilevel"/>
    <w:tmpl w:val="E68632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2A5F07"/>
    <w:multiLevelType w:val="hybridMultilevel"/>
    <w:tmpl w:val="BBB21626"/>
    <w:lvl w:ilvl="0" w:tplc="30A22898">
      <w:start w:val="1"/>
      <w:numFmt w:val="bullet"/>
      <w:lvlText w:val="-"/>
      <w:lvlJc w:val="left"/>
      <w:pPr>
        <w:ind w:left="720" w:hanging="360"/>
      </w:pPr>
      <w:rPr>
        <w:rFonts w:ascii="AvenirNext LT Pro Cn" w:eastAsiaTheme="minorHAnsi" w:hAnsi="AvenirNext LT Pro Cn"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EB6E6B"/>
    <w:multiLevelType w:val="hybridMultilevel"/>
    <w:tmpl w:val="A0AA026A"/>
    <w:lvl w:ilvl="0" w:tplc="8AF418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BD02D8"/>
    <w:multiLevelType w:val="multilevel"/>
    <w:tmpl w:val="D4789208"/>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47C46"/>
    <w:multiLevelType w:val="hybridMultilevel"/>
    <w:tmpl w:val="5732989C"/>
    <w:lvl w:ilvl="0" w:tplc="8AF41894">
      <w:numFmt w:val="bullet"/>
      <w:lvlText w:val="-"/>
      <w:lvlJc w:val="left"/>
      <w:pPr>
        <w:ind w:left="770" w:hanging="360"/>
      </w:pPr>
      <w:rPr>
        <w:rFonts w:ascii="Calibri" w:eastAsia="Times New Roman" w:hAnsi="Calibri" w:cs="Calibri"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9" w15:restartNumberingAfterBreak="0">
    <w:nsid w:val="70040625"/>
    <w:multiLevelType w:val="hybridMultilevel"/>
    <w:tmpl w:val="A9328922"/>
    <w:lvl w:ilvl="0" w:tplc="48BA6448">
      <w:numFmt w:val="bullet"/>
      <w:lvlText w:val="-"/>
      <w:lvlJc w:val="left"/>
      <w:pPr>
        <w:ind w:left="720" w:hanging="360"/>
      </w:pPr>
      <w:rPr>
        <w:rFonts w:ascii="AvenirNext LT Pro Cn" w:eastAsiaTheme="minorHAnsi" w:hAnsi="AvenirNext LT Pro Cn"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2EB64EC"/>
    <w:multiLevelType w:val="hybridMultilevel"/>
    <w:tmpl w:val="F4562C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AE02EEC"/>
    <w:multiLevelType w:val="hybridMultilevel"/>
    <w:tmpl w:val="9FF4D778"/>
    <w:lvl w:ilvl="0" w:tplc="8AF418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20"/>
  </w:num>
  <w:num w:numId="4">
    <w:abstractNumId w:val="17"/>
  </w:num>
  <w:num w:numId="5">
    <w:abstractNumId w:val="15"/>
  </w:num>
  <w:num w:numId="6">
    <w:abstractNumId w:val="19"/>
  </w:num>
  <w:num w:numId="7">
    <w:abstractNumId w:val="8"/>
  </w:num>
  <w:num w:numId="8">
    <w:abstractNumId w:val="6"/>
  </w:num>
  <w:num w:numId="9">
    <w:abstractNumId w:val="16"/>
  </w:num>
  <w:num w:numId="10">
    <w:abstractNumId w:val="4"/>
  </w:num>
  <w:num w:numId="11">
    <w:abstractNumId w:val="13"/>
  </w:num>
  <w:num w:numId="12">
    <w:abstractNumId w:val="21"/>
  </w:num>
  <w:num w:numId="13">
    <w:abstractNumId w:val="5"/>
  </w:num>
  <w:num w:numId="14">
    <w:abstractNumId w:val="10"/>
  </w:num>
  <w:num w:numId="15">
    <w:abstractNumId w:val="18"/>
  </w:num>
  <w:num w:numId="16">
    <w:abstractNumId w:val="3"/>
  </w:num>
  <w:num w:numId="17">
    <w:abstractNumId w:val="12"/>
  </w:num>
  <w:num w:numId="18">
    <w:abstractNumId w:val="14"/>
  </w:num>
  <w:num w:numId="19">
    <w:abstractNumId w:val="7"/>
  </w:num>
  <w:num w:numId="20">
    <w:abstractNumId w:val="1"/>
  </w:num>
  <w:num w:numId="21">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079"/>
    <w:rsid w:val="000116AE"/>
    <w:rsid w:val="00014F57"/>
    <w:rsid w:val="00015DC4"/>
    <w:rsid w:val="00024827"/>
    <w:rsid w:val="00026FAD"/>
    <w:rsid w:val="00037D0F"/>
    <w:rsid w:val="00042F25"/>
    <w:rsid w:val="000453DE"/>
    <w:rsid w:val="000469BE"/>
    <w:rsid w:val="00050093"/>
    <w:rsid w:val="00057143"/>
    <w:rsid w:val="00060743"/>
    <w:rsid w:val="00064A8B"/>
    <w:rsid w:val="00065723"/>
    <w:rsid w:val="000659E1"/>
    <w:rsid w:val="00071709"/>
    <w:rsid w:val="000813E8"/>
    <w:rsid w:val="000877B3"/>
    <w:rsid w:val="00090E70"/>
    <w:rsid w:val="0009107A"/>
    <w:rsid w:val="000935CB"/>
    <w:rsid w:val="000A2B17"/>
    <w:rsid w:val="000A372C"/>
    <w:rsid w:val="000A766C"/>
    <w:rsid w:val="000B0516"/>
    <w:rsid w:val="000B20F8"/>
    <w:rsid w:val="000B4E16"/>
    <w:rsid w:val="000C341E"/>
    <w:rsid w:val="000C5AE0"/>
    <w:rsid w:val="000E2FFA"/>
    <w:rsid w:val="000E66B6"/>
    <w:rsid w:val="000F3B39"/>
    <w:rsid w:val="001022C8"/>
    <w:rsid w:val="00104895"/>
    <w:rsid w:val="001051E5"/>
    <w:rsid w:val="00110213"/>
    <w:rsid w:val="00115278"/>
    <w:rsid w:val="001236DF"/>
    <w:rsid w:val="00125ECB"/>
    <w:rsid w:val="00132EDD"/>
    <w:rsid w:val="00135DAF"/>
    <w:rsid w:val="00142428"/>
    <w:rsid w:val="00143C43"/>
    <w:rsid w:val="00154CDF"/>
    <w:rsid w:val="0016538A"/>
    <w:rsid w:val="00165A3A"/>
    <w:rsid w:val="00176F97"/>
    <w:rsid w:val="00177309"/>
    <w:rsid w:val="0018402D"/>
    <w:rsid w:val="00185A43"/>
    <w:rsid w:val="00187785"/>
    <w:rsid w:val="001906C8"/>
    <w:rsid w:val="0019138D"/>
    <w:rsid w:val="00193943"/>
    <w:rsid w:val="001A06B3"/>
    <w:rsid w:val="001A0B74"/>
    <w:rsid w:val="001A5755"/>
    <w:rsid w:val="001B524F"/>
    <w:rsid w:val="001B53B6"/>
    <w:rsid w:val="001B5F19"/>
    <w:rsid w:val="001C3E19"/>
    <w:rsid w:val="001D33E8"/>
    <w:rsid w:val="001D586F"/>
    <w:rsid w:val="001D7FC6"/>
    <w:rsid w:val="0020010B"/>
    <w:rsid w:val="00206C0A"/>
    <w:rsid w:val="0020731B"/>
    <w:rsid w:val="00211EA2"/>
    <w:rsid w:val="002139C4"/>
    <w:rsid w:val="00214529"/>
    <w:rsid w:val="0021535F"/>
    <w:rsid w:val="002206A3"/>
    <w:rsid w:val="00233A1F"/>
    <w:rsid w:val="0023429E"/>
    <w:rsid w:val="00234501"/>
    <w:rsid w:val="00235457"/>
    <w:rsid w:val="00241B9A"/>
    <w:rsid w:val="002429EC"/>
    <w:rsid w:val="0024368B"/>
    <w:rsid w:val="0024401C"/>
    <w:rsid w:val="00245D45"/>
    <w:rsid w:val="00251901"/>
    <w:rsid w:val="002537DD"/>
    <w:rsid w:val="0026672A"/>
    <w:rsid w:val="002669D8"/>
    <w:rsid w:val="00266BAA"/>
    <w:rsid w:val="00270914"/>
    <w:rsid w:val="00271681"/>
    <w:rsid w:val="0027253D"/>
    <w:rsid w:val="00273838"/>
    <w:rsid w:val="00282807"/>
    <w:rsid w:val="002838A1"/>
    <w:rsid w:val="00284094"/>
    <w:rsid w:val="002853A9"/>
    <w:rsid w:val="00287B2A"/>
    <w:rsid w:val="0029409E"/>
    <w:rsid w:val="00297DF6"/>
    <w:rsid w:val="002A25AC"/>
    <w:rsid w:val="002A67B4"/>
    <w:rsid w:val="002A6929"/>
    <w:rsid w:val="002B32A5"/>
    <w:rsid w:val="002B3668"/>
    <w:rsid w:val="002B3903"/>
    <w:rsid w:val="002B6255"/>
    <w:rsid w:val="002C2E5F"/>
    <w:rsid w:val="002C442E"/>
    <w:rsid w:val="002C48F2"/>
    <w:rsid w:val="002D09F6"/>
    <w:rsid w:val="002D0BCD"/>
    <w:rsid w:val="002D4086"/>
    <w:rsid w:val="002D6649"/>
    <w:rsid w:val="002E0591"/>
    <w:rsid w:val="002E3182"/>
    <w:rsid w:val="002E7D1A"/>
    <w:rsid w:val="002F10D2"/>
    <w:rsid w:val="002F40CC"/>
    <w:rsid w:val="002F575A"/>
    <w:rsid w:val="002F5D92"/>
    <w:rsid w:val="002F779F"/>
    <w:rsid w:val="003063C7"/>
    <w:rsid w:val="00313950"/>
    <w:rsid w:val="003153CF"/>
    <w:rsid w:val="0031733B"/>
    <w:rsid w:val="00317A60"/>
    <w:rsid w:val="00317B74"/>
    <w:rsid w:val="0032067F"/>
    <w:rsid w:val="0033097B"/>
    <w:rsid w:val="0033305B"/>
    <w:rsid w:val="00336EBD"/>
    <w:rsid w:val="00346228"/>
    <w:rsid w:val="00352F45"/>
    <w:rsid w:val="00355748"/>
    <w:rsid w:val="00360901"/>
    <w:rsid w:val="00361ACE"/>
    <w:rsid w:val="00362605"/>
    <w:rsid w:val="00366028"/>
    <w:rsid w:val="00366AE2"/>
    <w:rsid w:val="00366D27"/>
    <w:rsid w:val="00372B4D"/>
    <w:rsid w:val="0037663A"/>
    <w:rsid w:val="003848B1"/>
    <w:rsid w:val="00384B49"/>
    <w:rsid w:val="00393C8F"/>
    <w:rsid w:val="003A0C30"/>
    <w:rsid w:val="003A1C63"/>
    <w:rsid w:val="003A2A52"/>
    <w:rsid w:val="003A50A5"/>
    <w:rsid w:val="003C60F4"/>
    <w:rsid w:val="003D251E"/>
    <w:rsid w:val="003D396D"/>
    <w:rsid w:val="003D6E93"/>
    <w:rsid w:val="003E35B8"/>
    <w:rsid w:val="003E74D4"/>
    <w:rsid w:val="003F340C"/>
    <w:rsid w:val="003F5C56"/>
    <w:rsid w:val="00400369"/>
    <w:rsid w:val="00402072"/>
    <w:rsid w:val="004208F5"/>
    <w:rsid w:val="00423FB9"/>
    <w:rsid w:val="00434770"/>
    <w:rsid w:val="00446434"/>
    <w:rsid w:val="00447EFE"/>
    <w:rsid w:val="004520E8"/>
    <w:rsid w:val="004555C8"/>
    <w:rsid w:val="0046341F"/>
    <w:rsid w:val="004702C6"/>
    <w:rsid w:val="00470F03"/>
    <w:rsid w:val="00476A21"/>
    <w:rsid w:val="0048047E"/>
    <w:rsid w:val="0048255D"/>
    <w:rsid w:val="00482CF9"/>
    <w:rsid w:val="00482E94"/>
    <w:rsid w:val="00484C12"/>
    <w:rsid w:val="00485961"/>
    <w:rsid w:val="00487B7A"/>
    <w:rsid w:val="004A1E5C"/>
    <w:rsid w:val="004A5247"/>
    <w:rsid w:val="004B32A0"/>
    <w:rsid w:val="004B385A"/>
    <w:rsid w:val="004C41B6"/>
    <w:rsid w:val="004C6DE3"/>
    <w:rsid w:val="004C7E22"/>
    <w:rsid w:val="004D1D9F"/>
    <w:rsid w:val="004E396F"/>
    <w:rsid w:val="004E4039"/>
    <w:rsid w:val="004E768C"/>
    <w:rsid w:val="004F2EC8"/>
    <w:rsid w:val="004F3245"/>
    <w:rsid w:val="00505F3E"/>
    <w:rsid w:val="005079BA"/>
    <w:rsid w:val="00507A43"/>
    <w:rsid w:val="005118D3"/>
    <w:rsid w:val="005241F4"/>
    <w:rsid w:val="005270D9"/>
    <w:rsid w:val="005274F6"/>
    <w:rsid w:val="005321B7"/>
    <w:rsid w:val="0053501B"/>
    <w:rsid w:val="00543A99"/>
    <w:rsid w:val="00546D90"/>
    <w:rsid w:val="005515A4"/>
    <w:rsid w:val="00553E48"/>
    <w:rsid w:val="00570541"/>
    <w:rsid w:val="00574BA1"/>
    <w:rsid w:val="00591245"/>
    <w:rsid w:val="00591E35"/>
    <w:rsid w:val="005949A8"/>
    <w:rsid w:val="00594F60"/>
    <w:rsid w:val="005A112D"/>
    <w:rsid w:val="005A3283"/>
    <w:rsid w:val="005A7BC3"/>
    <w:rsid w:val="005B48C8"/>
    <w:rsid w:val="005B563A"/>
    <w:rsid w:val="005C06E0"/>
    <w:rsid w:val="005C2631"/>
    <w:rsid w:val="005D2039"/>
    <w:rsid w:val="005E526F"/>
    <w:rsid w:val="005F4442"/>
    <w:rsid w:val="005F5FFA"/>
    <w:rsid w:val="005F7B84"/>
    <w:rsid w:val="00602B54"/>
    <w:rsid w:val="00604EC1"/>
    <w:rsid w:val="00607180"/>
    <w:rsid w:val="00607A27"/>
    <w:rsid w:val="00612691"/>
    <w:rsid w:val="006126B5"/>
    <w:rsid w:val="0061342D"/>
    <w:rsid w:val="006136DA"/>
    <w:rsid w:val="00615C1B"/>
    <w:rsid w:val="00615F10"/>
    <w:rsid w:val="00617041"/>
    <w:rsid w:val="00617564"/>
    <w:rsid w:val="006376AA"/>
    <w:rsid w:val="00643AC8"/>
    <w:rsid w:val="00644A12"/>
    <w:rsid w:val="00646697"/>
    <w:rsid w:val="006754C4"/>
    <w:rsid w:val="00681D26"/>
    <w:rsid w:val="006854B9"/>
    <w:rsid w:val="00692389"/>
    <w:rsid w:val="006A25CB"/>
    <w:rsid w:val="006A4DB4"/>
    <w:rsid w:val="006A57C1"/>
    <w:rsid w:val="006B2DC9"/>
    <w:rsid w:val="006B731E"/>
    <w:rsid w:val="006C3ABF"/>
    <w:rsid w:val="006D34D7"/>
    <w:rsid w:val="006F3FB2"/>
    <w:rsid w:val="006F4477"/>
    <w:rsid w:val="00702108"/>
    <w:rsid w:val="00704289"/>
    <w:rsid w:val="00704B6C"/>
    <w:rsid w:val="00707A03"/>
    <w:rsid w:val="007121CB"/>
    <w:rsid w:val="0071381B"/>
    <w:rsid w:val="00714721"/>
    <w:rsid w:val="00714F04"/>
    <w:rsid w:val="00717401"/>
    <w:rsid w:val="00722283"/>
    <w:rsid w:val="00724B04"/>
    <w:rsid w:val="00725BF6"/>
    <w:rsid w:val="00726BA4"/>
    <w:rsid w:val="007549C6"/>
    <w:rsid w:val="00756D6B"/>
    <w:rsid w:val="00765546"/>
    <w:rsid w:val="0077712A"/>
    <w:rsid w:val="00786C62"/>
    <w:rsid w:val="00791E15"/>
    <w:rsid w:val="00792898"/>
    <w:rsid w:val="007A0A67"/>
    <w:rsid w:val="007A1576"/>
    <w:rsid w:val="007B0CFB"/>
    <w:rsid w:val="007B3488"/>
    <w:rsid w:val="007C1089"/>
    <w:rsid w:val="007C3C98"/>
    <w:rsid w:val="007D6E75"/>
    <w:rsid w:val="007D70CF"/>
    <w:rsid w:val="007E4B79"/>
    <w:rsid w:val="007E7318"/>
    <w:rsid w:val="007E736D"/>
    <w:rsid w:val="007F03B6"/>
    <w:rsid w:val="007F03F6"/>
    <w:rsid w:val="0080286A"/>
    <w:rsid w:val="00806533"/>
    <w:rsid w:val="00813E7B"/>
    <w:rsid w:val="00814499"/>
    <w:rsid w:val="00826483"/>
    <w:rsid w:val="008313D7"/>
    <w:rsid w:val="008336AF"/>
    <w:rsid w:val="0083382B"/>
    <w:rsid w:val="00846602"/>
    <w:rsid w:val="008501BA"/>
    <w:rsid w:val="008503F2"/>
    <w:rsid w:val="00850EF6"/>
    <w:rsid w:val="0085632C"/>
    <w:rsid w:val="00860243"/>
    <w:rsid w:val="00861980"/>
    <w:rsid w:val="00864652"/>
    <w:rsid w:val="00865DD4"/>
    <w:rsid w:val="008744DB"/>
    <w:rsid w:val="008749BC"/>
    <w:rsid w:val="008779F8"/>
    <w:rsid w:val="00881E87"/>
    <w:rsid w:val="008827AF"/>
    <w:rsid w:val="00883A5F"/>
    <w:rsid w:val="00884254"/>
    <w:rsid w:val="00890185"/>
    <w:rsid w:val="00890C27"/>
    <w:rsid w:val="00895943"/>
    <w:rsid w:val="00895FC7"/>
    <w:rsid w:val="008A1558"/>
    <w:rsid w:val="008A162C"/>
    <w:rsid w:val="008A4856"/>
    <w:rsid w:val="008A708B"/>
    <w:rsid w:val="008B2946"/>
    <w:rsid w:val="008B57F0"/>
    <w:rsid w:val="008B731E"/>
    <w:rsid w:val="008C03A0"/>
    <w:rsid w:val="008C07D7"/>
    <w:rsid w:val="008C1D92"/>
    <w:rsid w:val="008C1EF0"/>
    <w:rsid w:val="008C5FA8"/>
    <w:rsid w:val="008C6480"/>
    <w:rsid w:val="008D0A6E"/>
    <w:rsid w:val="008D1B34"/>
    <w:rsid w:val="008D615F"/>
    <w:rsid w:val="008D78CF"/>
    <w:rsid w:val="008E23A0"/>
    <w:rsid w:val="008E265B"/>
    <w:rsid w:val="008E59D0"/>
    <w:rsid w:val="008F1444"/>
    <w:rsid w:val="008F2F95"/>
    <w:rsid w:val="008F3825"/>
    <w:rsid w:val="00915273"/>
    <w:rsid w:val="009160D1"/>
    <w:rsid w:val="009170FB"/>
    <w:rsid w:val="00923DF3"/>
    <w:rsid w:val="009274C4"/>
    <w:rsid w:val="00930EDD"/>
    <w:rsid w:val="009403F8"/>
    <w:rsid w:val="009422C3"/>
    <w:rsid w:val="0094599F"/>
    <w:rsid w:val="00960E9A"/>
    <w:rsid w:val="00965A12"/>
    <w:rsid w:val="00972D01"/>
    <w:rsid w:val="009840FC"/>
    <w:rsid w:val="0099386A"/>
    <w:rsid w:val="00994FC8"/>
    <w:rsid w:val="00996331"/>
    <w:rsid w:val="009966DE"/>
    <w:rsid w:val="009A20DD"/>
    <w:rsid w:val="009A4336"/>
    <w:rsid w:val="009B07BB"/>
    <w:rsid w:val="009B1727"/>
    <w:rsid w:val="009B364F"/>
    <w:rsid w:val="009B4260"/>
    <w:rsid w:val="009C3F5C"/>
    <w:rsid w:val="009C6BC4"/>
    <w:rsid w:val="009D30A0"/>
    <w:rsid w:val="009D5996"/>
    <w:rsid w:val="009D6A42"/>
    <w:rsid w:val="009E0729"/>
    <w:rsid w:val="009F202E"/>
    <w:rsid w:val="009F7D76"/>
    <w:rsid w:val="00A05682"/>
    <w:rsid w:val="00A101B1"/>
    <w:rsid w:val="00A2139A"/>
    <w:rsid w:val="00A224DD"/>
    <w:rsid w:val="00A2618E"/>
    <w:rsid w:val="00A279A6"/>
    <w:rsid w:val="00A3025B"/>
    <w:rsid w:val="00A33DB8"/>
    <w:rsid w:val="00A43082"/>
    <w:rsid w:val="00A45533"/>
    <w:rsid w:val="00A47C5A"/>
    <w:rsid w:val="00A67850"/>
    <w:rsid w:val="00A67DE9"/>
    <w:rsid w:val="00A73E48"/>
    <w:rsid w:val="00A74FF6"/>
    <w:rsid w:val="00A76475"/>
    <w:rsid w:val="00A766C5"/>
    <w:rsid w:val="00A8631E"/>
    <w:rsid w:val="00AB5E55"/>
    <w:rsid w:val="00AC423B"/>
    <w:rsid w:val="00AC7856"/>
    <w:rsid w:val="00AD155A"/>
    <w:rsid w:val="00AE11AE"/>
    <w:rsid w:val="00AE48D7"/>
    <w:rsid w:val="00AE5AE4"/>
    <w:rsid w:val="00AE6295"/>
    <w:rsid w:val="00AF1361"/>
    <w:rsid w:val="00AF23B8"/>
    <w:rsid w:val="00B026B6"/>
    <w:rsid w:val="00B02B01"/>
    <w:rsid w:val="00B11ACE"/>
    <w:rsid w:val="00B17A81"/>
    <w:rsid w:val="00B22D14"/>
    <w:rsid w:val="00B232C8"/>
    <w:rsid w:val="00B23D6B"/>
    <w:rsid w:val="00B25559"/>
    <w:rsid w:val="00B344D9"/>
    <w:rsid w:val="00B400D1"/>
    <w:rsid w:val="00B42EBD"/>
    <w:rsid w:val="00B433E0"/>
    <w:rsid w:val="00B466B2"/>
    <w:rsid w:val="00B54F5B"/>
    <w:rsid w:val="00B5540A"/>
    <w:rsid w:val="00B55AEC"/>
    <w:rsid w:val="00B57BE0"/>
    <w:rsid w:val="00B57EFC"/>
    <w:rsid w:val="00B61048"/>
    <w:rsid w:val="00B64C7F"/>
    <w:rsid w:val="00B722CC"/>
    <w:rsid w:val="00B871D1"/>
    <w:rsid w:val="00B8722C"/>
    <w:rsid w:val="00B90F86"/>
    <w:rsid w:val="00B91DF7"/>
    <w:rsid w:val="00B94121"/>
    <w:rsid w:val="00B96544"/>
    <w:rsid w:val="00B97976"/>
    <w:rsid w:val="00BA02FE"/>
    <w:rsid w:val="00BA1D5C"/>
    <w:rsid w:val="00BB007B"/>
    <w:rsid w:val="00BB0B37"/>
    <w:rsid w:val="00BC1CE8"/>
    <w:rsid w:val="00BC5274"/>
    <w:rsid w:val="00BC582E"/>
    <w:rsid w:val="00BC62B8"/>
    <w:rsid w:val="00BC7C3A"/>
    <w:rsid w:val="00BD6079"/>
    <w:rsid w:val="00BE6AB8"/>
    <w:rsid w:val="00BF03C6"/>
    <w:rsid w:val="00BF3F28"/>
    <w:rsid w:val="00BF5357"/>
    <w:rsid w:val="00C03520"/>
    <w:rsid w:val="00C036A5"/>
    <w:rsid w:val="00C118E0"/>
    <w:rsid w:val="00C1444B"/>
    <w:rsid w:val="00C25C3F"/>
    <w:rsid w:val="00C271C1"/>
    <w:rsid w:val="00C329E6"/>
    <w:rsid w:val="00C34041"/>
    <w:rsid w:val="00C360A7"/>
    <w:rsid w:val="00C36728"/>
    <w:rsid w:val="00C40085"/>
    <w:rsid w:val="00C42480"/>
    <w:rsid w:val="00C47FE2"/>
    <w:rsid w:val="00C54178"/>
    <w:rsid w:val="00C60331"/>
    <w:rsid w:val="00C60639"/>
    <w:rsid w:val="00C62DD7"/>
    <w:rsid w:val="00C73894"/>
    <w:rsid w:val="00C76F62"/>
    <w:rsid w:val="00C81090"/>
    <w:rsid w:val="00C84419"/>
    <w:rsid w:val="00C85E7A"/>
    <w:rsid w:val="00C9066B"/>
    <w:rsid w:val="00C91770"/>
    <w:rsid w:val="00CA3063"/>
    <w:rsid w:val="00CA3CE7"/>
    <w:rsid w:val="00CB0811"/>
    <w:rsid w:val="00CB3F3C"/>
    <w:rsid w:val="00CC60B1"/>
    <w:rsid w:val="00CD0D76"/>
    <w:rsid w:val="00CD19E1"/>
    <w:rsid w:val="00CD4A48"/>
    <w:rsid w:val="00CE1E5A"/>
    <w:rsid w:val="00CF0D51"/>
    <w:rsid w:val="00CF1D2B"/>
    <w:rsid w:val="00CF4843"/>
    <w:rsid w:val="00CF652D"/>
    <w:rsid w:val="00CF6755"/>
    <w:rsid w:val="00D003C7"/>
    <w:rsid w:val="00D02CD9"/>
    <w:rsid w:val="00D12287"/>
    <w:rsid w:val="00D2011C"/>
    <w:rsid w:val="00D3023D"/>
    <w:rsid w:val="00D4024D"/>
    <w:rsid w:val="00D41202"/>
    <w:rsid w:val="00D470FD"/>
    <w:rsid w:val="00D53111"/>
    <w:rsid w:val="00D565A9"/>
    <w:rsid w:val="00D60415"/>
    <w:rsid w:val="00D640F0"/>
    <w:rsid w:val="00D6513C"/>
    <w:rsid w:val="00D70C89"/>
    <w:rsid w:val="00D71409"/>
    <w:rsid w:val="00D72520"/>
    <w:rsid w:val="00D7702D"/>
    <w:rsid w:val="00D90333"/>
    <w:rsid w:val="00D912A3"/>
    <w:rsid w:val="00D92308"/>
    <w:rsid w:val="00D9441E"/>
    <w:rsid w:val="00D94AF9"/>
    <w:rsid w:val="00DA7684"/>
    <w:rsid w:val="00DB1C15"/>
    <w:rsid w:val="00DB6412"/>
    <w:rsid w:val="00DC23FD"/>
    <w:rsid w:val="00DC39AB"/>
    <w:rsid w:val="00DC3BA0"/>
    <w:rsid w:val="00DC753A"/>
    <w:rsid w:val="00DD72E5"/>
    <w:rsid w:val="00DE54CC"/>
    <w:rsid w:val="00DE667E"/>
    <w:rsid w:val="00DF2D89"/>
    <w:rsid w:val="00DF3C6D"/>
    <w:rsid w:val="00DF4945"/>
    <w:rsid w:val="00E04635"/>
    <w:rsid w:val="00E32C1B"/>
    <w:rsid w:val="00E34611"/>
    <w:rsid w:val="00E35193"/>
    <w:rsid w:val="00E4182D"/>
    <w:rsid w:val="00E45666"/>
    <w:rsid w:val="00E478D5"/>
    <w:rsid w:val="00E566CE"/>
    <w:rsid w:val="00E56DF2"/>
    <w:rsid w:val="00E60749"/>
    <w:rsid w:val="00E62884"/>
    <w:rsid w:val="00E647BA"/>
    <w:rsid w:val="00E73E7C"/>
    <w:rsid w:val="00E74382"/>
    <w:rsid w:val="00E84BD6"/>
    <w:rsid w:val="00E85878"/>
    <w:rsid w:val="00E92A72"/>
    <w:rsid w:val="00E9784F"/>
    <w:rsid w:val="00EA0AE6"/>
    <w:rsid w:val="00EA2951"/>
    <w:rsid w:val="00EA45E5"/>
    <w:rsid w:val="00EB0916"/>
    <w:rsid w:val="00EB28CD"/>
    <w:rsid w:val="00EB54F0"/>
    <w:rsid w:val="00EB6C17"/>
    <w:rsid w:val="00EC1FD5"/>
    <w:rsid w:val="00ED0755"/>
    <w:rsid w:val="00ED7E57"/>
    <w:rsid w:val="00EE0BF3"/>
    <w:rsid w:val="00EE4F9B"/>
    <w:rsid w:val="00EE5745"/>
    <w:rsid w:val="00EE7BD0"/>
    <w:rsid w:val="00EF2238"/>
    <w:rsid w:val="00EF2D42"/>
    <w:rsid w:val="00EF32A3"/>
    <w:rsid w:val="00F01E47"/>
    <w:rsid w:val="00F108AC"/>
    <w:rsid w:val="00F165D8"/>
    <w:rsid w:val="00F26CD7"/>
    <w:rsid w:val="00F2712C"/>
    <w:rsid w:val="00F3151C"/>
    <w:rsid w:val="00F3218D"/>
    <w:rsid w:val="00F33AEF"/>
    <w:rsid w:val="00F36523"/>
    <w:rsid w:val="00F40BA1"/>
    <w:rsid w:val="00F429CB"/>
    <w:rsid w:val="00F44930"/>
    <w:rsid w:val="00F458E9"/>
    <w:rsid w:val="00F46795"/>
    <w:rsid w:val="00F51C3F"/>
    <w:rsid w:val="00F569CB"/>
    <w:rsid w:val="00F57020"/>
    <w:rsid w:val="00F576DD"/>
    <w:rsid w:val="00F64458"/>
    <w:rsid w:val="00F64D70"/>
    <w:rsid w:val="00F72048"/>
    <w:rsid w:val="00F73581"/>
    <w:rsid w:val="00F751C9"/>
    <w:rsid w:val="00F83883"/>
    <w:rsid w:val="00F856A3"/>
    <w:rsid w:val="00F86B51"/>
    <w:rsid w:val="00F92C5E"/>
    <w:rsid w:val="00F9310F"/>
    <w:rsid w:val="00F93A2E"/>
    <w:rsid w:val="00FA03F0"/>
    <w:rsid w:val="00FA278F"/>
    <w:rsid w:val="00FA470C"/>
    <w:rsid w:val="00FA685F"/>
    <w:rsid w:val="00FB0C4D"/>
    <w:rsid w:val="00FC16AF"/>
    <w:rsid w:val="00FC7629"/>
    <w:rsid w:val="00FD6BF8"/>
    <w:rsid w:val="00FE2599"/>
    <w:rsid w:val="00FE5897"/>
    <w:rsid w:val="00FE7A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104E306"/>
  <w15:chartTrackingRefBased/>
  <w15:docId w15:val="{1AB80216-0CA5-41B6-B53B-1C2F7B36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E22"/>
    <w:pPr>
      <w:spacing w:before="120" w:after="120"/>
      <w:jc w:val="both"/>
    </w:pPr>
    <w:rPr>
      <w:rFonts w:ascii="AvenirNext LT Pro Cn" w:eastAsiaTheme="minorHAnsi" w:hAnsi="AvenirNext LT Pro Cn" w:cstheme="minorBidi"/>
      <w:sz w:val="22"/>
      <w:szCs w:val="22"/>
      <w:lang w:eastAsia="en-US"/>
    </w:rPr>
  </w:style>
  <w:style w:type="paragraph" w:styleId="Titre1">
    <w:name w:val="heading 1"/>
    <w:basedOn w:val="Normal"/>
    <w:next w:val="Normal"/>
    <w:link w:val="Titre1Car"/>
    <w:uiPriority w:val="9"/>
    <w:qFormat/>
    <w:rsid w:val="004C7E22"/>
    <w:pPr>
      <w:keepNext/>
      <w:keepLines/>
      <w:numPr>
        <w:numId w:val="2"/>
      </w:numPr>
      <w:spacing w:before="240" w:after="0"/>
      <w:outlineLvl w:val="0"/>
    </w:pPr>
    <w:rPr>
      <w:rFonts w:ascii="Raleway" w:eastAsiaTheme="majorEastAsia" w:hAnsi="Raleway" w:cstheme="majorBidi"/>
      <w:color w:val="00A3A6"/>
      <w:sz w:val="32"/>
      <w:szCs w:val="32"/>
    </w:rPr>
  </w:style>
  <w:style w:type="paragraph" w:styleId="Titre2">
    <w:name w:val="heading 2"/>
    <w:basedOn w:val="Titre1"/>
    <w:next w:val="Normal"/>
    <w:link w:val="Titre2Car"/>
    <w:autoRedefine/>
    <w:uiPriority w:val="9"/>
    <w:unhideWhenUsed/>
    <w:qFormat/>
    <w:rsid w:val="005079BA"/>
    <w:pPr>
      <w:numPr>
        <w:ilvl w:val="1"/>
      </w:numPr>
      <w:spacing w:before="40"/>
      <w:outlineLvl w:val="1"/>
    </w:pPr>
    <w:rPr>
      <w:sz w:val="26"/>
      <w:szCs w:val="26"/>
    </w:rPr>
  </w:style>
  <w:style w:type="paragraph" w:styleId="Titre3">
    <w:name w:val="heading 3"/>
    <w:basedOn w:val="Titre2"/>
    <w:next w:val="Normal"/>
    <w:link w:val="Titre3Car"/>
    <w:uiPriority w:val="9"/>
    <w:unhideWhenUsed/>
    <w:qFormat/>
    <w:rsid w:val="004C7E22"/>
    <w:pPr>
      <w:numPr>
        <w:ilvl w:val="2"/>
      </w:numPr>
      <w:outlineLvl w:val="2"/>
    </w:pPr>
    <w:rPr>
      <w:rFonts w:ascii="AvenirNext LT Pro Cn" w:hAnsi="AvenirNext LT Pro Cn"/>
      <w:sz w:val="24"/>
      <w:szCs w:val="24"/>
    </w:rPr>
  </w:style>
  <w:style w:type="paragraph" w:styleId="Titre4">
    <w:name w:val="heading 4"/>
    <w:basedOn w:val="Normal"/>
    <w:next w:val="Normal"/>
    <w:link w:val="Titre4Car"/>
    <w:uiPriority w:val="9"/>
    <w:unhideWhenUsed/>
    <w:qFormat/>
    <w:rsid w:val="004C7E22"/>
    <w:pPr>
      <w:keepNext/>
      <w:keepLines/>
      <w:numPr>
        <w:ilvl w:val="3"/>
        <w:numId w:val="2"/>
      </w:numPr>
      <w:spacing w:before="40" w:after="0"/>
      <w:outlineLvl w:val="3"/>
    </w:pPr>
    <w:rPr>
      <w:rFonts w:ascii="Raleway" w:eastAsiaTheme="majorEastAsia" w:hAnsi="Raleway" w:cstheme="majorBidi"/>
      <w:i/>
      <w:iCs/>
      <w:color w:val="00A6A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C7E22"/>
    <w:pPr>
      <w:spacing w:after="0"/>
      <w:contextualSpacing/>
      <w:jc w:val="center"/>
    </w:pPr>
    <w:rPr>
      <w:rFonts w:ascii="Raleway" w:eastAsiaTheme="majorEastAsia" w:hAnsi="Raleway" w:cstheme="majorBidi"/>
      <w:b/>
      <w:spacing w:val="-10"/>
      <w:kern w:val="28"/>
      <w:sz w:val="56"/>
      <w:szCs w:val="56"/>
    </w:rPr>
  </w:style>
  <w:style w:type="paragraph" w:styleId="Corpsdetexte2">
    <w:name w:val="Body Text 2"/>
    <w:basedOn w:val="Normal"/>
    <w:pPr>
      <w:jc w:val="center"/>
    </w:pPr>
    <w:rPr>
      <w:rFonts w:ascii="Arial" w:hAnsi="Arial"/>
      <w:szCs w:val="20"/>
    </w:rPr>
  </w:style>
  <w:style w:type="paragraph" w:styleId="TM1">
    <w:name w:val="toc 1"/>
    <w:basedOn w:val="Normal"/>
    <w:next w:val="Normal"/>
    <w:autoRedefine/>
    <w:uiPriority w:val="39"/>
    <w:rPr>
      <w:szCs w:val="20"/>
    </w:rPr>
  </w:style>
  <w:style w:type="paragraph" w:styleId="TM2">
    <w:name w:val="toc 2"/>
    <w:basedOn w:val="Normal"/>
    <w:next w:val="Normal"/>
    <w:autoRedefine/>
    <w:uiPriority w:val="39"/>
    <w:pPr>
      <w:ind w:left="240"/>
    </w:pPr>
    <w:rPr>
      <w:szCs w:val="20"/>
    </w:rPr>
  </w:style>
  <w:style w:type="paragraph" w:styleId="TM3">
    <w:name w:val="toc 3"/>
    <w:basedOn w:val="Normal"/>
    <w:next w:val="Normal"/>
    <w:autoRedefine/>
    <w:uiPriority w:val="39"/>
    <w:pPr>
      <w:ind w:left="480"/>
    </w:pPr>
    <w:rPr>
      <w:szCs w:val="20"/>
    </w:rPr>
  </w:style>
  <w:style w:type="paragraph" w:styleId="Corpsdetexte">
    <w:name w:val="Body Text"/>
    <w:basedOn w:val="Normal"/>
    <w:link w:val="CorpsdetexteCar"/>
    <w:rPr>
      <w:rFonts w:ascii="Arial" w:hAnsi="Arial"/>
      <w:szCs w:val="20"/>
    </w:rPr>
  </w:style>
  <w:style w:type="paragraph" w:styleId="Corpsdetexte3">
    <w:name w:val="Body Text 3"/>
    <w:basedOn w:val="Normal"/>
    <w:link w:val="Corpsdetexte3Car"/>
    <w:rPr>
      <w:rFonts w:ascii="Arial" w:hAnsi="Arial"/>
      <w:szCs w:val="20"/>
    </w:rPr>
  </w:style>
  <w:style w:type="paragraph" w:customStyle="1" w:styleId="Titre21">
    <w:name w:val="Titre 21"/>
    <w:basedOn w:val="Normal"/>
    <w:pPr>
      <w:keepNext/>
      <w:widowControl w:val="0"/>
      <w:suppressAutoHyphens/>
      <w:autoSpaceDE w:val="0"/>
      <w:spacing w:after="144"/>
      <w:jc w:val="center"/>
    </w:pPr>
    <w:rPr>
      <w:rFonts w:ascii="Times" w:hAnsi="Times"/>
      <w:b/>
      <w:bCs/>
      <w:smallCaps/>
      <w:color w:val="000000"/>
      <w:sz w:val="40"/>
      <w:szCs w:val="40"/>
      <w:lang w:val="en-US" w:eastAsia="ar-SA"/>
    </w:rPr>
  </w:style>
  <w:style w:type="paragraph" w:customStyle="1" w:styleId="Paragraphe">
    <w:name w:val="Paragraphe"/>
    <w:basedOn w:val="Normal"/>
    <w:pPr>
      <w:widowControl w:val="0"/>
      <w:autoSpaceDE w:val="0"/>
      <w:autoSpaceDN w:val="0"/>
      <w:spacing w:after="144"/>
    </w:pPr>
    <w:rPr>
      <w:rFonts w:ascii="Times" w:hAnsi="Times"/>
      <w:noProof/>
      <w:color w:val="000000"/>
      <w:lang w:val="en-US"/>
    </w:rPr>
  </w:style>
  <w:style w:type="character" w:styleId="Lienhypertexte">
    <w:name w:val="Hyperlink"/>
    <w:uiPriority w:val="99"/>
    <w:rPr>
      <w:color w:val="0000FF"/>
      <w:u w:val="single"/>
    </w:r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character" w:styleId="Lienhypertextesuivivisit">
    <w:name w:val="FollowedHyperlink"/>
    <w:rPr>
      <w:color w:val="800080"/>
      <w:u w:val="single"/>
    </w:rPr>
  </w:style>
  <w:style w:type="paragraph" w:customStyle="1" w:styleId="RedTxt">
    <w:name w:val="RedTxt"/>
    <w:basedOn w:val="Normal"/>
    <w:rPr>
      <w:rFonts w:ascii="Arial" w:hAnsi="Arial"/>
      <w:sz w:val="18"/>
      <w:szCs w:val="20"/>
    </w:rPr>
  </w:style>
  <w:style w:type="paragraph" w:styleId="Textedebulles">
    <w:name w:val="Balloon Text"/>
    <w:basedOn w:val="Normal"/>
    <w:semiHidden/>
    <w:rPr>
      <w:rFonts w:ascii="Tahoma" w:hAnsi="Tahoma" w:cs="Tahoma"/>
      <w:sz w:val="16"/>
      <w:szCs w:val="16"/>
    </w:rPr>
  </w:style>
  <w:style w:type="character" w:styleId="Marquedecommentaire">
    <w:name w:val="annotation reference"/>
    <w:uiPriority w:val="99"/>
    <w:rPr>
      <w:sz w:val="16"/>
      <w:szCs w:val="16"/>
    </w:rPr>
  </w:style>
  <w:style w:type="paragraph" w:styleId="Commentaire">
    <w:name w:val="annotation text"/>
    <w:basedOn w:val="Normal"/>
    <w:link w:val="CommentaireCar"/>
    <w:uiPriority w:val="99"/>
    <w:semiHidden/>
    <w:rPr>
      <w:sz w:val="20"/>
      <w:szCs w:val="20"/>
    </w:rPr>
  </w:style>
  <w:style w:type="paragraph" w:styleId="Objetducommentaire">
    <w:name w:val="annotation subject"/>
    <w:basedOn w:val="Commentaire"/>
    <w:next w:val="Commentaire"/>
    <w:semiHidden/>
    <w:rPr>
      <w:b/>
      <w:bCs/>
    </w:rPr>
  </w:style>
  <w:style w:type="paragraph" w:styleId="Paragraphedeliste">
    <w:name w:val="List Paragraph"/>
    <w:aliases w:val="Paragraphe 3,lp1"/>
    <w:basedOn w:val="Normal"/>
    <w:link w:val="ParagraphedelisteCar"/>
    <w:uiPriority w:val="34"/>
    <w:qFormat/>
    <w:rsid w:val="00154CDF"/>
    <w:pPr>
      <w:ind w:left="708"/>
    </w:pPr>
  </w:style>
  <w:style w:type="paragraph" w:styleId="Retraitnormal">
    <w:name w:val="Normal Indent"/>
    <w:basedOn w:val="Normal"/>
    <w:pPr>
      <w:suppressAutoHyphens/>
      <w:overflowPunct w:val="0"/>
      <w:autoSpaceDE w:val="0"/>
      <w:spacing w:before="60" w:after="60"/>
      <w:ind w:left="284"/>
      <w:textAlignment w:val="baseline"/>
    </w:pPr>
    <w:rPr>
      <w:rFonts w:ascii="Verdana" w:hAnsi="Verdana"/>
      <w:sz w:val="20"/>
      <w:szCs w:val="20"/>
      <w:lang w:eastAsia="ar-SA"/>
    </w:rPr>
  </w:style>
  <w:style w:type="paragraph" w:customStyle="1" w:styleId="Corpsdetexte21">
    <w:name w:val="Corps de texte 21"/>
    <w:basedOn w:val="Normal"/>
    <w:pPr>
      <w:suppressAutoHyphens/>
    </w:pPr>
    <w:rPr>
      <w:i/>
      <w:iCs/>
      <w:sz w:val="16"/>
      <w:szCs w:val="16"/>
      <w:lang w:eastAsia="ar-SA"/>
    </w:rPr>
  </w:style>
  <w:style w:type="paragraph" w:styleId="NormalWeb">
    <w:name w:val="Normal (Web)"/>
    <w:basedOn w:val="Normal"/>
    <w:uiPriority w:val="99"/>
  </w:style>
  <w:style w:type="character" w:customStyle="1" w:styleId="CorpsdetexteCar">
    <w:name w:val="Corps de texte Car"/>
    <w:link w:val="Corpsdetexte"/>
    <w:rsid w:val="00214529"/>
    <w:rPr>
      <w:rFonts w:ascii="Arial" w:hAnsi="Arial"/>
      <w:sz w:val="22"/>
    </w:rPr>
  </w:style>
  <w:style w:type="paragraph" w:styleId="En-ttedetabledesmatires">
    <w:name w:val="TOC Heading"/>
    <w:basedOn w:val="Titre1"/>
    <w:next w:val="Normal"/>
    <w:uiPriority w:val="39"/>
    <w:semiHidden/>
    <w:unhideWhenUsed/>
    <w:qFormat/>
    <w:rsid w:val="00EB0916"/>
    <w:pPr>
      <w:spacing w:before="480" w:line="276" w:lineRule="auto"/>
      <w:outlineLvl w:val="9"/>
    </w:pPr>
    <w:rPr>
      <w:rFonts w:ascii="Cambria" w:hAnsi="Cambria"/>
      <w:bCs/>
      <w:color w:val="365F91"/>
      <w:sz w:val="28"/>
      <w:szCs w:val="28"/>
    </w:rPr>
  </w:style>
  <w:style w:type="character" w:customStyle="1" w:styleId="Titre3Car">
    <w:name w:val="Titre 3 Car"/>
    <w:basedOn w:val="Policepardfaut"/>
    <w:link w:val="Titre3"/>
    <w:uiPriority w:val="9"/>
    <w:rsid w:val="004C7E22"/>
    <w:rPr>
      <w:rFonts w:ascii="AvenirNext LT Pro Cn" w:eastAsiaTheme="majorEastAsia" w:hAnsi="AvenirNext LT Pro Cn" w:cstheme="majorBidi"/>
      <w:color w:val="00A3A6"/>
      <w:sz w:val="24"/>
      <w:szCs w:val="24"/>
      <w:lang w:eastAsia="en-US"/>
    </w:rPr>
  </w:style>
  <w:style w:type="paragraph" w:styleId="Notedefin">
    <w:name w:val="endnote text"/>
    <w:basedOn w:val="Normal"/>
    <w:link w:val="NotedefinCar"/>
    <w:rsid w:val="00D71409"/>
    <w:rPr>
      <w:sz w:val="20"/>
      <w:szCs w:val="20"/>
    </w:rPr>
  </w:style>
  <w:style w:type="character" w:customStyle="1" w:styleId="NotedefinCar">
    <w:name w:val="Note de fin Car"/>
    <w:basedOn w:val="Policepardfaut"/>
    <w:link w:val="Notedefin"/>
    <w:rsid w:val="00D71409"/>
  </w:style>
  <w:style w:type="character" w:styleId="Appeldenotedefin">
    <w:name w:val="endnote reference"/>
    <w:rsid w:val="00D71409"/>
    <w:rPr>
      <w:vertAlign w:val="superscript"/>
    </w:rPr>
  </w:style>
  <w:style w:type="paragraph" w:styleId="Notedebasdepage">
    <w:name w:val="footnote text"/>
    <w:basedOn w:val="Normal"/>
    <w:link w:val="NotedebasdepageCar"/>
    <w:rsid w:val="00D71409"/>
    <w:rPr>
      <w:sz w:val="20"/>
      <w:szCs w:val="20"/>
    </w:rPr>
  </w:style>
  <w:style w:type="character" w:customStyle="1" w:styleId="NotedebasdepageCar">
    <w:name w:val="Note de bas de page Car"/>
    <w:basedOn w:val="Policepardfaut"/>
    <w:link w:val="Notedebasdepage"/>
    <w:rsid w:val="00D71409"/>
  </w:style>
  <w:style w:type="character" w:styleId="Appelnotedebasdep">
    <w:name w:val="footnote reference"/>
    <w:uiPriority w:val="99"/>
    <w:rsid w:val="00D71409"/>
    <w:rPr>
      <w:vertAlign w:val="superscript"/>
    </w:rPr>
  </w:style>
  <w:style w:type="character" w:customStyle="1" w:styleId="Corpsdetexte3Car">
    <w:name w:val="Corps de texte 3 Car"/>
    <w:link w:val="Corpsdetexte3"/>
    <w:rsid w:val="00865DD4"/>
    <w:rPr>
      <w:rFonts w:ascii="Arial" w:hAnsi="Arial"/>
      <w:sz w:val="22"/>
    </w:rPr>
  </w:style>
  <w:style w:type="character" w:customStyle="1" w:styleId="Titre1Car">
    <w:name w:val="Titre 1 Car"/>
    <w:basedOn w:val="Policepardfaut"/>
    <w:link w:val="Titre1"/>
    <w:uiPriority w:val="9"/>
    <w:rsid w:val="004C7E22"/>
    <w:rPr>
      <w:rFonts w:ascii="Raleway" w:eastAsiaTheme="majorEastAsia" w:hAnsi="Raleway" w:cstheme="majorBidi"/>
      <w:color w:val="00A3A6"/>
      <w:sz w:val="32"/>
      <w:szCs w:val="32"/>
      <w:lang w:eastAsia="en-US"/>
    </w:rPr>
  </w:style>
  <w:style w:type="character" w:customStyle="1" w:styleId="Titre2Car">
    <w:name w:val="Titre 2 Car"/>
    <w:basedOn w:val="Policepardfaut"/>
    <w:link w:val="Titre2"/>
    <w:uiPriority w:val="9"/>
    <w:rsid w:val="005079BA"/>
    <w:rPr>
      <w:rFonts w:ascii="Raleway" w:eastAsiaTheme="majorEastAsia" w:hAnsi="Raleway" w:cstheme="majorBidi"/>
      <w:color w:val="00A3A6"/>
      <w:sz w:val="26"/>
      <w:szCs w:val="26"/>
      <w:lang w:eastAsia="en-US"/>
    </w:rPr>
  </w:style>
  <w:style w:type="character" w:customStyle="1" w:styleId="TitreCar">
    <w:name w:val="Titre Car"/>
    <w:basedOn w:val="Policepardfaut"/>
    <w:link w:val="Titre"/>
    <w:uiPriority w:val="10"/>
    <w:rsid w:val="004C7E22"/>
    <w:rPr>
      <w:rFonts w:ascii="Raleway" w:eastAsiaTheme="majorEastAsia" w:hAnsi="Raleway" w:cstheme="majorBidi"/>
      <w:b/>
      <w:spacing w:val="-10"/>
      <w:kern w:val="28"/>
      <w:sz w:val="56"/>
      <w:szCs w:val="56"/>
      <w:lang w:eastAsia="en-US"/>
    </w:rPr>
  </w:style>
  <w:style w:type="character" w:customStyle="1" w:styleId="Titre4Car">
    <w:name w:val="Titre 4 Car"/>
    <w:basedOn w:val="Policepardfaut"/>
    <w:link w:val="Titre4"/>
    <w:uiPriority w:val="9"/>
    <w:rsid w:val="004C7E22"/>
    <w:rPr>
      <w:rFonts w:ascii="Raleway" w:eastAsiaTheme="majorEastAsia" w:hAnsi="Raleway" w:cstheme="majorBidi"/>
      <w:i/>
      <w:iCs/>
      <w:color w:val="00A6A3"/>
      <w:sz w:val="22"/>
      <w:szCs w:val="22"/>
      <w:lang w:eastAsia="en-US"/>
    </w:rPr>
  </w:style>
  <w:style w:type="numbering" w:customStyle="1" w:styleId="ModleTitre">
    <w:name w:val="Modèle Titre"/>
    <w:uiPriority w:val="99"/>
    <w:rsid w:val="004C7E22"/>
    <w:pPr>
      <w:numPr>
        <w:numId w:val="2"/>
      </w:numPr>
    </w:pPr>
  </w:style>
  <w:style w:type="character" w:customStyle="1" w:styleId="CommentaireCar">
    <w:name w:val="Commentaire Car"/>
    <w:basedOn w:val="Policepardfaut"/>
    <w:link w:val="Commentaire"/>
    <w:uiPriority w:val="99"/>
    <w:semiHidden/>
    <w:rsid w:val="00A43082"/>
    <w:rPr>
      <w:rFonts w:ascii="AvenirNext LT Pro Cn" w:eastAsiaTheme="minorHAnsi" w:hAnsi="AvenirNext LT Pro Cn" w:cstheme="minorBidi"/>
      <w:lang w:eastAsia="en-US"/>
    </w:rPr>
  </w:style>
  <w:style w:type="table" w:styleId="Grilledutableau">
    <w:name w:val="Table Grid"/>
    <w:basedOn w:val="TableauNormal"/>
    <w:uiPriority w:val="39"/>
    <w:rsid w:val="00F27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4F3245"/>
    <w:pPr>
      <w:tabs>
        <w:tab w:val="center" w:pos="4536"/>
        <w:tab w:val="right" w:pos="9072"/>
      </w:tabs>
      <w:spacing w:before="0" w:after="0"/>
    </w:pPr>
  </w:style>
  <w:style w:type="character" w:customStyle="1" w:styleId="En-tteCar">
    <w:name w:val="En-tête Car"/>
    <w:basedOn w:val="Policepardfaut"/>
    <w:link w:val="En-tte"/>
    <w:uiPriority w:val="99"/>
    <w:rsid w:val="004F3245"/>
    <w:rPr>
      <w:rFonts w:ascii="AvenirNext LT Pro Cn" w:eastAsiaTheme="minorHAnsi" w:hAnsi="AvenirNext LT Pro Cn" w:cstheme="minorBidi"/>
      <w:sz w:val="22"/>
      <w:szCs w:val="22"/>
      <w:lang w:eastAsia="en-US"/>
    </w:rPr>
  </w:style>
  <w:style w:type="character" w:customStyle="1" w:styleId="PieddepageCar">
    <w:name w:val="Pied de page Car"/>
    <w:basedOn w:val="Policepardfaut"/>
    <w:link w:val="Pieddepage"/>
    <w:uiPriority w:val="99"/>
    <w:rsid w:val="004F3245"/>
    <w:rPr>
      <w:rFonts w:ascii="AvenirNext LT Pro Cn" w:eastAsiaTheme="minorHAnsi" w:hAnsi="AvenirNext LT Pro Cn" w:cstheme="minorBidi"/>
      <w:sz w:val="22"/>
      <w:szCs w:val="22"/>
      <w:lang w:eastAsia="en-US"/>
    </w:rPr>
  </w:style>
  <w:style w:type="character" w:customStyle="1" w:styleId="ParagraphedelisteCar">
    <w:name w:val="Paragraphe de liste Car"/>
    <w:aliases w:val="Paragraphe 3 Car,lp1 Car"/>
    <w:link w:val="Paragraphedeliste"/>
    <w:uiPriority w:val="34"/>
    <w:locked/>
    <w:rsid w:val="00A47C5A"/>
    <w:rPr>
      <w:rFonts w:ascii="AvenirNext LT Pro Cn" w:eastAsiaTheme="minorHAnsi" w:hAnsi="AvenirNext LT Pro Cn" w:cstheme="minorBidi"/>
      <w:sz w:val="22"/>
      <w:szCs w:val="22"/>
      <w:lang w:eastAsia="en-US"/>
    </w:rPr>
  </w:style>
  <w:style w:type="paragraph" w:styleId="Rvision">
    <w:name w:val="Revision"/>
    <w:hidden/>
    <w:uiPriority w:val="99"/>
    <w:semiHidden/>
    <w:rsid w:val="00271681"/>
    <w:rPr>
      <w:rFonts w:ascii="AvenirNext LT Pro Cn" w:eastAsiaTheme="minorHAnsi" w:hAnsi="AvenirNext LT Pro Cn" w:cstheme="minorBidi"/>
      <w:sz w:val="22"/>
      <w:szCs w:val="22"/>
      <w:lang w:eastAsia="en-US"/>
    </w:rPr>
  </w:style>
  <w:style w:type="paragraph" w:customStyle="1" w:styleId="Default">
    <w:name w:val="Default"/>
    <w:rsid w:val="00BC7C3A"/>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Grid1"/>
    <w:rsid w:val="002C48F2"/>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Grilledutableau1">
    <w:name w:val="Grille du tableau1"/>
    <w:basedOn w:val="TableauNormal"/>
    <w:next w:val="Grilledutableau"/>
    <w:uiPriority w:val="39"/>
    <w:rsid w:val="002C48F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66189">
      <w:bodyDiv w:val="1"/>
      <w:marLeft w:val="0"/>
      <w:marRight w:val="0"/>
      <w:marTop w:val="0"/>
      <w:marBottom w:val="0"/>
      <w:divBdr>
        <w:top w:val="none" w:sz="0" w:space="0" w:color="auto"/>
        <w:left w:val="none" w:sz="0" w:space="0" w:color="auto"/>
        <w:bottom w:val="none" w:sz="0" w:space="0" w:color="auto"/>
        <w:right w:val="none" w:sz="0" w:space="0" w:color="auto"/>
      </w:divBdr>
    </w:div>
    <w:div w:id="311178718">
      <w:bodyDiv w:val="1"/>
      <w:marLeft w:val="0"/>
      <w:marRight w:val="0"/>
      <w:marTop w:val="0"/>
      <w:marBottom w:val="0"/>
      <w:divBdr>
        <w:top w:val="none" w:sz="0" w:space="0" w:color="auto"/>
        <w:left w:val="none" w:sz="0" w:space="0" w:color="auto"/>
        <w:bottom w:val="none" w:sz="0" w:space="0" w:color="auto"/>
        <w:right w:val="none" w:sz="0" w:space="0" w:color="auto"/>
      </w:divBdr>
    </w:div>
    <w:div w:id="316154692">
      <w:bodyDiv w:val="1"/>
      <w:marLeft w:val="0"/>
      <w:marRight w:val="0"/>
      <w:marTop w:val="0"/>
      <w:marBottom w:val="0"/>
      <w:divBdr>
        <w:top w:val="none" w:sz="0" w:space="0" w:color="auto"/>
        <w:left w:val="none" w:sz="0" w:space="0" w:color="auto"/>
        <w:bottom w:val="none" w:sz="0" w:space="0" w:color="auto"/>
        <w:right w:val="none" w:sz="0" w:space="0" w:color="auto"/>
      </w:divBdr>
    </w:div>
    <w:div w:id="544104478">
      <w:bodyDiv w:val="1"/>
      <w:marLeft w:val="0"/>
      <w:marRight w:val="0"/>
      <w:marTop w:val="0"/>
      <w:marBottom w:val="0"/>
      <w:divBdr>
        <w:top w:val="none" w:sz="0" w:space="0" w:color="auto"/>
        <w:left w:val="none" w:sz="0" w:space="0" w:color="auto"/>
        <w:bottom w:val="none" w:sz="0" w:space="0" w:color="auto"/>
        <w:right w:val="none" w:sz="0" w:space="0" w:color="auto"/>
      </w:divBdr>
    </w:div>
    <w:div w:id="784926394">
      <w:bodyDiv w:val="1"/>
      <w:marLeft w:val="0"/>
      <w:marRight w:val="0"/>
      <w:marTop w:val="0"/>
      <w:marBottom w:val="0"/>
      <w:divBdr>
        <w:top w:val="none" w:sz="0" w:space="0" w:color="auto"/>
        <w:left w:val="none" w:sz="0" w:space="0" w:color="auto"/>
        <w:bottom w:val="none" w:sz="0" w:space="0" w:color="auto"/>
        <w:right w:val="none" w:sz="0" w:space="0" w:color="auto"/>
      </w:divBdr>
    </w:div>
    <w:div w:id="824663422">
      <w:bodyDiv w:val="1"/>
      <w:marLeft w:val="0"/>
      <w:marRight w:val="0"/>
      <w:marTop w:val="0"/>
      <w:marBottom w:val="0"/>
      <w:divBdr>
        <w:top w:val="none" w:sz="0" w:space="0" w:color="auto"/>
        <w:left w:val="none" w:sz="0" w:space="0" w:color="auto"/>
        <w:bottom w:val="none" w:sz="0" w:space="0" w:color="auto"/>
        <w:right w:val="none" w:sz="0" w:space="0" w:color="auto"/>
      </w:divBdr>
    </w:div>
    <w:div w:id="875432178">
      <w:bodyDiv w:val="1"/>
      <w:marLeft w:val="0"/>
      <w:marRight w:val="0"/>
      <w:marTop w:val="0"/>
      <w:marBottom w:val="0"/>
      <w:divBdr>
        <w:top w:val="none" w:sz="0" w:space="0" w:color="auto"/>
        <w:left w:val="none" w:sz="0" w:space="0" w:color="auto"/>
        <w:bottom w:val="none" w:sz="0" w:space="0" w:color="auto"/>
        <w:right w:val="none" w:sz="0" w:space="0" w:color="auto"/>
      </w:divBdr>
    </w:div>
    <w:div w:id="888880715">
      <w:bodyDiv w:val="1"/>
      <w:marLeft w:val="0"/>
      <w:marRight w:val="0"/>
      <w:marTop w:val="0"/>
      <w:marBottom w:val="0"/>
      <w:divBdr>
        <w:top w:val="none" w:sz="0" w:space="0" w:color="auto"/>
        <w:left w:val="none" w:sz="0" w:space="0" w:color="auto"/>
        <w:bottom w:val="none" w:sz="0" w:space="0" w:color="auto"/>
        <w:right w:val="none" w:sz="0" w:space="0" w:color="auto"/>
      </w:divBdr>
    </w:div>
    <w:div w:id="1139804297">
      <w:bodyDiv w:val="1"/>
      <w:marLeft w:val="0"/>
      <w:marRight w:val="0"/>
      <w:marTop w:val="0"/>
      <w:marBottom w:val="0"/>
      <w:divBdr>
        <w:top w:val="none" w:sz="0" w:space="0" w:color="auto"/>
        <w:left w:val="none" w:sz="0" w:space="0" w:color="auto"/>
        <w:bottom w:val="none" w:sz="0" w:space="0" w:color="auto"/>
        <w:right w:val="none" w:sz="0" w:space="0" w:color="auto"/>
      </w:divBdr>
    </w:div>
    <w:div w:id="1226335241">
      <w:bodyDiv w:val="1"/>
      <w:marLeft w:val="0"/>
      <w:marRight w:val="0"/>
      <w:marTop w:val="0"/>
      <w:marBottom w:val="0"/>
      <w:divBdr>
        <w:top w:val="none" w:sz="0" w:space="0" w:color="auto"/>
        <w:left w:val="none" w:sz="0" w:space="0" w:color="auto"/>
        <w:bottom w:val="none" w:sz="0" w:space="0" w:color="auto"/>
        <w:right w:val="none" w:sz="0" w:space="0" w:color="auto"/>
      </w:divBdr>
    </w:div>
    <w:div w:id="1261528312">
      <w:bodyDiv w:val="1"/>
      <w:marLeft w:val="0"/>
      <w:marRight w:val="0"/>
      <w:marTop w:val="0"/>
      <w:marBottom w:val="0"/>
      <w:divBdr>
        <w:top w:val="none" w:sz="0" w:space="0" w:color="auto"/>
        <w:left w:val="none" w:sz="0" w:space="0" w:color="auto"/>
        <w:bottom w:val="none" w:sz="0" w:space="0" w:color="auto"/>
        <w:right w:val="none" w:sz="0" w:space="0" w:color="auto"/>
      </w:divBdr>
    </w:div>
    <w:div w:id="1491553559">
      <w:bodyDiv w:val="1"/>
      <w:marLeft w:val="0"/>
      <w:marRight w:val="0"/>
      <w:marTop w:val="0"/>
      <w:marBottom w:val="0"/>
      <w:divBdr>
        <w:top w:val="none" w:sz="0" w:space="0" w:color="auto"/>
        <w:left w:val="none" w:sz="0" w:space="0" w:color="auto"/>
        <w:bottom w:val="none" w:sz="0" w:space="0" w:color="auto"/>
        <w:right w:val="none" w:sz="0" w:space="0" w:color="auto"/>
      </w:divBdr>
    </w:div>
    <w:div w:id="1554148927">
      <w:bodyDiv w:val="1"/>
      <w:marLeft w:val="0"/>
      <w:marRight w:val="0"/>
      <w:marTop w:val="0"/>
      <w:marBottom w:val="0"/>
      <w:divBdr>
        <w:top w:val="none" w:sz="0" w:space="0" w:color="auto"/>
        <w:left w:val="none" w:sz="0" w:space="0" w:color="auto"/>
        <w:bottom w:val="none" w:sz="0" w:space="0" w:color="auto"/>
        <w:right w:val="none" w:sz="0" w:space="0" w:color="auto"/>
      </w:divBdr>
    </w:div>
    <w:div w:id="212396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onomie.gouv.fr/daj/formulaires-declaration-du-candida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arches-publics.gouv.fr/" TargetMode="External"/><Relationship Id="rId10" Type="http://schemas.openxmlformats.org/officeDocument/2006/relationships/hyperlink" Target="https://www.marches-publics.gouv.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www.economie.gouv.fr/daj/formulaires-declaration-candid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farre\AppData\Roaming\Microsoft\Templates\Normal%20INRAE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5D8CB-2368-4F13-9C04-B7F0B7991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INRAEV2</Template>
  <TotalTime>257</TotalTime>
  <Pages>17</Pages>
  <Words>5965</Words>
  <Characters>35612</Characters>
  <Application>Microsoft Office Word</Application>
  <DocSecurity>0</DocSecurity>
  <Lines>296</Lines>
  <Paragraphs>82</Paragraphs>
  <ScaleCrop>false</ScaleCrop>
  <HeadingPairs>
    <vt:vector size="2" baseType="variant">
      <vt:variant>
        <vt:lpstr>Titre</vt:lpstr>
      </vt:variant>
      <vt:variant>
        <vt:i4>1</vt:i4>
      </vt:variant>
    </vt:vector>
  </HeadingPairs>
  <TitlesOfParts>
    <vt:vector size="1" baseType="lpstr">
      <vt:lpstr>Règlement de consultation</vt:lpstr>
    </vt:vector>
  </TitlesOfParts>
  <Company>INRAE</Company>
  <LinksUpToDate>false</LinksUpToDate>
  <CharactersWithSpaces>41495</CharactersWithSpaces>
  <SharedDoc>false</SharedDoc>
  <HLinks>
    <vt:vector size="138" baseType="variant">
      <vt:variant>
        <vt:i4>393218</vt:i4>
      </vt:variant>
      <vt:variant>
        <vt:i4>129</vt:i4>
      </vt:variant>
      <vt:variant>
        <vt:i4>0</vt:i4>
      </vt:variant>
      <vt:variant>
        <vt:i4>5</vt:i4>
      </vt:variant>
      <vt:variant>
        <vt:lpwstr>https://www.marches-publics.gouv.fr/</vt:lpwstr>
      </vt:variant>
      <vt:variant>
        <vt:lpwstr/>
      </vt:variant>
      <vt:variant>
        <vt:i4>393218</vt:i4>
      </vt:variant>
      <vt:variant>
        <vt:i4>126</vt:i4>
      </vt:variant>
      <vt:variant>
        <vt:i4>0</vt:i4>
      </vt:variant>
      <vt:variant>
        <vt:i4>5</vt:i4>
      </vt:variant>
      <vt:variant>
        <vt:lpwstr>https://www.marches-publics.gouv.fr/</vt:lpwstr>
      </vt:variant>
      <vt:variant>
        <vt:lpwstr/>
      </vt:variant>
      <vt:variant>
        <vt:i4>6619196</vt:i4>
      </vt:variant>
      <vt:variant>
        <vt:i4>123</vt:i4>
      </vt:variant>
      <vt:variant>
        <vt:i4>0</vt:i4>
      </vt:variant>
      <vt:variant>
        <vt:i4>5</vt:i4>
      </vt:variant>
      <vt:variant>
        <vt:lpwstr>http://www.economie.gouv.fr/daj/formulaires-declaration-du-candidat</vt:lpwstr>
      </vt:variant>
      <vt:variant>
        <vt:lpwstr/>
      </vt:variant>
      <vt:variant>
        <vt:i4>2818051</vt:i4>
      </vt:variant>
      <vt:variant>
        <vt:i4>116</vt:i4>
      </vt:variant>
      <vt:variant>
        <vt:i4>0</vt:i4>
      </vt:variant>
      <vt:variant>
        <vt:i4>5</vt:i4>
      </vt:variant>
      <vt:variant>
        <vt:lpwstr/>
      </vt:variant>
      <vt:variant>
        <vt:lpwstr>_Toc3451590</vt:lpwstr>
      </vt:variant>
      <vt:variant>
        <vt:i4>2752515</vt:i4>
      </vt:variant>
      <vt:variant>
        <vt:i4>110</vt:i4>
      </vt:variant>
      <vt:variant>
        <vt:i4>0</vt:i4>
      </vt:variant>
      <vt:variant>
        <vt:i4>5</vt:i4>
      </vt:variant>
      <vt:variant>
        <vt:lpwstr/>
      </vt:variant>
      <vt:variant>
        <vt:lpwstr>_Toc3451589</vt:lpwstr>
      </vt:variant>
      <vt:variant>
        <vt:i4>2752515</vt:i4>
      </vt:variant>
      <vt:variant>
        <vt:i4>104</vt:i4>
      </vt:variant>
      <vt:variant>
        <vt:i4>0</vt:i4>
      </vt:variant>
      <vt:variant>
        <vt:i4>5</vt:i4>
      </vt:variant>
      <vt:variant>
        <vt:lpwstr/>
      </vt:variant>
      <vt:variant>
        <vt:lpwstr>_Toc3451588</vt:lpwstr>
      </vt:variant>
      <vt:variant>
        <vt:i4>2752515</vt:i4>
      </vt:variant>
      <vt:variant>
        <vt:i4>98</vt:i4>
      </vt:variant>
      <vt:variant>
        <vt:i4>0</vt:i4>
      </vt:variant>
      <vt:variant>
        <vt:i4>5</vt:i4>
      </vt:variant>
      <vt:variant>
        <vt:lpwstr/>
      </vt:variant>
      <vt:variant>
        <vt:lpwstr>_Toc3451587</vt:lpwstr>
      </vt:variant>
      <vt:variant>
        <vt:i4>2752515</vt:i4>
      </vt:variant>
      <vt:variant>
        <vt:i4>92</vt:i4>
      </vt:variant>
      <vt:variant>
        <vt:i4>0</vt:i4>
      </vt:variant>
      <vt:variant>
        <vt:i4>5</vt:i4>
      </vt:variant>
      <vt:variant>
        <vt:lpwstr/>
      </vt:variant>
      <vt:variant>
        <vt:lpwstr>_Toc3451586</vt:lpwstr>
      </vt:variant>
      <vt:variant>
        <vt:i4>2752515</vt:i4>
      </vt:variant>
      <vt:variant>
        <vt:i4>86</vt:i4>
      </vt:variant>
      <vt:variant>
        <vt:i4>0</vt:i4>
      </vt:variant>
      <vt:variant>
        <vt:i4>5</vt:i4>
      </vt:variant>
      <vt:variant>
        <vt:lpwstr/>
      </vt:variant>
      <vt:variant>
        <vt:lpwstr>_Toc3451585</vt:lpwstr>
      </vt:variant>
      <vt:variant>
        <vt:i4>2752515</vt:i4>
      </vt:variant>
      <vt:variant>
        <vt:i4>80</vt:i4>
      </vt:variant>
      <vt:variant>
        <vt:i4>0</vt:i4>
      </vt:variant>
      <vt:variant>
        <vt:i4>5</vt:i4>
      </vt:variant>
      <vt:variant>
        <vt:lpwstr/>
      </vt:variant>
      <vt:variant>
        <vt:lpwstr>_Toc3451584</vt:lpwstr>
      </vt:variant>
      <vt:variant>
        <vt:i4>2752515</vt:i4>
      </vt:variant>
      <vt:variant>
        <vt:i4>74</vt:i4>
      </vt:variant>
      <vt:variant>
        <vt:i4>0</vt:i4>
      </vt:variant>
      <vt:variant>
        <vt:i4>5</vt:i4>
      </vt:variant>
      <vt:variant>
        <vt:lpwstr/>
      </vt:variant>
      <vt:variant>
        <vt:lpwstr>_Toc3451583</vt:lpwstr>
      </vt:variant>
      <vt:variant>
        <vt:i4>2752515</vt:i4>
      </vt:variant>
      <vt:variant>
        <vt:i4>68</vt:i4>
      </vt:variant>
      <vt:variant>
        <vt:i4>0</vt:i4>
      </vt:variant>
      <vt:variant>
        <vt:i4>5</vt:i4>
      </vt:variant>
      <vt:variant>
        <vt:lpwstr/>
      </vt:variant>
      <vt:variant>
        <vt:lpwstr>_Toc3451582</vt:lpwstr>
      </vt:variant>
      <vt:variant>
        <vt:i4>2752515</vt:i4>
      </vt:variant>
      <vt:variant>
        <vt:i4>62</vt:i4>
      </vt:variant>
      <vt:variant>
        <vt:i4>0</vt:i4>
      </vt:variant>
      <vt:variant>
        <vt:i4>5</vt:i4>
      </vt:variant>
      <vt:variant>
        <vt:lpwstr/>
      </vt:variant>
      <vt:variant>
        <vt:lpwstr>_Toc3451581</vt:lpwstr>
      </vt:variant>
      <vt:variant>
        <vt:i4>2752515</vt:i4>
      </vt:variant>
      <vt:variant>
        <vt:i4>56</vt:i4>
      </vt:variant>
      <vt:variant>
        <vt:i4>0</vt:i4>
      </vt:variant>
      <vt:variant>
        <vt:i4>5</vt:i4>
      </vt:variant>
      <vt:variant>
        <vt:lpwstr/>
      </vt:variant>
      <vt:variant>
        <vt:lpwstr>_Toc3451580</vt:lpwstr>
      </vt:variant>
      <vt:variant>
        <vt:i4>2424835</vt:i4>
      </vt:variant>
      <vt:variant>
        <vt:i4>50</vt:i4>
      </vt:variant>
      <vt:variant>
        <vt:i4>0</vt:i4>
      </vt:variant>
      <vt:variant>
        <vt:i4>5</vt:i4>
      </vt:variant>
      <vt:variant>
        <vt:lpwstr/>
      </vt:variant>
      <vt:variant>
        <vt:lpwstr>_Toc3451579</vt:lpwstr>
      </vt:variant>
      <vt:variant>
        <vt:i4>2424835</vt:i4>
      </vt:variant>
      <vt:variant>
        <vt:i4>44</vt:i4>
      </vt:variant>
      <vt:variant>
        <vt:i4>0</vt:i4>
      </vt:variant>
      <vt:variant>
        <vt:i4>5</vt:i4>
      </vt:variant>
      <vt:variant>
        <vt:lpwstr/>
      </vt:variant>
      <vt:variant>
        <vt:lpwstr>_Toc3451578</vt:lpwstr>
      </vt:variant>
      <vt:variant>
        <vt:i4>2424835</vt:i4>
      </vt:variant>
      <vt:variant>
        <vt:i4>38</vt:i4>
      </vt:variant>
      <vt:variant>
        <vt:i4>0</vt:i4>
      </vt:variant>
      <vt:variant>
        <vt:i4>5</vt:i4>
      </vt:variant>
      <vt:variant>
        <vt:lpwstr/>
      </vt:variant>
      <vt:variant>
        <vt:lpwstr>_Toc3451577</vt:lpwstr>
      </vt:variant>
      <vt:variant>
        <vt:i4>2424835</vt:i4>
      </vt:variant>
      <vt:variant>
        <vt:i4>32</vt:i4>
      </vt:variant>
      <vt:variant>
        <vt:i4>0</vt:i4>
      </vt:variant>
      <vt:variant>
        <vt:i4>5</vt:i4>
      </vt:variant>
      <vt:variant>
        <vt:lpwstr/>
      </vt:variant>
      <vt:variant>
        <vt:lpwstr>_Toc3451576</vt:lpwstr>
      </vt:variant>
      <vt:variant>
        <vt:i4>2424835</vt:i4>
      </vt:variant>
      <vt:variant>
        <vt:i4>26</vt:i4>
      </vt:variant>
      <vt:variant>
        <vt:i4>0</vt:i4>
      </vt:variant>
      <vt:variant>
        <vt:i4>5</vt:i4>
      </vt:variant>
      <vt:variant>
        <vt:lpwstr/>
      </vt:variant>
      <vt:variant>
        <vt:lpwstr>_Toc3451575</vt:lpwstr>
      </vt:variant>
      <vt:variant>
        <vt:i4>2424835</vt:i4>
      </vt:variant>
      <vt:variant>
        <vt:i4>20</vt:i4>
      </vt:variant>
      <vt:variant>
        <vt:i4>0</vt:i4>
      </vt:variant>
      <vt:variant>
        <vt:i4>5</vt:i4>
      </vt:variant>
      <vt:variant>
        <vt:lpwstr/>
      </vt:variant>
      <vt:variant>
        <vt:lpwstr>_Toc3451574</vt:lpwstr>
      </vt:variant>
      <vt:variant>
        <vt:i4>2424835</vt:i4>
      </vt:variant>
      <vt:variant>
        <vt:i4>14</vt:i4>
      </vt:variant>
      <vt:variant>
        <vt:i4>0</vt:i4>
      </vt:variant>
      <vt:variant>
        <vt:i4>5</vt:i4>
      </vt:variant>
      <vt:variant>
        <vt:lpwstr/>
      </vt:variant>
      <vt:variant>
        <vt:lpwstr>_Toc3451573</vt:lpwstr>
      </vt:variant>
      <vt:variant>
        <vt:i4>2424835</vt:i4>
      </vt:variant>
      <vt:variant>
        <vt:i4>8</vt:i4>
      </vt:variant>
      <vt:variant>
        <vt:i4>0</vt:i4>
      </vt:variant>
      <vt:variant>
        <vt:i4>5</vt:i4>
      </vt:variant>
      <vt:variant>
        <vt:lpwstr/>
      </vt:variant>
      <vt:variant>
        <vt:lpwstr>_Toc3451572</vt:lpwstr>
      </vt:variant>
      <vt:variant>
        <vt:i4>2424835</vt:i4>
      </vt:variant>
      <vt:variant>
        <vt:i4>2</vt:i4>
      </vt:variant>
      <vt:variant>
        <vt:i4>0</vt:i4>
      </vt:variant>
      <vt:variant>
        <vt:i4>5</vt:i4>
      </vt:variant>
      <vt:variant>
        <vt:lpwstr/>
      </vt:variant>
      <vt:variant>
        <vt:lpwstr>_Toc3451571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de consultation</dc:title>
  <dc:subject>Matériel S2I-D1</dc:subject>
  <dc:creator>Nicolas Farré</dc:creator>
  <cp:keywords/>
  <cp:lastModifiedBy>Salma Baguena</cp:lastModifiedBy>
  <cp:revision>22</cp:revision>
  <cp:lastPrinted>2020-07-01T09:47:00Z</cp:lastPrinted>
  <dcterms:created xsi:type="dcterms:W3CDTF">2023-02-16T13:29:00Z</dcterms:created>
  <dcterms:modified xsi:type="dcterms:W3CDTF">2025-07-02T09:52:00Z</dcterms:modified>
</cp:coreProperties>
</file>