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E0B4B" w14:textId="230A926C" w:rsidR="008B61C8" w:rsidRDefault="008B61C8" w:rsidP="008B61C8">
      <w:bookmarkStart w:id="0" w:name="_Hlk200116481"/>
      <w:bookmarkEnd w:id="0"/>
      <w:r>
        <w:rPr>
          <w:noProof/>
          <w:lang w:eastAsia="fr-FR"/>
        </w:rPr>
        <w:drawing>
          <wp:inline distT="0" distB="0" distL="0" distR="0" wp14:anchorId="68DB1F6A" wp14:editId="39511F7E">
            <wp:extent cx="1704975" cy="451052"/>
            <wp:effectExtent l="0" t="0" r="0" b="6350"/>
            <wp:docPr id="1" name="Image 1" descr="C:\Users\nfarre\AppData\Local\Microsoft\Windows\INetCache\Content.Word\Logo-INRAE_Quadri-[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farre\AppData\Local\Microsoft\Windows\INetCache\Content.Word\Logo-INRAE_Quadri-[HD].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3460" cy="471815"/>
                    </a:xfrm>
                    <a:prstGeom prst="rect">
                      <a:avLst/>
                    </a:prstGeom>
                    <a:noFill/>
                    <a:ln>
                      <a:noFill/>
                    </a:ln>
                  </pic:spPr>
                </pic:pic>
              </a:graphicData>
            </a:graphic>
          </wp:inline>
        </w:drawing>
      </w:r>
    </w:p>
    <w:p w14:paraId="32F8C973" w14:textId="77777777" w:rsidR="003311FF" w:rsidRDefault="003311FF" w:rsidP="003311FF">
      <w:pPr>
        <w:rPr>
          <w:rFonts w:asciiTheme="minorHAnsi" w:hAnsiTheme="minorHAnsi"/>
          <w:sz w:val="22"/>
        </w:rPr>
      </w:pPr>
      <w:r>
        <w:t xml:space="preserve">DIFA-Service des achats </w:t>
      </w:r>
    </w:p>
    <w:p w14:paraId="0D54FD2C" w14:textId="77777777" w:rsidR="003311FF" w:rsidRDefault="003311FF" w:rsidP="003311FF">
      <w:r>
        <w:t>147, Rue de l’Université</w:t>
      </w:r>
    </w:p>
    <w:p w14:paraId="108143E6" w14:textId="77777777" w:rsidR="003311FF" w:rsidRDefault="003311FF" w:rsidP="003311FF">
      <w:r>
        <w:t>75338 PARIS Cedex 07</w:t>
      </w:r>
    </w:p>
    <w:p w14:paraId="29642479" w14:textId="77777777" w:rsidR="008B61C8" w:rsidRPr="00FD4A55" w:rsidRDefault="008B61C8" w:rsidP="008B61C8"/>
    <w:p w14:paraId="01D802D6" w14:textId="77777777" w:rsidR="008B61C8" w:rsidRPr="00FD4A55" w:rsidRDefault="008B61C8" w:rsidP="008B61C8"/>
    <w:p w14:paraId="56F18D27" w14:textId="77777777" w:rsidR="008B61C8" w:rsidRPr="00FD4A55" w:rsidRDefault="008B61C8" w:rsidP="008B61C8"/>
    <w:p w14:paraId="0BC100F8" w14:textId="77777777" w:rsidR="008B61C8" w:rsidRDefault="008B61C8" w:rsidP="008B61C8"/>
    <w:p w14:paraId="064ECE83" w14:textId="77777777" w:rsidR="008B61C8" w:rsidRDefault="008B61C8" w:rsidP="008B61C8"/>
    <w:p w14:paraId="185535B5" w14:textId="77777777" w:rsidR="008B61C8" w:rsidRDefault="008B61C8" w:rsidP="008B61C8"/>
    <w:p w14:paraId="17FA2A7C" w14:textId="77777777" w:rsidR="008B61C8" w:rsidRDefault="008B61C8" w:rsidP="008B61C8"/>
    <w:p w14:paraId="78D3D7B9" w14:textId="77777777" w:rsidR="008B61C8" w:rsidRDefault="008B61C8" w:rsidP="008B61C8"/>
    <w:p w14:paraId="2F222C46" w14:textId="77777777" w:rsidR="008B61C8" w:rsidRDefault="008B61C8" w:rsidP="008B61C8"/>
    <w:p w14:paraId="4D095691" w14:textId="77777777" w:rsidR="008B61C8" w:rsidRDefault="008B61C8" w:rsidP="008B61C8"/>
    <w:p w14:paraId="7A4ACA0B" w14:textId="77777777" w:rsidR="008B61C8" w:rsidRDefault="008B61C8" w:rsidP="008B61C8"/>
    <w:p w14:paraId="2236123E" w14:textId="77777777" w:rsidR="008B61C8" w:rsidRDefault="008B61C8" w:rsidP="008B61C8"/>
    <w:p w14:paraId="0F668CF3" w14:textId="77777777" w:rsidR="008B61C8" w:rsidRDefault="008B61C8" w:rsidP="008B61C8">
      <w:pPr>
        <w:tabs>
          <w:tab w:val="left" w:pos="3735"/>
        </w:tabs>
      </w:pPr>
      <w:r>
        <w:tab/>
      </w:r>
    </w:p>
    <w:p w14:paraId="3DCCBB84" w14:textId="77777777" w:rsidR="00FA2110" w:rsidRPr="00FA2110" w:rsidRDefault="00FA2110" w:rsidP="00340C0A">
      <w:pPr>
        <w:pStyle w:val="Titre"/>
        <w:rPr>
          <w:sz w:val="36"/>
          <w:szCs w:val="36"/>
        </w:rPr>
      </w:pPr>
      <w:r w:rsidRPr="00FA2110">
        <w:rPr>
          <w:sz w:val="40"/>
          <w:szCs w:val="36"/>
        </w:rPr>
        <w:t>Cahier des Clauses Techniques Particulières (CCTP)</w:t>
      </w:r>
    </w:p>
    <w:p w14:paraId="7C4CA959" w14:textId="77777777" w:rsidR="00FA2110" w:rsidRPr="00FA2110" w:rsidRDefault="00FA2110" w:rsidP="00340C0A">
      <w:pPr>
        <w:pStyle w:val="Titre"/>
        <w:rPr>
          <w:sz w:val="40"/>
          <w:szCs w:val="40"/>
        </w:rPr>
      </w:pPr>
    </w:p>
    <w:p w14:paraId="7DD7F9D7" w14:textId="4FD5F6FC" w:rsidR="00BE394B" w:rsidRPr="00C76811" w:rsidRDefault="00BE394B" w:rsidP="00BE394B">
      <w:pPr>
        <w:pStyle w:val="Titre"/>
        <w:spacing w:line="242" w:lineRule="auto"/>
        <w:rPr>
          <w:rFonts w:eastAsiaTheme="minorHAnsi" w:cstheme="minorBidi"/>
          <w:b w:val="0"/>
          <w:bCs/>
          <w:sz w:val="40"/>
          <w:szCs w:val="40"/>
        </w:rPr>
      </w:pPr>
      <w:r w:rsidRPr="00C76811">
        <w:rPr>
          <w:rFonts w:eastAsiaTheme="minorHAnsi" w:cstheme="minorBidi"/>
          <w:b w:val="0"/>
          <w:sz w:val="40"/>
          <w:szCs w:val="40"/>
        </w:rPr>
        <w:t>Cart</w:t>
      </w:r>
      <w:r w:rsidR="00593DD9">
        <w:rPr>
          <w:rFonts w:eastAsiaTheme="minorHAnsi" w:cstheme="minorBidi"/>
          <w:b w:val="0"/>
          <w:sz w:val="40"/>
          <w:szCs w:val="40"/>
        </w:rPr>
        <w:t>es achat</w:t>
      </w:r>
      <w:r w:rsidRPr="00C76811">
        <w:rPr>
          <w:rFonts w:eastAsiaTheme="minorHAnsi" w:cstheme="minorBidi"/>
          <w:b w:val="0"/>
          <w:sz w:val="40"/>
          <w:szCs w:val="40"/>
        </w:rPr>
        <w:t xml:space="preserve"> et cartes </w:t>
      </w:r>
      <w:proofErr w:type="spellStart"/>
      <w:r w:rsidR="00593DD9">
        <w:rPr>
          <w:rFonts w:eastAsiaTheme="minorHAnsi" w:cstheme="minorBidi"/>
          <w:b w:val="0"/>
          <w:sz w:val="40"/>
          <w:szCs w:val="40"/>
        </w:rPr>
        <w:t>corporate</w:t>
      </w:r>
      <w:proofErr w:type="spellEnd"/>
      <w:r w:rsidRPr="00C76811">
        <w:rPr>
          <w:rFonts w:eastAsiaTheme="minorHAnsi" w:cstheme="minorBidi"/>
          <w:b w:val="0"/>
          <w:sz w:val="40"/>
          <w:szCs w:val="40"/>
        </w:rPr>
        <w:t xml:space="preserve"> pour INRAE </w:t>
      </w:r>
    </w:p>
    <w:p w14:paraId="0F517973" w14:textId="77777777" w:rsidR="00340C0A" w:rsidRPr="00340C0A" w:rsidRDefault="00340C0A" w:rsidP="00340C0A"/>
    <w:p w14:paraId="2F1A910F" w14:textId="6506FD9E" w:rsidR="008B61C8" w:rsidRDefault="008B61C8" w:rsidP="008B61C8">
      <w:pPr>
        <w:pStyle w:val="Titre"/>
      </w:pPr>
      <w:r>
        <w:br/>
      </w:r>
    </w:p>
    <w:p w14:paraId="73CB86B8" w14:textId="2AA1501C" w:rsidR="008B61C8" w:rsidRDefault="008B61C8" w:rsidP="00340C0A">
      <w:pPr>
        <w:spacing w:after="160" w:line="259" w:lineRule="auto"/>
      </w:pPr>
      <w:r>
        <w:br w:type="page"/>
      </w:r>
    </w:p>
    <w:sdt>
      <w:sdtPr>
        <w:rPr>
          <w:rFonts w:ascii="AvenirNext LT Pro Cn" w:eastAsiaTheme="minorHAnsi" w:hAnsi="AvenirNext LT Pro Cn" w:cstheme="minorBidi"/>
          <w:b w:val="0"/>
          <w:color w:val="auto"/>
          <w:sz w:val="24"/>
          <w:szCs w:val="22"/>
          <w:lang w:eastAsia="en-US"/>
        </w:rPr>
        <w:id w:val="1190108041"/>
        <w:docPartObj>
          <w:docPartGallery w:val="Table of Contents"/>
          <w:docPartUnique/>
        </w:docPartObj>
      </w:sdtPr>
      <w:sdtEndPr>
        <w:rPr>
          <w:bCs/>
        </w:rPr>
      </w:sdtEndPr>
      <w:sdtContent>
        <w:p w14:paraId="6308ED5A" w14:textId="63EA68CF" w:rsidR="003B7DDC" w:rsidRPr="00B35390" w:rsidRDefault="003B7DDC">
          <w:pPr>
            <w:pStyle w:val="En-ttedetabledesmatires"/>
            <w:rPr>
              <w:rFonts w:ascii="Raleway" w:hAnsi="Raleway"/>
              <w:color w:val="00A3A6"/>
            </w:rPr>
          </w:pPr>
          <w:r w:rsidRPr="00B35390">
            <w:rPr>
              <w:rFonts w:ascii="Raleway" w:hAnsi="Raleway"/>
              <w:color w:val="00A3A6"/>
            </w:rPr>
            <w:t>Table des matières</w:t>
          </w:r>
        </w:p>
        <w:p w14:paraId="133CD36A" w14:textId="1F795B64" w:rsidR="00011CED" w:rsidRDefault="003B7DDC">
          <w:pPr>
            <w:pStyle w:val="TM1"/>
            <w:tabs>
              <w:tab w:val="right" w:leader="dot" w:pos="9062"/>
            </w:tabs>
            <w:rPr>
              <w:rFonts w:asciiTheme="minorHAnsi" w:eastAsiaTheme="minorEastAsia" w:hAnsiTheme="minorHAnsi"/>
              <w:noProof/>
              <w:sz w:val="22"/>
              <w:lang w:eastAsia="fr-FR"/>
            </w:rPr>
          </w:pPr>
          <w:r>
            <w:fldChar w:fldCharType="begin"/>
          </w:r>
          <w:r>
            <w:instrText xml:space="preserve"> TOC \o "1-3" \h \z \u </w:instrText>
          </w:r>
          <w:r>
            <w:fldChar w:fldCharType="separate"/>
          </w:r>
          <w:hyperlink w:anchor="_Toc201856013" w:history="1">
            <w:r w:rsidR="00011CED" w:rsidRPr="009824D5">
              <w:rPr>
                <w:rStyle w:val="Lienhypertexte"/>
                <w:noProof/>
              </w:rPr>
              <w:t>1 Objet de l’accord cadre</w:t>
            </w:r>
            <w:r w:rsidR="00011CED">
              <w:rPr>
                <w:noProof/>
                <w:webHidden/>
              </w:rPr>
              <w:tab/>
            </w:r>
            <w:r w:rsidR="00011CED">
              <w:rPr>
                <w:noProof/>
                <w:webHidden/>
              </w:rPr>
              <w:fldChar w:fldCharType="begin"/>
            </w:r>
            <w:r w:rsidR="00011CED">
              <w:rPr>
                <w:noProof/>
                <w:webHidden/>
              </w:rPr>
              <w:instrText xml:space="preserve"> PAGEREF _Toc201856013 \h </w:instrText>
            </w:r>
            <w:r w:rsidR="00011CED">
              <w:rPr>
                <w:noProof/>
                <w:webHidden/>
              </w:rPr>
            </w:r>
            <w:r w:rsidR="00011CED">
              <w:rPr>
                <w:noProof/>
                <w:webHidden/>
              </w:rPr>
              <w:fldChar w:fldCharType="separate"/>
            </w:r>
            <w:r w:rsidR="00011CED">
              <w:rPr>
                <w:noProof/>
                <w:webHidden/>
              </w:rPr>
              <w:t>4</w:t>
            </w:r>
            <w:r w:rsidR="00011CED">
              <w:rPr>
                <w:noProof/>
                <w:webHidden/>
              </w:rPr>
              <w:fldChar w:fldCharType="end"/>
            </w:r>
          </w:hyperlink>
        </w:p>
        <w:p w14:paraId="1F875437" w14:textId="3ACD7F57" w:rsidR="00011CED" w:rsidRDefault="00436F0B">
          <w:pPr>
            <w:pStyle w:val="TM1"/>
            <w:tabs>
              <w:tab w:val="left" w:pos="708"/>
              <w:tab w:val="right" w:leader="dot" w:pos="9062"/>
            </w:tabs>
            <w:rPr>
              <w:rFonts w:asciiTheme="minorHAnsi" w:eastAsiaTheme="minorEastAsia" w:hAnsiTheme="minorHAnsi"/>
              <w:noProof/>
              <w:sz w:val="22"/>
              <w:lang w:eastAsia="fr-FR"/>
            </w:rPr>
          </w:pPr>
          <w:hyperlink w:anchor="_Toc201856014" w:history="1">
            <w:r w:rsidR="00011CED" w:rsidRPr="009824D5">
              <w:rPr>
                <w:rStyle w:val="Lienhypertexte"/>
                <w:noProof/>
                <w14:scene3d>
                  <w14:camera w14:prst="orthographicFront"/>
                  <w14:lightRig w14:rig="threePt" w14:dir="t">
                    <w14:rot w14:lat="0" w14:lon="0" w14:rev="0"/>
                  </w14:lightRig>
                </w14:scene3d>
              </w:rPr>
              <w:t>2</w:t>
            </w:r>
            <w:r w:rsidR="00011CED">
              <w:rPr>
                <w:rStyle w:val="Lienhypertexte"/>
                <w:noProof/>
                <w14:scene3d>
                  <w14:camera w14:prst="orthographicFront"/>
                  <w14:lightRig w14:rig="threePt" w14:dir="t">
                    <w14:rot w14:lat="0" w14:lon="0" w14:rev="0"/>
                  </w14:lightRig>
                </w14:scene3d>
              </w:rPr>
              <w:t xml:space="preserve"> </w:t>
            </w:r>
            <w:r w:rsidR="00011CED" w:rsidRPr="009824D5">
              <w:rPr>
                <w:rStyle w:val="Lienhypertexte"/>
                <w:noProof/>
              </w:rPr>
              <w:t>Présentation d’INRAE</w:t>
            </w:r>
            <w:r w:rsidR="00011CED">
              <w:rPr>
                <w:noProof/>
                <w:webHidden/>
              </w:rPr>
              <w:tab/>
            </w:r>
            <w:r w:rsidR="00011CED">
              <w:rPr>
                <w:noProof/>
                <w:webHidden/>
              </w:rPr>
              <w:fldChar w:fldCharType="begin"/>
            </w:r>
            <w:r w:rsidR="00011CED">
              <w:rPr>
                <w:noProof/>
                <w:webHidden/>
              </w:rPr>
              <w:instrText xml:space="preserve"> PAGEREF _Toc201856014 \h </w:instrText>
            </w:r>
            <w:r w:rsidR="00011CED">
              <w:rPr>
                <w:noProof/>
                <w:webHidden/>
              </w:rPr>
            </w:r>
            <w:r w:rsidR="00011CED">
              <w:rPr>
                <w:noProof/>
                <w:webHidden/>
              </w:rPr>
              <w:fldChar w:fldCharType="separate"/>
            </w:r>
            <w:r w:rsidR="00011CED">
              <w:rPr>
                <w:noProof/>
                <w:webHidden/>
              </w:rPr>
              <w:t>4</w:t>
            </w:r>
            <w:r w:rsidR="00011CED">
              <w:rPr>
                <w:noProof/>
                <w:webHidden/>
              </w:rPr>
              <w:fldChar w:fldCharType="end"/>
            </w:r>
          </w:hyperlink>
        </w:p>
        <w:p w14:paraId="25B67921" w14:textId="47712D60" w:rsidR="00011CED" w:rsidRDefault="00436F0B">
          <w:pPr>
            <w:pStyle w:val="TM2"/>
            <w:tabs>
              <w:tab w:val="left" w:pos="880"/>
              <w:tab w:val="right" w:leader="dot" w:pos="9062"/>
            </w:tabs>
            <w:rPr>
              <w:rFonts w:asciiTheme="minorHAnsi" w:eastAsiaTheme="minorEastAsia" w:hAnsiTheme="minorHAnsi"/>
              <w:noProof/>
              <w:sz w:val="22"/>
              <w:lang w:eastAsia="fr-FR"/>
            </w:rPr>
          </w:pPr>
          <w:hyperlink w:anchor="_Toc201856015" w:history="1">
            <w:r w:rsidR="00011CED" w:rsidRPr="009824D5">
              <w:rPr>
                <w:rStyle w:val="Lienhypertexte"/>
                <w:noProof/>
                <w14:scene3d>
                  <w14:camera w14:prst="orthographicFront"/>
                  <w14:lightRig w14:rig="threePt" w14:dir="t">
                    <w14:rot w14:lat="0" w14:lon="0" w14:rev="0"/>
                  </w14:lightRig>
                </w14:scene3d>
              </w:rPr>
              <w:t>2.1</w:t>
            </w:r>
            <w:r w:rsidR="00011CED">
              <w:rPr>
                <w:rStyle w:val="Lienhypertexte"/>
                <w:noProof/>
                <w14:scene3d>
                  <w14:camera w14:prst="orthographicFront"/>
                  <w14:lightRig w14:rig="threePt" w14:dir="t">
                    <w14:rot w14:lat="0" w14:lon="0" w14:rev="0"/>
                  </w14:lightRig>
                </w14:scene3d>
              </w:rPr>
              <w:t xml:space="preserve"> </w:t>
            </w:r>
            <w:r w:rsidR="00011CED" w:rsidRPr="009824D5">
              <w:rPr>
                <w:rStyle w:val="Lienhypertexte"/>
                <w:noProof/>
              </w:rPr>
              <w:t>Etablissement déconcentré</w:t>
            </w:r>
            <w:r w:rsidR="00011CED">
              <w:rPr>
                <w:noProof/>
                <w:webHidden/>
              </w:rPr>
              <w:tab/>
            </w:r>
            <w:r w:rsidR="00011CED">
              <w:rPr>
                <w:noProof/>
                <w:webHidden/>
              </w:rPr>
              <w:fldChar w:fldCharType="begin"/>
            </w:r>
            <w:r w:rsidR="00011CED">
              <w:rPr>
                <w:noProof/>
                <w:webHidden/>
              </w:rPr>
              <w:instrText xml:space="preserve"> PAGEREF _Toc201856015 \h </w:instrText>
            </w:r>
            <w:r w:rsidR="00011CED">
              <w:rPr>
                <w:noProof/>
                <w:webHidden/>
              </w:rPr>
            </w:r>
            <w:r w:rsidR="00011CED">
              <w:rPr>
                <w:noProof/>
                <w:webHidden/>
              </w:rPr>
              <w:fldChar w:fldCharType="separate"/>
            </w:r>
            <w:r w:rsidR="00011CED">
              <w:rPr>
                <w:noProof/>
                <w:webHidden/>
              </w:rPr>
              <w:t>5</w:t>
            </w:r>
            <w:r w:rsidR="00011CED">
              <w:rPr>
                <w:noProof/>
                <w:webHidden/>
              </w:rPr>
              <w:fldChar w:fldCharType="end"/>
            </w:r>
          </w:hyperlink>
        </w:p>
        <w:p w14:paraId="6451B4D6" w14:textId="6ED6844D" w:rsidR="00011CED" w:rsidRDefault="00436F0B">
          <w:pPr>
            <w:pStyle w:val="TM3"/>
            <w:rPr>
              <w:rFonts w:asciiTheme="minorHAnsi" w:eastAsiaTheme="minorEastAsia" w:hAnsiTheme="minorHAnsi"/>
              <w:noProof/>
              <w:sz w:val="22"/>
              <w:lang w:eastAsia="fr-FR"/>
            </w:rPr>
          </w:pPr>
          <w:hyperlink w:anchor="_Toc201856016" w:history="1">
            <w:r w:rsidR="00011CED" w:rsidRPr="009824D5">
              <w:rPr>
                <w:rStyle w:val="Lienhypertexte"/>
                <w:noProof/>
              </w:rPr>
              <w:t>2.1.1 Le siège</w:t>
            </w:r>
            <w:r w:rsidR="00011CED">
              <w:rPr>
                <w:noProof/>
                <w:webHidden/>
              </w:rPr>
              <w:tab/>
            </w:r>
            <w:r w:rsidR="00011CED">
              <w:rPr>
                <w:noProof/>
                <w:webHidden/>
              </w:rPr>
              <w:fldChar w:fldCharType="begin"/>
            </w:r>
            <w:r w:rsidR="00011CED">
              <w:rPr>
                <w:noProof/>
                <w:webHidden/>
              </w:rPr>
              <w:instrText xml:space="preserve"> PAGEREF _Toc201856016 \h </w:instrText>
            </w:r>
            <w:r w:rsidR="00011CED">
              <w:rPr>
                <w:noProof/>
                <w:webHidden/>
              </w:rPr>
            </w:r>
            <w:r w:rsidR="00011CED">
              <w:rPr>
                <w:noProof/>
                <w:webHidden/>
              </w:rPr>
              <w:fldChar w:fldCharType="separate"/>
            </w:r>
            <w:r w:rsidR="00011CED">
              <w:rPr>
                <w:noProof/>
                <w:webHidden/>
              </w:rPr>
              <w:t>5</w:t>
            </w:r>
            <w:r w:rsidR="00011CED">
              <w:rPr>
                <w:noProof/>
                <w:webHidden/>
              </w:rPr>
              <w:fldChar w:fldCharType="end"/>
            </w:r>
          </w:hyperlink>
        </w:p>
        <w:p w14:paraId="2D936B62" w14:textId="6A7D58A0" w:rsidR="00011CED" w:rsidRDefault="00436F0B">
          <w:pPr>
            <w:pStyle w:val="TM3"/>
            <w:rPr>
              <w:rFonts w:asciiTheme="minorHAnsi" w:eastAsiaTheme="minorEastAsia" w:hAnsiTheme="minorHAnsi"/>
              <w:noProof/>
              <w:sz w:val="22"/>
              <w:lang w:eastAsia="fr-FR"/>
            </w:rPr>
          </w:pPr>
          <w:hyperlink w:anchor="_Toc201856017" w:history="1">
            <w:r w:rsidR="00011CED" w:rsidRPr="009824D5">
              <w:rPr>
                <w:rStyle w:val="Lienhypertexte"/>
                <w:noProof/>
              </w:rPr>
              <w:t>2.1.2 Les centres</w:t>
            </w:r>
            <w:r w:rsidR="00011CED">
              <w:rPr>
                <w:noProof/>
                <w:webHidden/>
              </w:rPr>
              <w:tab/>
            </w:r>
            <w:r w:rsidR="00011CED">
              <w:rPr>
                <w:noProof/>
                <w:webHidden/>
              </w:rPr>
              <w:fldChar w:fldCharType="begin"/>
            </w:r>
            <w:r w:rsidR="00011CED">
              <w:rPr>
                <w:noProof/>
                <w:webHidden/>
              </w:rPr>
              <w:instrText xml:space="preserve"> PAGEREF _Toc201856017 \h </w:instrText>
            </w:r>
            <w:r w:rsidR="00011CED">
              <w:rPr>
                <w:noProof/>
                <w:webHidden/>
              </w:rPr>
            </w:r>
            <w:r w:rsidR="00011CED">
              <w:rPr>
                <w:noProof/>
                <w:webHidden/>
              </w:rPr>
              <w:fldChar w:fldCharType="separate"/>
            </w:r>
            <w:r w:rsidR="00011CED">
              <w:rPr>
                <w:noProof/>
                <w:webHidden/>
              </w:rPr>
              <w:t>5</w:t>
            </w:r>
            <w:r w:rsidR="00011CED">
              <w:rPr>
                <w:noProof/>
                <w:webHidden/>
              </w:rPr>
              <w:fldChar w:fldCharType="end"/>
            </w:r>
          </w:hyperlink>
        </w:p>
        <w:p w14:paraId="0B8B48D3" w14:textId="25682068" w:rsidR="00011CED" w:rsidRDefault="00436F0B">
          <w:pPr>
            <w:pStyle w:val="TM3"/>
            <w:rPr>
              <w:rFonts w:asciiTheme="minorHAnsi" w:eastAsiaTheme="minorEastAsia" w:hAnsiTheme="minorHAnsi"/>
              <w:noProof/>
              <w:sz w:val="22"/>
              <w:lang w:eastAsia="fr-FR"/>
            </w:rPr>
          </w:pPr>
          <w:hyperlink w:anchor="_Toc201856018" w:history="1">
            <w:r w:rsidR="00011CED" w:rsidRPr="009824D5">
              <w:rPr>
                <w:rStyle w:val="Lienhypertexte"/>
                <w:noProof/>
              </w:rPr>
              <w:t>2.1.3 Les unités</w:t>
            </w:r>
            <w:r w:rsidR="00011CED">
              <w:rPr>
                <w:noProof/>
                <w:webHidden/>
              </w:rPr>
              <w:tab/>
            </w:r>
            <w:r w:rsidR="00011CED">
              <w:rPr>
                <w:noProof/>
                <w:webHidden/>
              </w:rPr>
              <w:fldChar w:fldCharType="begin"/>
            </w:r>
            <w:r w:rsidR="00011CED">
              <w:rPr>
                <w:noProof/>
                <w:webHidden/>
              </w:rPr>
              <w:instrText xml:space="preserve"> PAGEREF _Toc201856018 \h </w:instrText>
            </w:r>
            <w:r w:rsidR="00011CED">
              <w:rPr>
                <w:noProof/>
                <w:webHidden/>
              </w:rPr>
            </w:r>
            <w:r w:rsidR="00011CED">
              <w:rPr>
                <w:noProof/>
                <w:webHidden/>
              </w:rPr>
              <w:fldChar w:fldCharType="separate"/>
            </w:r>
            <w:r w:rsidR="00011CED">
              <w:rPr>
                <w:noProof/>
                <w:webHidden/>
              </w:rPr>
              <w:t>6</w:t>
            </w:r>
            <w:r w:rsidR="00011CED">
              <w:rPr>
                <w:noProof/>
                <w:webHidden/>
              </w:rPr>
              <w:fldChar w:fldCharType="end"/>
            </w:r>
          </w:hyperlink>
        </w:p>
        <w:p w14:paraId="79757F4C" w14:textId="17537573" w:rsidR="00011CED" w:rsidRDefault="00436F0B">
          <w:pPr>
            <w:pStyle w:val="TM3"/>
            <w:rPr>
              <w:rFonts w:asciiTheme="minorHAnsi" w:eastAsiaTheme="minorEastAsia" w:hAnsiTheme="minorHAnsi"/>
              <w:noProof/>
              <w:sz w:val="22"/>
              <w:lang w:eastAsia="fr-FR"/>
            </w:rPr>
          </w:pPr>
          <w:hyperlink w:anchor="_Toc201856019" w:history="1">
            <w:r w:rsidR="00011CED" w:rsidRPr="009824D5">
              <w:rPr>
                <w:rStyle w:val="Lienhypertexte"/>
                <w:noProof/>
              </w:rPr>
              <w:t>2.1.4 Agences comptables secondaires</w:t>
            </w:r>
            <w:r w:rsidR="00011CED">
              <w:rPr>
                <w:noProof/>
                <w:webHidden/>
              </w:rPr>
              <w:tab/>
            </w:r>
            <w:r w:rsidR="00011CED">
              <w:rPr>
                <w:noProof/>
                <w:webHidden/>
              </w:rPr>
              <w:fldChar w:fldCharType="begin"/>
            </w:r>
            <w:r w:rsidR="00011CED">
              <w:rPr>
                <w:noProof/>
                <w:webHidden/>
              </w:rPr>
              <w:instrText xml:space="preserve"> PAGEREF _Toc201856019 \h </w:instrText>
            </w:r>
            <w:r w:rsidR="00011CED">
              <w:rPr>
                <w:noProof/>
                <w:webHidden/>
              </w:rPr>
            </w:r>
            <w:r w:rsidR="00011CED">
              <w:rPr>
                <w:noProof/>
                <w:webHidden/>
              </w:rPr>
              <w:fldChar w:fldCharType="separate"/>
            </w:r>
            <w:r w:rsidR="00011CED">
              <w:rPr>
                <w:noProof/>
                <w:webHidden/>
              </w:rPr>
              <w:t>6</w:t>
            </w:r>
            <w:r w:rsidR="00011CED">
              <w:rPr>
                <w:noProof/>
                <w:webHidden/>
              </w:rPr>
              <w:fldChar w:fldCharType="end"/>
            </w:r>
          </w:hyperlink>
        </w:p>
        <w:p w14:paraId="2BA16CBD" w14:textId="17EE72B5" w:rsidR="00011CED" w:rsidRDefault="00436F0B">
          <w:pPr>
            <w:pStyle w:val="TM2"/>
            <w:tabs>
              <w:tab w:val="left" w:pos="880"/>
              <w:tab w:val="right" w:leader="dot" w:pos="9062"/>
            </w:tabs>
            <w:rPr>
              <w:rFonts w:asciiTheme="minorHAnsi" w:eastAsiaTheme="minorEastAsia" w:hAnsiTheme="minorHAnsi"/>
              <w:noProof/>
              <w:sz w:val="22"/>
              <w:lang w:eastAsia="fr-FR"/>
            </w:rPr>
          </w:pPr>
          <w:hyperlink w:anchor="_Toc201856020" w:history="1">
            <w:r w:rsidR="00011CED" w:rsidRPr="009824D5">
              <w:rPr>
                <w:rStyle w:val="Lienhypertexte"/>
                <w:noProof/>
                <w14:scene3d>
                  <w14:camera w14:prst="orthographicFront"/>
                  <w14:lightRig w14:rig="threePt" w14:dir="t">
                    <w14:rot w14:lat="0" w14:lon="0" w14:rev="0"/>
                  </w14:lightRig>
                </w14:scene3d>
              </w:rPr>
              <w:t>2.2</w:t>
            </w:r>
            <w:r w:rsidR="00011CED">
              <w:rPr>
                <w:rStyle w:val="Lienhypertexte"/>
                <w:noProof/>
                <w14:scene3d>
                  <w14:camera w14:prst="orthographicFront"/>
                  <w14:lightRig w14:rig="threePt" w14:dir="t">
                    <w14:rot w14:lat="0" w14:lon="0" w14:rev="0"/>
                  </w14:lightRig>
                </w14:scene3d>
              </w:rPr>
              <w:t xml:space="preserve"> </w:t>
            </w:r>
            <w:r w:rsidR="00011CED" w:rsidRPr="009824D5">
              <w:rPr>
                <w:rStyle w:val="Lienhypertexte"/>
                <w:noProof/>
              </w:rPr>
              <w:t>Volumétrie</w:t>
            </w:r>
            <w:r w:rsidR="00011CED">
              <w:rPr>
                <w:noProof/>
                <w:webHidden/>
              </w:rPr>
              <w:tab/>
            </w:r>
            <w:r w:rsidR="00011CED">
              <w:rPr>
                <w:noProof/>
                <w:webHidden/>
              </w:rPr>
              <w:fldChar w:fldCharType="begin"/>
            </w:r>
            <w:r w:rsidR="00011CED">
              <w:rPr>
                <w:noProof/>
                <w:webHidden/>
              </w:rPr>
              <w:instrText xml:space="preserve"> PAGEREF _Toc201856020 \h </w:instrText>
            </w:r>
            <w:r w:rsidR="00011CED">
              <w:rPr>
                <w:noProof/>
                <w:webHidden/>
              </w:rPr>
            </w:r>
            <w:r w:rsidR="00011CED">
              <w:rPr>
                <w:noProof/>
                <w:webHidden/>
              </w:rPr>
              <w:fldChar w:fldCharType="separate"/>
            </w:r>
            <w:r w:rsidR="00011CED">
              <w:rPr>
                <w:noProof/>
                <w:webHidden/>
              </w:rPr>
              <w:t>6</w:t>
            </w:r>
            <w:r w:rsidR="00011CED">
              <w:rPr>
                <w:noProof/>
                <w:webHidden/>
              </w:rPr>
              <w:fldChar w:fldCharType="end"/>
            </w:r>
          </w:hyperlink>
        </w:p>
        <w:p w14:paraId="6AD55850" w14:textId="63958C09" w:rsidR="00011CED" w:rsidRDefault="00436F0B">
          <w:pPr>
            <w:pStyle w:val="TM1"/>
            <w:tabs>
              <w:tab w:val="left" w:pos="708"/>
              <w:tab w:val="right" w:leader="dot" w:pos="9062"/>
            </w:tabs>
            <w:rPr>
              <w:rFonts w:asciiTheme="minorHAnsi" w:eastAsiaTheme="minorEastAsia" w:hAnsiTheme="minorHAnsi"/>
              <w:noProof/>
              <w:sz w:val="22"/>
              <w:lang w:eastAsia="fr-FR"/>
            </w:rPr>
          </w:pPr>
          <w:hyperlink w:anchor="_Toc201856021" w:history="1">
            <w:r w:rsidR="00011CED" w:rsidRPr="009824D5">
              <w:rPr>
                <w:rStyle w:val="Lienhypertexte"/>
                <w:noProof/>
                <w14:scene3d>
                  <w14:camera w14:prst="orthographicFront"/>
                  <w14:lightRig w14:rig="threePt" w14:dir="t">
                    <w14:rot w14:lat="0" w14:lon="0" w14:rev="0"/>
                  </w14:lightRig>
                </w14:scene3d>
              </w:rPr>
              <w:t>3</w:t>
            </w:r>
            <w:r w:rsidR="00011CED">
              <w:rPr>
                <w:rStyle w:val="Lienhypertexte"/>
                <w:noProof/>
                <w14:scene3d>
                  <w14:camera w14:prst="orthographicFront"/>
                  <w14:lightRig w14:rig="threePt" w14:dir="t">
                    <w14:rot w14:lat="0" w14:lon="0" w14:rev="0"/>
                  </w14:lightRig>
                </w14:scene3d>
              </w:rPr>
              <w:t xml:space="preserve"> </w:t>
            </w:r>
            <w:r w:rsidR="00011CED" w:rsidRPr="009824D5">
              <w:rPr>
                <w:rStyle w:val="Lienhypertexte"/>
                <w:noProof/>
              </w:rPr>
              <w:t>Cadre réglementaire</w:t>
            </w:r>
            <w:r w:rsidR="00011CED">
              <w:rPr>
                <w:noProof/>
                <w:webHidden/>
              </w:rPr>
              <w:tab/>
            </w:r>
            <w:r w:rsidR="00011CED">
              <w:rPr>
                <w:noProof/>
                <w:webHidden/>
              </w:rPr>
              <w:fldChar w:fldCharType="begin"/>
            </w:r>
            <w:r w:rsidR="00011CED">
              <w:rPr>
                <w:noProof/>
                <w:webHidden/>
              </w:rPr>
              <w:instrText xml:space="preserve"> PAGEREF _Toc201856021 \h </w:instrText>
            </w:r>
            <w:r w:rsidR="00011CED">
              <w:rPr>
                <w:noProof/>
                <w:webHidden/>
              </w:rPr>
            </w:r>
            <w:r w:rsidR="00011CED">
              <w:rPr>
                <w:noProof/>
                <w:webHidden/>
              </w:rPr>
              <w:fldChar w:fldCharType="separate"/>
            </w:r>
            <w:r w:rsidR="00011CED">
              <w:rPr>
                <w:noProof/>
                <w:webHidden/>
              </w:rPr>
              <w:t>7</w:t>
            </w:r>
            <w:r w:rsidR="00011CED">
              <w:rPr>
                <w:noProof/>
                <w:webHidden/>
              </w:rPr>
              <w:fldChar w:fldCharType="end"/>
            </w:r>
          </w:hyperlink>
        </w:p>
        <w:p w14:paraId="15A9E41C" w14:textId="6CF12E48" w:rsidR="00011CED" w:rsidRDefault="00436F0B">
          <w:pPr>
            <w:pStyle w:val="TM1"/>
            <w:tabs>
              <w:tab w:val="left" w:pos="708"/>
              <w:tab w:val="right" w:leader="dot" w:pos="9062"/>
            </w:tabs>
            <w:rPr>
              <w:rFonts w:asciiTheme="minorHAnsi" w:eastAsiaTheme="minorEastAsia" w:hAnsiTheme="minorHAnsi"/>
              <w:noProof/>
              <w:sz w:val="22"/>
              <w:lang w:eastAsia="fr-FR"/>
            </w:rPr>
          </w:pPr>
          <w:hyperlink w:anchor="_Toc201856022" w:history="1">
            <w:r w:rsidR="00011CED" w:rsidRPr="009824D5">
              <w:rPr>
                <w:rStyle w:val="Lienhypertexte"/>
                <w:noProof/>
                <w14:scene3d>
                  <w14:camera w14:prst="orthographicFront"/>
                  <w14:lightRig w14:rig="threePt" w14:dir="t">
                    <w14:rot w14:lat="0" w14:lon="0" w14:rev="0"/>
                  </w14:lightRig>
                </w14:scene3d>
              </w:rPr>
              <w:t>4</w:t>
            </w:r>
            <w:r w:rsidR="00011CED">
              <w:rPr>
                <w:rStyle w:val="Lienhypertexte"/>
                <w:noProof/>
                <w14:scene3d>
                  <w14:camera w14:prst="orthographicFront"/>
                  <w14:lightRig w14:rig="threePt" w14:dir="t">
                    <w14:rot w14:lat="0" w14:lon="0" w14:rev="0"/>
                  </w14:lightRig>
                </w14:scene3d>
              </w:rPr>
              <w:t xml:space="preserve"> </w:t>
            </w:r>
            <w:r w:rsidR="00011CED" w:rsidRPr="009824D5">
              <w:rPr>
                <w:rStyle w:val="Lienhypertexte"/>
                <w:noProof/>
              </w:rPr>
              <w:t>Dispositions spécifiques à la carte achat</w:t>
            </w:r>
            <w:r w:rsidR="00011CED">
              <w:rPr>
                <w:noProof/>
                <w:webHidden/>
              </w:rPr>
              <w:tab/>
            </w:r>
            <w:r w:rsidR="00011CED">
              <w:rPr>
                <w:noProof/>
                <w:webHidden/>
              </w:rPr>
              <w:fldChar w:fldCharType="begin"/>
            </w:r>
            <w:r w:rsidR="00011CED">
              <w:rPr>
                <w:noProof/>
                <w:webHidden/>
              </w:rPr>
              <w:instrText xml:space="preserve"> PAGEREF _Toc201856022 \h </w:instrText>
            </w:r>
            <w:r w:rsidR="00011CED">
              <w:rPr>
                <w:noProof/>
                <w:webHidden/>
              </w:rPr>
            </w:r>
            <w:r w:rsidR="00011CED">
              <w:rPr>
                <w:noProof/>
                <w:webHidden/>
              </w:rPr>
              <w:fldChar w:fldCharType="separate"/>
            </w:r>
            <w:r w:rsidR="00011CED">
              <w:rPr>
                <w:noProof/>
                <w:webHidden/>
              </w:rPr>
              <w:t>7</w:t>
            </w:r>
            <w:r w:rsidR="00011CED">
              <w:rPr>
                <w:noProof/>
                <w:webHidden/>
              </w:rPr>
              <w:fldChar w:fldCharType="end"/>
            </w:r>
          </w:hyperlink>
        </w:p>
        <w:p w14:paraId="31A0C124" w14:textId="7B2A68C7" w:rsidR="00011CED" w:rsidRDefault="00436F0B">
          <w:pPr>
            <w:pStyle w:val="TM2"/>
            <w:tabs>
              <w:tab w:val="left" w:pos="880"/>
              <w:tab w:val="right" w:leader="dot" w:pos="9062"/>
            </w:tabs>
            <w:rPr>
              <w:rFonts w:asciiTheme="minorHAnsi" w:eastAsiaTheme="minorEastAsia" w:hAnsiTheme="minorHAnsi"/>
              <w:noProof/>
              <w:sz w:val="22"/>
              <w:lang w:eastAsia="fr-FR"/>
            </w:rPr>
          </w:pPr>
          <w:hyperlink w:anchor="_Toc201856023" w:history="1">
            <w:r w:rsidR="00011CED" w:rsidRPr="009824D5">
              <w:rPr>
                <w:rStyle w:val="Lienhypertexte"/>
                <w:noProof/>
                <w14:scene3d>
                  <w14:camera w14:prst="orthographicFront"/>
                  <w14:lightRig w14:rig="threePt" w14:dir="t">
                    <w14:rot w14:lat="0" w14:lon="0" w14:rev="0"/>
                  </w14:lightRig>
                </w14:scene3d>
              </w:rPr>
              <w:t>4.1</w:t>
            </w:r>
            <w:r w:rsidR="00011CED">
              <w:rPr>
                <w:rStyle w:val="Lienhypertexte"/>
                <w:noProof/>
                <w14:scene3d>
                  <w14:camera w14:prst="orthographicFront"/>
                  <w14:lightRig w14:rig="threePt" w14:dir="t">
                    <w14:rot w14:lat="0" w14:lon="0" w14:rev="0"/>
                  </w14:lightRig>
                </w14:scene3d>
              </w:rPr>
              <w:t xml:space="preserve"> </w:t>
            </w:r>
            <w:r w:rsidR="00011CED" w:rsidRPr="009824D5">
              <w:rPr>
                <w:rStyle w:val="Lienhypertexte"/>
                <w:noProof/>
              </w:rPr>
              <w:t>Utilisation des cartes achat à INRAE</w:t>
            </w:r>
            <w:r w:rsidR="00011CED">
              <w:rPr>
                <w:noProof/>
                <w:webHidden/>
              </w:rPr>
              <w:tab/>
            </w:r>
            <w:r w:rsidR="00011CED">
              <w:rPr>
                <w:noProof/>
                <w:webHidden/>
              </w:rPr>
              <w:fldChar w:fldCharType="begin"/>
            </w:r>
            <w:r w:rsidR="00011CED">
              <w:rPr>
                <w:noProof/>
                <w:webHidden/>
              </w:rPr>
              <w:instrText xml:space="preserve"> PAGEREF _Toc201856023 \h </w:instrText>
            </w:r>
            <w:r w:rsidR="00011CED">
              <w:rPr>
                <w:noProof/>
                <w:webHidden/>
              </w:rPr>
            </w:r>
            <w:r w:rsidR="00011CED">
              <w:rPr>
                <w:noProof/>
                <w:webHidden/>
              </w:rPr>
              <w:fldChar w:fldCharType="separate"/>
            </w:r>
            <w:r w:rsidR="00011CED">
              <w:rPr>
                <w:noProof/>
                <w:webHidden/>
              </w:rPr>
              <w:t>7</w:t>
            </w:r>
            <w:r w:rsidR="00011CED">
              <w:rPr>
                <w:noProof/>
                <w:webHidden/>
              </w:rPr>
              <w:fldChar w:fldCharType="end"/>
            </w:r>
          </w:hyperlink>
        </w:p>
        <w:p w14:paraId="7F1E5A0A" w14:textId="4D24802A" w:rsidR="00011CED" w:rsidRDefault="00436F0B">
          <w:pPr>
            <w:pStyle w:val="TM3"/>
            <w:rPr>
              <w:rFonts w:asciiTheme="minorHAnsi" w:eastAsiaTheme="minorEastAsia" w:hAnsiTheme="minorHAnsi"/>
              <w:noProof/>
              <w:sz w:val="22"/>
              <w:lang w:eastAsia="fr-FR"/>
            </w:rPr>
          </w:pPr>
          <w:hyperlink w:anchor="_Toc201856024" w:history="1">
            <w:r w:rsidR="00011CED" w:rsidRPr="009824D5">
              <w:rPr>
                <w:rStyle w:val="Lienhypertexte"/>
                <w:noProof/>
              </w:rPr>
              <w:t>4.1.1 Types de cartes</w:t>
            </w:r>
            <w:r w:rsidR="00011CED">
              <w:rPr>
                <w:noProof/>
                <w:webHidden/>
              </w:rPr>
              <w:tab/>
            </w:r>
            <w:r w:rsidR="00011CED">
              <w:rPr>
                <w:noProof/>
                <w:webHidden/>
              </w:rPr>
              <w:fldChar w:fldCharType="begin"/>
            </w:r>
            <w:r w:rsidR="00011CED">
              <w:rPr>
                <w:noProof/>
                <w:webHidden/>
              </w:rPr>
              <w:instrText xml:space="preserve"> PAGEREF _Toc201856024 \h </w:instrText>
            </w:r>
            <w:r w:rsidR="00011CED">
              <w:rPr>
                <w:noProof/>
                <w:webHidden/>
              </w:rPr>
            </w:r>
            <w:r w:rsidR="00011CED">
              <w:rPr>
                <w:noProof/>
                <w:webHidden/>
              </w:rPr>
              <w:fldChar w:fldCharType="separate"/>
            </w:r>
            <w:r w:rsidR="00011CED">
              <w:rPr>
                <w:noProof/>
                <w:webHidden/>
              </w:rPr>
              <w:t>7</w:t>
            </w:r>
            <w:r w:rsidR="00011CED">
              <w:rPr>
                <w:noProof/>
                <w:webHidden/>
              </w:rPr>
              <w:fldChar w:fldCharType="end"/>
            </w:r>
          </w:hyperlink>
        </w:p>
        <w:p w14:paraId="4A713B47" w14:textId="3C41FF77" w:rsidR="00011CED" w:rsidRDefault="00436F0B">
          <w:pPr>
            <w:pStyle w:val="TM3"/>
            <w:rPr>
              <w:rFonts w:asciiTheme="minorHAnsi" w:eastAsiaTheme="minorEastAsia" w:hAnsiTheme="minorHAnsi"/>
              <w:noProof/>
              <w:sz w:val="22"/>
              <w:lang w:eastAsia="fr-FR"/>
            </w:rPr>
          </w:pPr>
          <w:hyperlink w:anchor="_Toc201856025" w:history="1">
            <w:r w:rsidR="00011CED" w:rsidRPr="009824D5">
              <w:rPr>
                <w:rStyle w:val="Lienhypertexte"/>
                <w:noProof/>
              </w:rPr>
              <w:t>4.1.2 Règles d’utilisation</w:t>
            </w:r>
            <w:r w:rsidR="00011CED">
              <w:rPr>
                <w:noProof/>
                <w:webHidden/>
              </w:rPr>
              <w:tab/>
            </w:r>
            <w:r w:rsidR="00011CED">
              <w:rPr>
                <w:noProof/>
                <w:webHidden/>
              </w:rPr>
              <w:fldChar w:fldCharType="begin"/>
            </w:r>
            <w:r w:rsidR="00011CED">
              <w:rPr>
                <w:noProof/>
                <w:webHidden/>
              </w:rPr>
              <w:instrText xml:space="preserve"> PAGEREF _Toc201856025 \h </w:instrText>
            </w:r>
            <w:r w:rsidR="00011CED">
              <w:rPr>
                <w:noProof/>
                <w:webHidden/>
              </w:rPr>
            </w:r>
            <w:r w:rsidR="00011CED">
              <w:rPr>
                <w:noProof/>
                <w:webHidden/>
              </w:rPr>
              <w:fldChar w:fldCharType="separate"/>
            </w:r>
            <w:r w:rsidR="00011CED">
              <w:rPr>
                <w:noProof/>
                <w:webHidden/>
              </w:rPr>
              <w:t>8</w:t>
            </w:r>
            <w:r w:rsidR="00011CED">
              <w:rPr>
                <w:noProof/>
                <w:webHidden/>
              </w:rPr>
              <w:fldChar w:fldCharType="end"/>
            </w:r>
          </w:hyperlink>
        </w:p>
        <w:p w14:paraId="74FBE031" w14:textId="66B47A63" w:rsidR="00011CED" w:rsidRDefault="00436F0B">
          <w:pPr>
            <w:pStyle w:val="TM2"/>
            <w:tabs>
              <w:tab w:val="left" w:pos="880"/>
              <w:tab w:val="right" w:leader="dot" w:pos="9062"/>
            </w:tabs>
            <w:rPr>
              <w:rFonts w:asciiTheme="minorHAnsi" w:eastAsiaTheme="minorEastAsia" w:hAnsiTheme="minorHAnsi"/>
              <w:noProof/>
              <w:sz w:val="22"/>
              <w:lang w:eastAsia="fr-FR"/>
            </w:rPr>
          </w:pPr>
          <w:hyperlink w:anchor="_Toc201856026" w:history="1">
            <w:r w:rsidR="00011CED" w:rsidRPr="009824D5">
              <w:rPr>
                <w:rStyle w:val="Lienhypertexte"/>
                <w:noProof/>
                <w14:scene3d>
                  <w14:camera w14:prst="orthographicFront"/>
                  <w14:lightRig w14:rig="threePt" w14:dir="t">
                    <w14:rot w14:lat="0" w14:lon="0" w14:rev="0"/>
                  </w14:lightRig>
                </w14:scene3d>
              </w:rPr>
              <w:t>4.2</w:t>
            </w:r>
            <w:r w:rsidR="00011CED">
              <w:rPr>
                <w:rStyle w:val="Lienhypertexte"/>
                <w:noProof/>
                <w14:scene3d>
                  <w14:camera w14:prst="orthographicFront"/>
                  <w14:lightRig w14:rig="threePt" w14:dir="t">
                    <w14:rot w14:lat="0" w14:lon="0" w14:rev="0"/>
                  </w14:lightRig>
                </w14:scene3d>
              </w:rPr>
              <w:t xml:space="preserve"> </w:t>
            </w:r>
            <w:r w:rsidR="00011CED" w:rsidRPr="009824D5">
              <w:rPr>
                <w:rStyle w:val="Lienhypertexte"/>
                <w:noProof/>
              </w:rPr>
              <w:t>Demande de cartes</w:t>
            </w:r>
            <w:r w:rsidR="00011CED">
              <w:rPr>
                <w:noProof/>
                <w:webHidden/>
              </w:rPr>
              <w:tab/>
            </w:r>
            <w:r w:rsidR="00011CED">
              <w:rPr>
                <w:noProof/>
                <w:webHidden/>
              </w:rPr>
              <w:fldChar w:fldCharType="begin"/>
            </w:r>
            <w:r w:rsidR="00011CED">
              <w:rPr>
                <w:noProof/>
                <w:webHidden/>
              </w:rPr>
              <w:instrText xml:space="preserve"> PAGEREF _Toc201856026 \h </w:instrText>
            </w:r>
            <w:r w:rsidR="00011CED">
              <w:rPr>
                <w:noProof/>
                <w:webHidden/>
              </w:rPr>
            </w:r>
            <w:r w:rsidR="00011CED">
              <w:rPr>
                <w:noProof/>
                <w:webHidden/>
              </w:rPr>
              <w:fldChar w:fldCharType="separate"/>
            </w:r>
            <w:r w:rsidR="00011CED">
              <w:rPr>
                <w:noProof/>
                <w:webHidden/>
              </w:rPr>
              <w:t>9</w:t>
            </w:r>
            <w:r w:rsidR="00011CED">
              <w:rPr>
                <w:noProof/>
                <w:webHidden/>
              </w:rPr>
              <w:fldChar w:fldCharType="end"/>
            </w:r>
          </w:hyperlink>
        </w:p>
        <w:p w14:paraId="7DD4A9FD" w14:textId="5978022F" w:rsidR="00011CED" w:rsidRDefault="00436F0B">
          <w:pPr>
            <w:pStyle w:val="TM3"/>
            <w:rPr>
              <w:rFonts w:asciiTheme="minorHAnsi" w:eastAsiaTheme="minorEastAsia" w:hAnsiTheme="minorHAnsi"/>
              <w:noProof/>
              <w:sz w:val="22"/>
              <w:lang w:eastAsia="fr-FR"/>
            </w:rPr>
          </w:pPr>
          <w:hyperlink w:anchor="_Toc201856027" w:history="1">
            <w:r w:rsidR="00011CED" w:rsidRPr="009824D5">
              <w:rPr>
                <w:rStyle w:val="Lienhypertexte"/>
                <w:noProof/>
              </w:rPr>
              <w:t>4.2.1 Saisie d’une demande</w:t>
            </w:r>
            <w:r w:rsidR="00011CED">
              <w:rPr>
                <w:noProof/>
                <w:webHidden/>
              </w:rPr>
              <w:tab/>
            </w:r>
            <w:r w:rsidR="00011CED">
              <w:rPr>
                <w:noProof/>
                <w:webHidden/>
              </w:rPr>
              <w:fldChar w:fldCharType="begin"/>
            </w:r>
            <w:r w:rsidR="00011CED">
              <w:rPr>
                <w:noProof/>
                <w:webHidden/>
              </w:rPr>
              <w:instrText xml:space="preserve"> PAGEREF _Toc201856027 \h </w:instrText>
            </w:r>
            <w:r w:rsidR="00011CED">
              <w:rPr>
                <w:noProof/>
                <w:webHidden/>
              </w:rPr>
            </w:r>
            <w:r w:rsidR="00011CED">
              <w:rPr>
                <w:noProof/>
                <w:webHidden/>
              </w:rPr>
              <w:fldChar w:fldCharType="separate"/>
            </w:r>
            <w:r w:rsidR="00011CED">
              <w:rPr>
                <w:noProof/>
                <w:webHidden/>
              </w:rPr>
              <w:t>9</w:t>
            </w:r>
            <w:r w:rsidR="00011CED">
              <w:rPr>
                <w:noProof/>
                <w:webHidden/>
              </w:rPr>
              <w:fldChar w:fldCharType="end"/>
            </w:r>
          </w:hyperlink>
        </w:p>
        <w:p w14:paraId="628A4838" w14:textId="1540DD23" w:rsidR="00011CED" w:rsidRDefault="00436F0B">
          <w:pPr>
            <w:pStyle w:val="TM3"/>
            <w:rPr>
              <w:rFonts w:asciiTheme="minorHAnsi" w:eastAsiaTheme="minorEastAsia" w:hAnsiTheme="minorHAnsi"/>
              <w:noProof/>
              <w:sz w:val="22"/>
              <w:lang w:eastAsia="fr-FR"/>
            </w:rPr>
          </w:pPr>
          <w:hyperlink w:anchor="_Toc201856028" w:history="1">
            <w:r w:rsidR="00011CED" w:rsidRPr="009824D5">
              <w:rPr>
                <w:rStyle w:val="Lienhypertexte"/>
                <w:noProof/>
              </w:rPr>
              <w:t>4.2.2 Transfert des demandes de cartes au titulaire</w:t>
            </w:r>
            <w:r w:rsidR="00011CED">
              <w:rPr>
                <w:noProof/>
                <w:webHidden/>
              </w:rPr>
              <w:tab/>
            </w:r>
            <w:r w:rsidR="00011CED">
              <w:rPr>
                <w:noProof/>
                <w:webHidden/>
              </w:rPr>
              <w:fldChar w:fldCharType="begin"/>
            </w:r>
            <w:r w:rsidR="00011CED">
              <w:rPr>
                <w:noProof/>
                <w:webHidden/>
              </w:rPr>
              <w:instrText xml:space="preserve"> PAGEREF _Toc201856028 \h </w:instrText>
            </w:r>
            <w:r w:rsidR="00011CED">
              <w:rPr>
                <w:noProof/>
                <w:webHidden/>
              </w:rPr>
            </w:r>
            <w:r w:rsidR="00011CED">
              <w:rPr>
                <w:noProof/>
                <w:webHidden/>
              </w:rPr>
              <w:fldChar w:fldCharType="separate"/>
            </w:r>
            <w:r w:rsidR="00011CED">
              <w:rPr>
                <w:noProof/>
                <w:webHidden/>
              </w:rPr>
              <w:t>10</w:t>
            </w:r>
            <w:r w:rsidR="00011CED">
              <w:rPr>
                <w:noProof/>
                <w:webHidden/>
              </w:rPr>
              <w:fldChar w:fldCharType="end"/>
            </w:r>
          </w:hyperlink>
        </w:p>
        <w:p w14:paraId="472CE593" w14:textId="74441E47" w:rsidR="00011CED" w:rsidRDefault="00436F0B" w:rsidP="00011CED">
          <w:pPr>
            <w:pStyle w:val="TM2"/>
            <w:tabs>
              <w:tab w:val="left" w:pos="880"/>
              <w:tab w:val="right" w:leader="dot" w:pos="9062"/>
            </w:tabs>
            <w:rPr>
              <w:rFonts w:asciiTheme="minorHAnsi" w:eastAsiaTheme="minorEastAsia" w:hAnsiTheme="minorHAnsi"/>
              <w:noProof/>
              <w:sz w:val="22"/>
              <w:lang w:eastAsia="fr-FR"/>
            </w:rPr>
          </w:pPr>
          <w:hyperlink w:anchor="_Toc201856029" w:history="1">
            <w:r w:rsidR="00011CED" w:rsidRPr="009824D5">
              <w:rPr>
                <w:rStyle w:val="Lienhypertexte"/>
                <w:noProof/>
                <w14:scene3d>
                  <w14:camera w14:prst="orthographicFront"/>
                  <w14:lightRig w14:rig="threePt" w14:dir="t">
                    <w14:rot w14:lat="0" w14:lon="0" w14:rev="0"/>
                  </w14:lightRig>
                </w14:scene3d>
              </w:rPr>
              <w:t>4.3</w:t>
            </w:r>
            <w:r w:rsidR="00011CED">
              <w:rPr>
                <w:rStyle w:val="Lienhypertexte"/>
                <w:noProof/>
                <w14:scene3d>
                  <w14:camera w14:prst="orthographicFront"/>
                  <w14:lightRig w14:rig="threePt" w14:dir="t">
                    <w14:rot w14:lat="0" w14:lon="0" w14:rev="0"/>
                  </w14:lightRig>
                </w14:scene3d>
              </w:rPr>
              <w:t xml:space="preserve"> </w:t>
            </w:r>
            <w:r w:rsidR="00011CED" w:rsidRPr="009824D5">
              <w:rPr>
                <w:rStyle w:val="Lienhypertexte"/>
                <w:noProof/>
              </w:rPr>
              <w:t>Gestion des parcs de cartes achat</w:t>
            </w:r>
            <w:r w:rsidR="00011CED">
              <w:rPr>
                <w:noProof/>
                <w:webHidden/>
              </w:rPr>
              <w:tab/>
            </w:r>
            <w:r w:rsidR="00011CED">
              <w:rPr>
                <w:noProof/>
                <w:webHidden/>
              </w:rPr>
              <w:fldChar w:fldCharType="begin"/>
            </w:r>
            <w:r w:rsidR="00011CED">
              <w:rPr>
                <w:noProof/>
                <w:webHidden/>
              </w:rPr>
              <w:instrText xml:space="preserve"> PAGEREF _Toc201856029 \h </w:instrText>
            </w:r>
            <w:r w:rsidR="00011CED">
              <w:rPr>
                <w:noProof/>
                <w:webHidden/>
              </w:rPr>
            </w:r>
            <w:r w:rsidR="00011CED">
              <w:rPr>
                <w:noProof/>
                <w:webHidden/>
              </w:rPr>
              <w:fldChar w:fldCharType="separate"/>
            </w:r>
            <w:r w:rsidR="00011CED">
              <w:rPr>
                <w:noProof/>
                <w:webHidden/>
              </w:rPr>
              <w:t>11</w:t>
            </w:r>
            <w:r w:rsidR="00011CED">
              <w:rPr>
                <w:noProof/>
                <w:webHidden/>
              </w:rPr>
              <w:fldChar w:fldCharType="end"/>
            </w:r>
          </w:hyperlink>
        </w:p>
        <w:p w14:paraId="2070068E" w14:textId="4254BDE0" w:rsidR="00011CED" w:rsidRDefault="00436F0B">
          <w:pPr>
            <w:pStyle w:val="TM3"/>
            <w:rPr>
              <w:rFonts w:asciiTheme="minorHAnsi" w:eastAsiaTheme="minorEastAsia" w:hAnsiTheme="minorHAnsi"/>
              <w:noProof/>
              <w:sz w:val="22"/>
              <w:lang w:eastAsia="fr-FR"/>
            </w:rPr>
          </w:pPr>
          <w:hyperlink w:anchor="_Toc201856031" w:history="1">
            <w:r w:rsidR="00011CED" w:rsidRPr="009824D5">
              <w:rPr>
                <w:rStyle w:val="Lienhypertexte"/>
                <w:noProof/>
              </w:rPr>
              <w:t>4.3.1 Création des parcs de carte</w:t>
            </w:r>
            <w:r w:rsidR="00011CED">
              <w:rPr>
                <w:noProof/>
                <w:webHidden/>
              </w:rPr>
              <w:tab/>
            </w:r>
            <w:r w:rsidR="00011CED">
              <w:rPr>
                <w:noProof/>
                <w:webHidden/>
              </w:rPr>
              <w:fldChar w:fldCharType="begin"/>
            </w:r>
            <w:r w:rsidR="00011CED">
              <w:rPr>
                <w:noProof/>
                <w:webHidden/>
              </w:rPr>
              <w:instrText xml:space="preserve"> PAGEREF _Toc201856031 \h </w:instrText>
            </w:r>
            <w:r w:rsidR="00011CED">
              <w:rPr>
                <w:noProof/>
                <w:webHidden/>
              </w:rPr>
            </w:r>
            <w:r w:rsidR="00011CED">
              <w:rPr>
                <w:noProof/>
                <w:webHidden/>
              </w:rPr>
              <w:fldChar w:fldCharType="separate"/>
            </w:r>
            <w:r w:rsidR="00011CED">
              <w:rPr>
                <w:noProof/>
                <w:webHidden/>
              </w:rPr>
              <w:t>11</w:t>
            </w:r>
            <w:r w:rsidR="00011CED">
              <w:rPr>
                <w:noProof/>
                <w:webHidden/>
              </w:rPr>
              <w:fldChar w:fldCharType="end"/>
            </w:r>
          </w:hyperlink>
        </w:p>
        <w:p w14:paraId="04B83A60" w14:textId="3AEA4DD4" w:rsidR="00011CED" w:rsidRDefault="00436F0B">
          <w:pPr>
            <w:pStyle w:val="TM3"/>
            <w:rPr>
              <w:rFonts w:asciiTheme="minorHAnsi" w:eastAsiaTheme="minorEastAsia" w:hAnsiTheme="minorHAnsi"/>
              <w:noProof/>
              <w:sz w:val="22"/>
              <w:lang w:eastAsia="fr-FR"/>
            </w:rPr>
          </w:pPr>
          <w:hyperlink w:anchor="_Toc201856032" w:history="1">
            <w:r w:rsidR="00011CED" w:rsidRPr="009824D5">
              <w:rPr>
                <w:rStyle w:val="Lienhypertexte"/>
                <w:noProof/>
              </w:rPr>
              <w:t>4.3.2 Opérations de création, modification, suspension et annulation des cartes achat</w:t>
            </w:r>
            <w:r w:rsidR="00011CED">
              <w:rPr>
                <w:noProof/>
                <w:webHidden/>
              </w:rPr>
              <w:tab/>
            </w:r>
            <w:r w:rsidR="00011CED">
              <w:rPr>
                <w:noProof/>
                <w:webHidden/>
              </w:rPr>
              <w:fldChar w:fldCharType="begin"/>
            </w:r>
            <w:r w:rsidR="00011CED">
              <w:rPr>
                <w:noProof/>
                <w:webHidden/>
              </w:rPr>
              <w:instrText xml:space="preserve"> PAGEREF _Toc201856032 \h </w:instrText>
            </w:r>
            <w:r w:rsidR="00011CED">
              <w:rPr>
                <w:noProof/>
                <w:webHidden/>
              </w:rPr>
            </w:r>
            <w:r w:rsidR="00011CED">
              <w:rPr>
                <w:noProof/>
                <w:webHidden/>
              </w:rPr>
              <w:fldChar w:fldCharType="separate"/>
            </w:r>
            <w:r w:rsidR="00011CED">
              <w:rPr>
                <w:noProof/>
                <w:webHidden/>
              </w:rPr>
              <w:t>12</w:t>
            </w:r>
            <w:r w:rsidR="00011CED">
              <w:rPr>
                <w:noProof/>
                <w:webHidden/>
              </w:rPr>
              <w:fldChar w:fldCharType="end"/>
            </w:r>
          </w:hyperlink>
        </w:p>
        <w:p w14:paraId="2AA41E9D" w14:textId="5F8EBB7B" w:rsidR="00011CED" w:rsidRDefault="00436F0B">
          <w:pPr>
            <w:pStyle w:val="TM3"/>
            <w:rPr>
              <w:rFonts w:asciiTheme="minorHAnsi" w:eastAsiaTheme="minorEastAsia" w:hAnsiTheme="minorHAnsi"/>
              <w:noProof/>
              <w:sz w:val="22"/>
              <w:lang w:eastAsia="fr-FR"/>
            </w:rPr>
          </w:pPr>
          <w:hyperlink w:anchor="_Toc201856033" w:history="1">
            <w:r w:rsidR="00011CED" w:rsidRPr="009824D5">
              <w:rPr>
                <w:rStyle w:val="Lienhypertexte"/>
                <w:noProof/>
              </w:rPr>
              <w:t>4.3.3 Paramétrage des cartes achat</w:t>
            </w:r>
            <w:r w:rsidR="00011CED">
              <w:rPr>
                <w:noProof/>
                <w:webHidden/>
              </w:rPr>
              <w:tab/>
            </w:r>
            <w:r w:rsidR="00011CED">
              <w:rPr>
                <w:noProof/>
                <w:webHidden/>
              </w:rPr>
              <w:fldChar w:fldCharType="begin"/>
            </w:r>
            <w:r w:rsidR="00011CED">
              <w:rPr>
                <w:noProof/>
                <w:webHidden/>
              </w:rPr>
              <w:instrText xml:space="preserve"> PAGEREF _Toc201856033 \h </w:instrText>
            </w:r>
            <w:r w:rsidR="00011CED">
              <w:rPr>
                <w:noProof/>
                <w:webHidden/>
              </w:rPr>
            </w:r>
            <w:r w:rsidR="00011CED">
              <w:rPr>
                <w:noProof/>
                <w:webHidden/>
              </w:rPr>
              <w:fldChar w:fldCharType="separate"/>
            </w:r>
            <w:r w:rsidR="00011CED">
              <w:rPr>
                <w:noProof/>
                <w:webHidden/>
              </w:rPr>
              <w:t>12</w:t>
            </w:r>
            <w:r w:rsidR="00011CED">
              <w:rPr>
                <w:noProof/>
                <w:webHidden/>
              </w:rPr>
              <w:fldChar w:fldCharType="end"/>
            </w:r>
          </w:hyperlink>
        </w:p>
        <w:p w14:paraId="7537272D" w14:textId="00C3CECE" w:rsidR="00011CED" w:rsidRDefault="00436F0B">
          <w:pPr>
            <w:pStyle w:val="TM3"/>
            <w:rPr>
              <w:rFonts w:asciiTheme="minorHAnsi" w:eastAsiaTheme="minorEastAsia" w:hAnsiTheme="minorHAnsi"/>
              <w:noProof/>
              <w:sz w:val="22"/>
              <w:lang w:eastAsia="fr-FR"/>
            </w:rPr>
          </w:pPr>
          <w:hyperlink w:anchor="_Toc201856034" w:history="1">
            <w:r w:rsidR="00011CED" w:rsidRPr="009824D5">
              <w:rPr>
                <w:rStyle w:val="Lienhypertexte"/>
                <w:noProof/>
              </w:rPr>
              <w:t>4.3.4 Code confidentiel</w:t>
            </w:r>
            <w:r w:rsidR="00011CED">
              <w:rPr>
                <w:noProof/>
                <w:webHidden/>
              </w:rPr>
              <w:tab/>
            </w:r>
            <w:r w:rsidR="00011CED">
              <w:rPr>
                <w:noProof/>
                <w:webHidden/>
              </w:rPr>
              <w:fldChar w:fldCharType="begin"/>
            </w:r>
            <w:r w:rsidR="00011CED">
              <w:rPr>
                <w:noProof/>
                <w:webHidden/>
              </w:rPr>
              <w:instrText xml:space="preserve"> PAGEREF _Toc201856034 \h </w:instrText>
            </w:r>
            <w:r w:rsidR="00011CED">
              <w:rPr>
                <w:noProof/>
                <w:webHidden/>
              </w:rPr>
            </w:r>
            <w:r w:rsidR="00011CED">
              <w:rPr>
                <w:noProof/>
                <w:webHidden/>
              </w:rPr>
              <w:fldChar w:fldCharType="separate"/>
            </w:r>
            <w:r w:rsidR="00011CED">
              <w:rPr>
                <w:noProof/>
                <w:webHidden/>
              </w:rPr>
              <w:t>13</w:t>
            </w:r>
            <w:r w:rsidR="00011CED">
              <w:rPr>
                <w:noProof/>
                <w:webHidden/>
              </w:rPr>
              <w:fldChar w:fldCharType="end"/>
            </w:r>
          </w:hyperlink>
        </w:p>
        <w:p w14:paraId="5FE6E7C0" w14:textId="405AA8A5" w:rsidR="00011CED" w:rsidRDefault="00436F0B">
          <w:pPr>
            <w:pStyle w:val="TM3"/>
            <w:rPr>
              <w:rFonts w:asciiTheme="minorHAnsi" w:eastAsiaTheme="minorEastAsia" w:hAnsiTheme="minorHAnsi"/>
              <w:noProof/>
              <w:sz w:val="22"/>
              <w:lang w:eastAsia="fr-FR"/>
            </w:rPr>
          </w:pPr>
          <w:hyperlink w:anchor="_Toc201856035" w:history="1">
            <w:r w:rsidR="00011CED" w:rsidRPr="009824D5">
              <w:rPr>
                <w:rStyle w:val="Lienhypertexte"/>
                <w:noProof/>
              </w:rPr>
              <w:t>4.3.5 Dispositions spécifiques</w:t>
            </w:r>
            <w:r w:rsidR="00011CED">
              <w:rPr>
                <w:noProof/>
                <w:webHidden/>
              </w:rPr>
              <w:tab/>
            </w:r>
            <w:r w:rsidR="00011CED">
              <w:rPr>
                <w:noProof/>
                <w:webHidden/>
              </w:rPr>
              <w:fldChar w:fldCharType="begin"/>
            </w:r>
            <w:r w:rsidR="00011CED">
              <w:rPr>
                <w:noProof/>
                <w:webHidden/>
              </w:rPr>
              <w:instrText xml:space="preserve"> PAGEREF _Toc201856035 \h </w:instrText>
            </w:r>
            <w:r w:rsidR="00011CED">
              <w:rPr>
                <w:noProof/>
                <w:webHidden/>
              </w:rPr>
            </w:r>
            <w:r w:rsidR="00011CED">
              <w:rPr>
                <w:noProof/>
                <w:webHidden/>
              </w:rPr>
              <w:fldChar w:fldCharType="separate"/>
            </w:r>
            <w:r w:rsidR="00011CED">
              <w:rPr>
                <w:noProof/>
                <w:webHidden/>
              </w:rPr>
              <w:t>13</w:t>
            </w:r>
            <w:r w:rsidR="00011CED">
              <w:rPr>
                <w:noProof/>
                <w:webHidden/>
              </w:rPr>
              <w:fldChar w:fldCharType="end"/>
            </w:r>
          </w:hyperlink>
        </w:p>
        <w:p w14:paraId="38559B13" w14:textId="09A9FD2D" w:rsidR="00011CED" w:rsidRDefault="00436F0B">
          <w:pPr>
            <w:pStyle w:val="TM3"/>
            <w:rPr>
              <w:rFonts w:asciiTheme="minorHAnsi" w:eastAsiaTheme="minorEastAsia" w:hAnsiTheme="minorHAnsi"/>
              <w:noProof/>
              <w:sz w:val="22"/>
              <w:lang w:eastAsia="fr-FR"/>
            </w:rPr>
          </w:pPr>
          <w:hyperlink w:anchor="_Toc201856036" w:history="1">
            <w:r w:rsidR="00011CED" w:rsidRPr="009824D5">
              <w:rPr>
                <w:rStyle w:val="Lienhypertexte"/>
                <w:iCs/>
                <w:noProof/>
              </w:rPr>
              <w:t xml:space="preserve">4.3.6 </w:t>
            </w:r>
            <w:r w:rsidR="00011CED" w:rsidRPr="009824D5">
              <w:rPr>
                <w:rStyle w:val="Lienhypertexte"/>
                <w:noProof/>
              </w:rPr>
              <w:t>Assurances</w:t>
            </w:r>
            <w:r w:rsidR="00011CED">
              <w:rPr>
                <w:noProof/>
                <w:webHidden/>
              </w:rPr>
              <w:tab/>
            </w:r>
            <w:r w:rsidR="00011CED">
              <w:rPr>
                <w:noProof/>
                <w:webHidden/>
              </w:rPr>
              <w:fldChar w:fldCharType="begin"/>
            </w:r>
            <w:r w:rsidR="00011CED">
              <w:rPr>
                <w:noProof/>
                <w:webHidden/>
              </w:rPr>
              <w:instrText xml:space="preserve"> PAGEREF _Toc201856036 \h </w:instrText>
            </w:r>
            <w:r w:rsidR="00011CED">
              <w:rPr>
                <w:noProof/>
                <w:webHidden/>
              </w:rPr>
            </w:r>
            <w:r w:rsidR="00011CED">
              <w:rPr>
                <w:noProof/>
                <w:webHidden/>
              </w:rPr>
              <w:fldChar w:fldCharType="separate"/>
            </w:r>
            <w:r w:rsidR="00011CED">
              <w:rPr>
                <w:noProof/>
                <w:webHidden/>
              </w:rPr>
              <w:t>13</w:t>
            </w:r>
            <w:r w:rsidR="00011CED">
              <w:rPr>
                <w:noProof/>
                <w:webHidden/>
              </w:rPr>
              <w:fldChar w:fldCharType="end"/>
            </w:r>
          </w:hyperlink>
        </w:p>
        <w:p w14:paraId="472AF813" w14:textId="608E0808" w:rsidR="00011CED" w:rsidRDefault="00436F0B">
          <w:pPr>
            <w:pStyle w:val="TM2"/>
            <w:tabs>
              <w:tab w:val="right" w:leader="dot" w:pos="9062"/>
            </w:tabs>
            <w:rPr>
              <w:rFonts w:asciiTheme="minorHAnsi" w:eastAsiaTheme="minorEastAsia" w:hAnsiTheme="minorHAnsi"/>
              <w:noProof/>
              <w:sz w:val="22"/>
              <w:lang w:eastAsia="fr-FR"/>
            </w:rPr>
          </w:pPr>
          <w:hyperlink w:anchor="_Toc201856037" w:history="1">
            <w:r w:rsidR="00011CED" w:rsidRPr="009824D5">
              <w:rPr>
                <w:rStyle w:val="Lienhypertexte"/>
                <w:noProof/>
              </w:rPr>
              <w:t>4.4 Enrichissement des informations liées aux dépenses effectuées par carte achat</w:t>
            </w:r>
            <w:r w:rsidR="00011CED">
              <w:rPr>
                <w:noProof/>
                <w:webHidden/>
              </w:rPr>
              <w:tab/>
            </w:r>
            <w:r w:rsidR="00011CED">
              <w:rPr>
                <w:noProof/>
                <w:webHidden/>
              </w:rPr>
              <w:fldChar w:fldCharType="begin"/>
            </w:r>
            <w:r w:rsidR="00011CED">
              <w:rPr>
                <w:noProof/>
                <w:webHidden/>
              </w:rPr>
              <w:instrText xml:space="preserve"> PAGEREF _Toc201856037 \h </w:instrText>
            </w:r>
            <w:r w:rsidR="00011CED">
              <w:rPr>
                <w:noProof/>
                <w:webHidden/>
              </w:rPr>
            </w:r>
            <w:r w:rsidR="00011CED">
              <w:rPr>
                <w:noProof/>
                <w:webHidden/>
              </w:rPr>
              <w:fldChar w:fldCharType="separate"/>
            </w:r>
            <w:r w:rsidR="00011CED">
              <w:rPr>
                <w:noProof/>
                <w:webHidden/>
              </w:rPr>
              <w:t>13</w:t>
            </w:r>
            <w:r w:rsidR="00011CED">
              <w:rPr>
                <w:noProof/>
                <w:webHidden/>
              </w:rPr>
              <w:fldChar w:fldCharType="end"/>
            </w:r>
          </w:hyperlink>
        </w:p>
        <w:p w14:paraId="567BD861" w14:textId="503ADBC8" w:rsidR="00011CED" w:rsidRDefault="00436F0B">
          <w:pPr>
            <w:pStyle w:val="TM2"/>
            <w:tabs>
              <w:tab w:val="right" w:leader="dot" w:pos="9062"/>
            </w:tabs>
            <w:rPr>
              <w:rFonts w:asciiTheme="minorHAnsi" w:eastAsiaTheme="minorEastAsia" w:hAnsiTheme="minorHAnsi"/>
              <w:noProof/>
              <w:sz w:val="22"/>
              <w:lang w:eastAsia="fr-FR"/>
            </w:rPr>
          </w:pPr>
          <w:hyperlink w:anchor="_Toc201856038" w:history="1">
            <w:r w:rsidR="00011CED" w:rsidRPr="009824D5">
              <w:rPr>
                <w:rStyle w:val="Lienhypertexte"/>
                <w:noProof/>
              </w:rPr>
              <w:t>4.5 Relevés d’opérations</w:t>
            </w:r>
            <w:r w:rsidR="00011CED">
              <w:rPr>
                <w:noProof/>
                <w:webHidden/>
              </w:rPr>
              <w:tab/>
            </w:r>
            <w:r w:rsidR="00011CED">
              <w:rPr>
                <w:noProof/>
                <w:webHidden/>
              </w:rPr>
              <w:fldChar w:fldCharType="begin"/>
            </w:r>
            <w:r w:rsidR="00011CED">
              <w:rPr>
                <w:noProof/>
                <w:webHidden/>
              </w:rPr>
              <w:instrText xml:space="preserve"> PAGEREF _Toc201856038 \h </w:instrText>
            </w:r>
            <w:r w:rsidR="00011CED">
              <w:rPr>
                <w:noProof/>
                <w:webHidden/>
              </w:rPr>
            </w:r>
            <w:r w:rsidR="00011CED">
              <w:rPr>
                <w:noProof/>
                <w:webHidden/>
              </w:rPr>
              <w:fldChar w:fldCharType="separate"/>
            </w:r>
            <w:r w:rsidR="00011CED">
              <w:rPr>
                <w:noProof/>
                <w:webHidden/>
              </w:rPr>
              <w:t>14</w:t>
            </w:r>
            <w:r w:rsidR="00011CED">
              <w:rPr>
                <w:noProof/>
                <w:webHidden/>
              </w:rPr>
              <w:fldChar w:fldCharType="end"/>
            </w:r>
          </w:hyperlink>
        </w:p>
        <w:p w14:paraId="6828D528" w14:textId="7A129370" w:rsidR="00011CED" w:rsidRDefault="00436F0B">
          <w:pPr>
            <w:pStyle w:val="TM3"/>
            <w:rPr>
              <w:rFonts w:asciiTheme="minorHAnsi" w:eastAsiaTheme="minorEastAsia" w:hAnsiTheme="minorHAnsi"/>
              <w:noProof/>
              <w:sz w:val="22"/>
              <w:lang w:eastAsia="fr-FR"/>
            </w:rPr>
          </w:pPr>
          <w:hyperlink w:anchor="_Toc201856039" w:history="1">
            <w:r w:rsidR="00011CED" w:rsidRPr="009824D5">
              <w:rPr>
                <w:rStyle w:val="Lienhypertexte"/>
                <w:noProof/>
              </w:rPr>
              <w:t>4.5.1 Edition des relevés</w:t>
            </w:r>
            <w:r w:rsidR="00011CED">
              <w:rPr>
                <w:noProof/>
                <w:webHidden/>
              </w:rPr>
              <w:tab/>
            </w:r>
            <w:r w:rsidR="00011CED">
              <w:rPr>
                <w:noProof/>
                <w:webHidden/>
              </w:rPr>
              <w:fldChar w:fldCharType="begin"/>
            </w:r>
            <w:r w:rsidR="00011CED">
              <w:rPr>
                <w:noProof/>
                <w:webHidden/>
              </w:rPr>
              <w:instrText xml:space="preserve"> PAGEREF _Toc201856039 \h </w:instrText>
            </w:r>
            <w:r w:rsidR="00011CED">
              <w:rPr>
                <w:noProof/>
                <w:webHidden/>
              </w:rPr>
            </w:r>
            <w:r w:rsidR="00011CED">
              <w:rPr>
                <w:noProof/>
                <w:webHidden/>
              </w:rPr>
              <w:fldChar w:fldCharType="separate"/>
            </w:r>
            <w:r w:rsidR="00011CED">
              <w:rPr>
                <w:noProof/>
                <w:webHidden/>
              </w:rPr>
              <w:t>14</w:t>
            </w:r>
            <w:r w:rsidR="00011CED">
              <w:rPr>
                <w:noProof/>
                <w:webHidden/>
              </w:rPr>
              <w:fldChar w:fldCharType="end"/>
            </w:r>
          </w:hyperlink>
        </w:p>
        <w:p w14:paraId="01864A29" w14:textId="1ABC7DD2" w:rsidR="00011CED" w:rsidRDefault="00436F0B">
          <w:pPr>
            <w:pStyle w:val="TM3"/>
            <w:rPr>
              <w:rFonts w:asciiTheme="minorHAnsi" w:eastAsiaTheme="minorEastAsia" w:hAnsiTheme="minorHAnsi"/>
              <w:noProof/>
              <w:sz w:val="22"/>
              <w:lang w:eastAsia="fr-FR"/>
            </w:rPr>
          </w:pPr>
          <w:hyperlink w:anchor="_Toc201856040" w:history="1">
            <w:r w:rsidR="00011CED" w:rsidRPr="009824D5">
              <w:rPr>
                <w:rStyle w:val="Lienhypertexte"/>
                <w:noProof/>
              </w:rPr>
              <w:t>4.5.2 Formats des relevés</w:t>
            </w:r>
            <w:r w:rsidR="00011CED">
              <w:rPr>
                <w:noProof/>
                <w:webHidden/>
              </w:rPr>
              <w:tab/>
            </w:r>
            <w:r w:rsidR="00011CED">
              <w:rPr>
                <w:noProof/>
                <w:webHidden/>
              </w:rPr>
              <w:fldChar w:fldCharType="begin"/>
            </w:r>
            <w:r w:rsidR="00011CED">
              <w:rPr>
                <w:noProof/>
                <w:webHidden/>
              </w:rPr>
              <w:instrText xml:space="preserve"> PAGEREF _Toc201856040 \h </w:instrText>
            </w:r>
            <w:r w:rsidR="00011CED">
              <w:rPr>
                <w:noProof/>
                <w:webHidden/>
              </w:rPr>
            </w:r>
            <w:r w:rsidR="00011CED">
              <w:rPr>
                <w:noProof/>
                <w:webHidden/>
              </w:rPr>
              <w:fldChar w:fldCharType="separate"/>
            </w:r>
            <w:r w:rsidR="00011CED">
              <w:rPr>
                <w:noProof/>
                <w:webHidden/>
              </w:rPr>
              <w:t>14</w:t>
            </w:r>
            <w:r w:rsidR="00011CED">
              <w:rPr>
                <w:noProof/>
                <w:webHidden/>
              </w:rPr>
              <w:fldChar w:fldCharType="end"/>
            </w:r>
          </w:hyperlink>
        </w:p>
        <w:p w14:paraId="17D7A638" w14:textId="05D4F9CA" w:rsidR="00011CED" w:rsidRDefault="00436F0B">
          <w:pPr>
            <w:pStyle w:val="TM3"/>
            <w:rPr>
              <w:rFonts w:asciiTheme="minorHAnsi" w:eastAsiaTheme="minorEastAsia" w:hAnsiTheme="minorHAnsi"/>
              <w:noProof/>
              <w:sz w:val="22"/>
              <w:lang w:eastAsia="fr-FR"/>
            </w:rPr>
          </w:pPr>
          <w:hyperlink w:anchor="_Toc201856041" w:history="1">
            <w:r w:rsidR="00011CED" w:rsidRPr="009824D5">
              <w:rPr>
                <w:rStyle w:val="Lienhypertexte"/>
                <w:noProof/>
              </w:rPr>
              <w:t>4.5.3 Mise à disposition des relevés</w:t>
            </w:r>
            <w:r w:rsidR="00011CED">
              <w:rPr>
                <w:noProof/>
                <w:webHidden/>
              </w:rPr>
              <w:tab/>
            </w:r>
            <w:r w:rsidR="00011CED">
              <w:rPr>
                <w:noProof/>
                <w:webHidden/>
              </w:rPr>
              <w:fldChar w:fldCharType="begin"/>
            </w:r>
            <w:r w:rsidR="00011CED">
              <w:rPr>
                <w:noProof/>
                <w:webHidden/>
              </w:rPr>
              <w:instrText xml:space="preserve"> PAGEREF _Toc201856041 \h </w:instrText>
            </w:r>
            <w:r w:rsidR="00011CED">
              <w:rPr>
                <w:noProof/>
                <w:webHidden/>
              </w:rPr>
            </w:r>
            <w:r w:rsidR="00011CED">
              <w:rPr>
                <w:noProof/>
                <w:webHidden/>
              </w:rPr>
              <w:fldChar w:fldCharType="separate"/>
            </w:r>
            <w:r w:rsidR="00011CED">
              <w:rPr>
                <w:noProof/>
                <w:webHidden/>
              </w:rPr>
              <w:t>15</w:t>
            </w:r>
            <w:r w:rsidR="00011CED">
              <w:rPr>
                <w:noProof/>
                <w:webHidden/>
              </w:rPr>
              <w:fldChar w:fldCharType="end"/>
            </w:r>
          </w:hyperlink>
        </w:p>
        <w:p w14:paraId="471062F9" w14:textId="1D0E4703" w:rsidR="00011CED" w:rsidRDefault="00436F0B">
          <w:pPr>
            <w:pStyle w:val="TM2"/>
            <w:tabs>
              <w:tab w:val="right" w:leader="dot" w:pos="9062"/>
            </w:tabs>
            <w:rPr>
              <w:rFonts w:asciiTheme="minorHAnsi" w:eastAsiaTheme="minorEastAsia" w:hAnsiTheme="minorHAnsi"/>
              <w:noProof/>
              <w:sz w:val="22"/>
              <w:lang w:eastAsia="fr-FR"/>
            </w:rPr>
          </w:pPr>
          <w:hyperlink w:anchor="_Toc201856042" w:history="1">
            <w:r w:rsidR="00011CED" w:rsidRPr="009824D5">
              <w:rPr>
                <w:rStyle w:val="Lienhypertexte"/>
                <w:noProof/>
              </w:rPr>
              <w:t>4.6 Carte achat niveau 3</w:t>
            </w:r>
            <w:r w:rsidR="00011CED">
              <w:rPr>
                <w:noProof/>
                <w:webHidden/>
              </w:rPr>
              <w:tab/>
            </w:r>
            <w:r w:rsidR="00011CED">
              <w:rPr>
                <w:noProof/>
                <w:webHidden/>
              </w:rPr>
              <w:fldChar w:fldCharType="begin"/>
            </w:r>
            <w:r w:rsidR="00011CED">
              <w:rPr>
                <w:noProof/>
                <w:webHidden/>
              </w:rPr>
              <w:instrText xml:space="preserve"> PAGEREF _Toc201856042 \h </w:instrText>
            </w:r>
            <w:r w:rsidR="00011CED">
              <w:rPr>
                <w:noProof/>
                <w:webHidden/>
              </w:rPr>
            </w:r>
            <w:r w:rsidR="00011CED">
              <w:rPr>
                <w:noProof/>
                <w:webHidden/>
              </w:rPr>
              <w:fldChar w:fldCharType="separate"/>
            </w:r>
            <w:r w:rsidR="00011CED">
              <w:rPr>
                <w:noProof/>
                <w:webHidden/>
              </w:rPr>
              <w:t>15</w:t>
            </w:r>
            <w:r w:rsidR="00011CED">
              <w:rPr>
                <w:noProof/>
                <w:webHidden/>
              </w:rPr>
              <w:fldChar w:fldCharType="end"/>
            </w:r>
          </w:hyperlink>
        </w:p>
        <w:p w14:paraId="5AB1CB60" w14:textId="60FEB9C5" w:rsidR="00011CED" w:rsidRDefault="00436F0B">
          <w:pPr>
            <w:pStyle w:val="TM1"/>
            <w:tabs>
              <w:tab w:val="left" w:pos="708"/>
              <w:tab w:val="right" w:leader="dot" w:pos="9062"/>
            </w:tabs>
            <w:rPr>
              <w:rFonts w:asciiTheme="minorHAnsi" w:eastAsiaTheme="minorEastAsia" w:hAnsiTheme="minorHAnsi"/>
              <w:noProof/>
              <w:sz w:val="22"/>
              <w:lang w:eastAsia="fr-FR"/>
            </w:rPr>
          </w:pPr>
          <w:hyperlink w:anchor="_Toc201856043" w:history="1">
            <w:r w:rsidR="00011CED" w:rsidRPr="009824D5">
              <w:rPr>
                <w:rStyle w:val="Lienhypertexte"/>
                <w:noProof/>
              </w:rPr>
              <w:t>5</w:t>
            </w:r>
            <w:r w:rsidR="00011CED">
              <w:rPr>
                <w:rStyle w:val="Lienhypertexte"/>
                <w:noProof/>
              </w:rPr>
              <w:t xml:space="preserve"> </w:t>
            </w:r>
            <w:r w:rsidR="00011CED" w:rsidRPr="009824D5">
              <w:rPr>
                <w:rStyle w:val="Lienhypertexte"/>
                <w:noProof/>
              </w:rPr>
              <w:t>Dispositions spécifiques à la carte corporate</w:t>
            </w:r>
            <w:r w:rsidR="00011CED">
              <w:rPr>
                <w:noProof/>
                <w:webHidden/>
              </w:rPr>
              <w:tab/>
            </w:r>
            <w:r w:rsidR="00011CED">
              <w:rPr>
                <w:noProof/>
                <w:webHidden/>
              </w:rPr>
              <w:fldChar w:fldCharType="begin"/>
            </w:r>
            <w:r w:rsidR="00011CED">
              <w:rPr>
                <w:noProof/>
                <w:webHidden/>
              </w:rPr>
              <w:instrText xml:space="preserve"> PAGEREF _Toc201856043 \h </w:instrText>
            </w:r>
            <w:r w:rsidR="00011CED">
              <w:rPr>
                <w:noProof/>
                <w:webHidden/>
              </w:rPr>
            </w:r>
            <w:r w:rsidR="00011CED">
              <w:rPr>
                <w:noProof/>
                <w:webHidden/>
              </w:rPr>
              <w:fldChar w:fldCharType="separate"/>
            </w:r>
            <w:r w:rsidR="00011CED">
              <w:rPr>
                <w:noProof/>
                <w:webHidden/>
              </w:rPr>
              <w:t>16</w:t>
            </w:r>
            <w:r w:rsidR="00011CED">
              <w:rPr>
                <w:noProof/>
                <w:webHidden/>
              </w:rPr>
              <w:fldChar w:fldCharType="end"/>
            </w:r>
          </w:hyperlink>
        </w:p>
        <w:p w14:paraId="71D40D05" w14:textId="04DF5E89" w:rsidR="00011CED" w:rsidRDefault="00436F0B">
          <w:pPr>
            <w:pStyle w:val="TM2"/>
            <w:tabs>
              <w:tab w:val="right" w:leader="dot" w:pos="9062"/>
            </w:tabs>
            <w:rPr>
              <w:rFonts w:asciiTheme="minorHAnsi" w:eastAsiaTheme="minorEastAsia" w:hAnsiTheme="minorHAnsi"/>
              <w:noProof/>
              <w:sz w:val="22"/>
              <w:lang w:eastAsia="fr-FR"/>
            </w:rPr>
          </w:pPr>
          <w:hyperlink w:anchor="_Toc201856044" w:history="1">
            <w:r w:rsidR="00011CED" w:rsidRPr="009824D5">
              <w:rPr>
                <w:rStyle w:val="Lienhypertexte"/>
                <w:noProof/>
              </w:rPr>
              <w:t>5.1 Dispositions relatives au porteur</w:t>
            </w:r>
            <w:r w:rsidR="00011CED">
              <w:rPr>
                <w:noProof/>
                <w:webHidden/>
              </w:rPr>
              <w:tab/>
            </w:r>
            <w:r w:rsidR="00011CED">
              <w:rPr>
                <w:noProof/>
                <w:webHidden/>
              </w:rPr>
              <w:fldChar w:fldCharType="begin"/>
            </w:r>
            <w:r w:rsidR="00011CED">
              <w:rPr>
                <w:noProof/>
                <w:webHidden/>
              </w:rPr>
              <w:instrText xml:space="preserve"> PAGEREF _Toc201856044 \h </w:instrText>
            </w:r>
            <w:r w:rsidR="00011CED">
              <w:rPr>
                <w:noProof/>
                <w:webHidden/>
              </w:rPr>
            </w:r>
            <w:r w:rsidR="00011CED">
              <w:rPr>
                <w:noProof/>
                <w:webHidden/>
              </w:rPr>
              <w:fldChar w:fldCharType="separate"/>
            </w:r>
            <w:r w:rsidR="00011CED">
              <w:rPr>
                <w:noProof/>
                <w:webHidden/>
              </w:rPr>
              <w:t>16</w:t>
            </w:r>
            <w:r w:rsidR="00011CED">
              <w:rPr>
                <w:noProof/>
                <w:webHidden/>
              </w:rPr>
              <w:fldChar w:fldCharType="end"/>
            </w:r>
          </w:hyperlink>
        </w:p>
        <w:p w14:paraId="6F046F47" w14:textId="4AE67DCD" w:rsidR="00011CED" w:rsidRDefault="00436F0B">
          <w:pPr>
            <w:pStyle w:val="TM2"/>
            <w:tabs>
              <w:tab w:val="right" w:leader="dot" w:pos="9062"/>
            </w:tabs>
            <w:rPr>
              <w:rFonts w:asciiTheme="minorHAnsi" w:eastAsiaTheme="minorEastAsia" w:hAnsiTheme="minorHAnsi"/>
              <w:noProof/>
              <w:sz w:val="22"/>
              <w:lang w:eastAsia="fr-FR"/>
            </w:rPr>
          </w:pPr>
          <w:hyperlink w:anchor="_Toc201856045" w:history="1">
            <w:r w:rsidR="00011CED" w:rsidRPr="009824D5">
              <w:rPr>
                <w:rStyle w:val="Lienhypertexte"/>
                <w:noProof/>
              </w:rPr>
              <w:t>5.2 Paramétrage des droits du porteur</w:t>
            </w:r>
            <w:r w:rsidR="00011CED">
              <w:rPr>
                <w:noProof/>
                <w:webHidden/>
              </w:rPr>
              <w:tab/>
            </w:r>
            <w:r w:rsidR="00011CED">
              <w:rPr>
                <w:noProof/>
                <w:webHidden/>
              </w:rPr>
              <w:fldChar w:fldCharType="begin"/>
            </w:r>
            <w:r w:rsidR="00011CED">
              <w:rPr>
                <w:noProof/>
                <w:webHidden/>
              </w:rPr>
              <w:instrText xml:space="preserve"> PAGEREF _Toc201856045 \h </w:instrText>
            </w:r>
            <w:r w:rsidR="00011CED">
              <w:rPr>
                <w:noProof/>
                <w:webHidden/>
              </w:rPr>
            </w:r>
            <w:r w:rsidR="00011CED">
              <w:rPr>
                <w:noProof/>
                <w:webHidden/>
              </w:rPr>
              <w:fldChar w:fldCharType="separate"/>
            </w:r>
            <w:r w:rsidR="00011CED">
              <w:rPr>
                <w:noProof/>
                <w:webHidden/>
              </w:rPr>
              <w:t>16</w:t>
            </w:r>
            <w:r w:rsidR="00011CED">
              <w:rPr>
                <w:noProof/>
                <w:webHidden/>
              </w:rPr>
              <w:fldChar w:fldCharType="end"/>
            </w:r>
          </w:hyperlink>
        </w:p>
        <w:p w14:paraId="182DD761" w14:textId="1447DB21" w:rsidR="00011CED" w:rsidRDefault="00436F0B">
          <w:pPr>
            <w:pStyle w:val="TM2"/>
            <w:tabs>
              <w:tab w:val="right" w:leader="dot" w:pos="9062"/>
            </w:tabs>
            <w:rPr>
              <w:rFonts w:asciiTheme="minorHAnsi" w:eastAsiaTheme="minorEastAsia" w:hAnsiTheme="minorHAnsi"/>
              <w:noProof/>
              <w:sz w:val="22"/>
              <w:lang w:eastAsia="fr-FR"/>
            </w:rPr>
          </w:pPr>
          <w:hyperlink w:anchor="_Toc201856046" w:history="1">
            <w:r w:rsidR="00011CED" w:rsidRPr="009824D5">
              <w:rPr>
                <w:rStyle w:val="Lienhypertexte"/>
                <w:noProof/>
              </w:rPr>
              <w:t>5.3 Gestion du parc des cartes corporate</w:t>
            </w:r>
            <w:r w:rsidR="00011CED">
              <w:rPr>
                <w:noProof/>
                <w:webHidden/>
              </w:rPr>
              <w:tab/>
            </w:r>
            <w:r w:rsidR="00011CED">
              <w:rPr>
                <w:noProof/>
                <w:webHidden/>
              </w:rPr>
              <w:fldChar w:fldCharType="begin"/>
            </w:r>
            <w:r w:rsidR="00011CED">
              <w:rPr>
                <w:noProof/>
                <w:webHidden/>
              </w:rPr>
              <w:instrText xml:space="preserve"> PAGEREF _Toc201856046 \h </w:instrText>
            </w:r>
            <w:r w:rsidR="00011CED">
              <w:rPr>
                <w:noProof/>
                <w:webHidden/>
              </w:rPr>
            </w:r>
            <w:r w:rsidR="00011CED">
              <w:rPr>
                <w:noProof/>
                <w:webHidden/>
              </w:rPr>
              <w:fldChar w:fldCharType="separate"/>
            </w:r>
            <w:r w:rsidR="00011CED">
              <w:rPr>
                <w:noProof/>
                <w:webHidden/>
              </w:rPr>
              <w:t>16</w:t>
            </w:r>
            <w:r w:rsidR="00011CED">
              <w:rPr>
                <w:noProof/>
                <w:webHidden/>
              </w:rPr>
              <w:fldChar w:fldCharType="end"/>
            </w:r>
          </w:hyperlink>
        </w:p>
        <w:p w14:paraId="31AC5CF6" w14:textId="433CA02B" w:rsidR="00011CED" w:rsidRDefault="00436F0B">
          <w:pPr>
            <w:pStyle w:val="TM2"/>
            <w:tabs>
              <w:tab w:val="right" w:leader="dot" w:pos="9062"/>
            </w:tabs>
            <w:rPr>
              <w:rFonts w:asciiTheme="minorHAnsi" w:eastAsiaTheme="minorEastAsia" w:hAnsiTheme="minorHAnsi"/>
              <w:noProof/>
              <w:sz w:val="22"/>
              <w:lang w:eastAsia="fr-FR"/>
            </w:rPr>
          </w:pPr>
          <w:hyperlink w:anchor="_Toc201856047" w:history="1">
            <w:r w:rsidR="00011CED" w:rsidRPr="009824D5">
              <w:rPr>
                <w:rStyle w:val="Lienhypertexte"/>
                <w:noProof/>
              </w:rPr>
              <w:t>5.4 Réception des cartes</w:t>
            </w:r>
            <w:r w:rsidR="00011CED">
              <w:rPr>
                <w:noProof/>
                <w:webHidden/>
              </w:rPr>
              <w:tab/>
            </w:r>
            <w:r w:rsidR="00011CED">
              <w:rPr>
                <w:noProof/>
                <w:webHidden/>
              </w:rPr>
              <w:fldChar w:fldCharType="begin"/>
            </w:r>
            <w:r w:rsidR="00011CED">
              <w:rPr>
                <w:noProof/>
                <w:webHidden/>
              </w:rPr>
              <w:instrText xml:space="preserve"> PAGEREF _Toc201856047 \h </w:instrText>
            </w:r>
            <w:r w:rsidR="00011CED">
              <w:rPr>
                <w:noProof/>
                <w:webHidden/>
              </w:rPr>
            </w:r>
            <w:r w:rsidR="00011CED">
              <w:rPr>
                <w:noProof/>
                <w:webHidden/>
              </w:rPr>
              <w:fldChar w:fldCharType="separate"/>
            </w:r>
            <w:r w:rsidR="00011CED">
              <w:rPr>
                <w:noProof/>
                <w:webHidden/>
              </w:rPr>
              <w:t>16</w:t>
            </w:r>
            <w:r w:rsidR="00011CED">
              <w:rPr>
                <w:noProof/>
                <w:webHidden/>
              </w:rPr>
              <w:fldChar w:fldCharType="end"/>
            </w:r>
          </w:hyperlink>
        </w:p>
        <w:p w14:paraId="3C77101A" w14:textId="62D362A4" w:rsidR="00011CED" w:rsidRDefault="00436F0B">
          <w:pPr>
            <w:pStyle w:val="TM2"/>
            <w:tabs>
              <w:tab w:val="right" w:leader="dot" w:pos="9062"/>
            </w:tabs>
            <w:rPr>
              <w:rFonts w:asciiTheme="minorHAnsi" w:eastAsiaTheme="minorEastAsia" w:hAnsiTheme="minorHAnsi"/>
              <w:noProof/>
              <w:sz w:val="22"/>
              <w:lang w:eastAsia="fr-FR"/>
            </w:rPr>
          </w:pPr>
          <w:hyperlink w:anchor="_Toc201856048" w:history="1">
            <w:r w:rsidR="00011CED" w:rsidRPr="009824D5">
              <w:rPr>
                <w:rStyle w:val="Lienhypertexte"/>
                <w:noProof/>
              </w:rPr>
              <w:t>5.5 Solidarité entre l’établissement et le porteur de carte</w:t>
            </w:r>
            <w:r w:rsidR="00011CED">
              <w:rPr>
                <w:noProof/>
                <w:webHidden/>
              </w:rPr>
              <w:tab/>
            </w:r>
            <w:r w:rsidR="00011CED">
              <w:rPr>
                <w:noProof/>
                <w:webHidden/>
              </w:rPr>
              <w:fldChar w:fldCharType="begin"/>
            </w:r>
            <w:r w:rsidR="00011CED">
              <w:rPr>
                <w:noProof/>
                <w:webHidden/>
              </w:rPr>
              <w:instrText xml:space="preserve"> PAGEREF _Toc201856048 \h </w:instrText>
            </w:r>
            <w:r w:rsidR="00011CED">
              <w:rPr>
                <w:noProof/>
                <w:webHidden/>
              </w:rPr>
            </w:r>
            <w:r w:rsidR="00011CED">
              <w:rPr>
                <w:noProof/>
                <w:webHidden/>
              </w:rPr>
              <w:fldChar w:fldCharType="separate"/>
            </w:r>
            <w:r w:rsidR="00011CED">
              <w:rPr>
                <w:noProof/>
                <w:webHidden/>
              </w:rPr>
              <w:t>16</w:t>
            </w:r>
            <w:r w:rsidR="00011CED">
              <w:rPr>
                <w:noProof/>
                <w:webHidden/>
              </w:rPr>
              <w:fldChar w:fldCharType="end"/>
            </w:r>
          </w:hyperlink>
        </w:p>
        <w:p w14:paraId="3EB17AE7" w14:textId="6F9D59EC" w:rsidR="00011CED" w:rsidRDefault="00436F0B">
          <w:pPr>
            <w:pStyle w:val="TM2"/>
            <w:tabs>
              <w:tab w:val="right" w:leader="dot" w:pos="9062"/>
            </w:tabs>
            <w:rPr>
              <w:rFonts w:asciiTheme="minorHAnsi" w:eastAsiaTheme="minorEastAsia" w:hAnsiTheme="minorHAnsi"/>
              <w:noProof/>
              <w:sz w:val="22"/>
              <w:lang w:eastAsia="fr-FR"/>
            </w:rPr>
          </w:pPr>
          <w:hyperlink w:anchor="_Toc201856049" w:history="1">
            <w:r w:rsidR="00011CED" w:rsidRPr="009824D5">
              <w:rPr>
                <w:rStyle w:val="Lienhypertexte"/>
                <w:noProof/>
              </w:rPr>
              <w:t>5.6 Code confidentiel</w:t>
            </w:r>
            <w:r w:rsidR="00011CED">
              <w:rPr>
                <w:noProof/>
                <w:webHidden/>
              </w:rPr>
              <w:tab/>
            </w:r>
            <w:r w:rsidR="00011CED">
              <w:rPr>
                <w:noProof/>
                <w:webHidden/>
              </w:rPr>
              <w:fldChar w:fldCharType="begin"/>
            </w:r>
            <w:r w:rsidR="00011CED">
              <w:rPr>
                <w:noProof/>
                <w:webHidden/>
              </w:rPr>
              <w:instrText xml:space="preserve"> PAGEREF _Toc201856049 \h </w:instrText>
            </w:r>
            <w:r w:rsidR="00011CED">
              <w:rPr>
                <w:noProof/>
                <w:webHidden/>
              </w:rPr>
            </w:r>
            <w:r w:rsidR="00011CED">
              <w:rPr>
                <w:noProof/>
                <w:webHidden/>
              </w:rPr>
              <w:fldChar w:fldCharType="separate"/>
            </w:r>
            <w:r w:rsidR="00011CED">
              <w:rPr>
                <w:noProof/>
                <w:webHidden/>
              </w:rPr>
              <w:t>17</w:t>
            </w:r>
            <w:r w:rsidR="00011CED">
              <w:rPr>
                <w:noProof/>
                <w:webHidden/>
              </w:rPr>
              <w:fldChar w:fldCharType="end"/>
            </w:r>
          </w:hyperlink>
        </w:p>
        <w:p w14:paraId="39C4D85E" w14:textId="45DDC0E1" w:rsidR="00011CED" w:rsidRDefault="00436F0B">
          <w:pPr>
            <w:pStyle w:val="TM2"/>
            <w:tabs>
              <w:tab w:val="right" w:leader="dot" w:pos="9062"/>
            </w:tabs>
            <w:rPr>
              <w:rFonts w:asciiTheme="minorHAnsi" w:eastAsiaTheme="minorEastAsia" w:hAnsiTheme="minorHAnsi"/>
              <w:noProof/>
              <w:sz w:val="22"/>
              <w:lang w:eastAsia="fr-FR"/>
            </w:rPr>
          </w:pPr>
          <w:hyperlink w:anchor="_Toc201856050" w:history="1">
            <w:r w:rsidR="00011CED" w:rsidRPr="009824D5">
              <w:rPr>
                <w:rStyle w:val="Lienhypertexte"/>
                <w:noProof/>
              </w:rPr>
              <w:t>5.7 Débit différé</w:t>
            </w:r>
            <w:r w:rsidR="00011CED">
              <w:rPr>
                <w:noProof/>
                <w:webHidden/>
              </w:rPr>
              <w:tab/>
            </w:r>
            <w:r w:rsidR="00011CED">
              <w:rPr>
                <w:noProof/>
                <w:webHidden/>
              </w:rPr>
              <w:fldChar w:fldCharType="begin"/>
            </w:r>
            <w:r w:rsidR="00011CED">
              <w:rPr>
                <w:noProof/>
                <w:webHidden/>
              </w:rPr>
              <w:instrText xml:space="preserve"> PAGEREF _Toc201856050 \h </w:instrText>
            </w:r>
            <w:r w:rsidR="00011CED">
              <w:rPr>
                <w:noProof/>
                <w:webHidden/>
              </w:rPr>
            </w:r>
            <w:r w:rsidR="00011CED">
              <w:rPr>
                <w:noProof/>
                <w:webHidden/>
              </w:rPr>
              <w:fldChar w:fldCharType="separate"/>
            </w:r>
            <w:r w:rsidR="00011CED">
              <w:rPr>
                <w:noProof/>
                <w:webHidden/>
              </w:rPr>
              <w:t>17</w:t>
            </w:r>
            <w:r w:rsidR="00011CED">
              <w:rPr>
                <w:noProof/>
                <w:webHidden/>
              </w:rPr>
              <w:fldChar w:fldCharType="end"/>
            </w:r>
          </w:hyperlink>
        </w:p>
        <w:p w14:paraId="4FAD6FEE" w14:textId="4AAF0A18" w:rsidR="00011CED" w:rsidRDefault="00436F0B">
          <w:pPr>
            <w:pStyle w:val="TM2"/>
            <w:tabs>
              <w:tab w:val="right" w:leader="dot" w:pos="9062"/>
            </w:tabs>
            <w:rPr>
              <w:rFonts w:asciiTheme="minorHAnsi" w:eastAsiaTheme="minorEastAsia" w:hAnsiTheme="minorHAnsi"/>
              <w:noProof/>
              <w:sz w:val="22"/>
              <w:lang w:eastAsia="fr-FR"/>
            </w:rPr>
          </w:pPr>
          <w:hyperlink w:anchor="_Toc201856051" w:history="1">
            <w:r w:rsidR="00011CED" w:rsidRPr="009824D5">
              <w:rPr>
                <w:rStyle w:val="Lienhypertexte"/>
                <w:noProof/>
              </w:rPr>
              <w:t>5.8 Relevés d’opérations</w:t>
            </w:r>
            <w:r w:rsidR="00011CED">
              <w:rPr>
                <w:noProof/>
                <w:webHidden/>
              </w:rPr>
              <w:tab/>
            </w:r>
            <w:r w:rsidR="00011CED">
              <w:rPr>
                <w:noProof/>
                <w:webHidden/>
              </w:rPr>
              <w:fldChar w:fldCharType="begin"/>
            </w:r>
            <w:r w:rsidR="00011CED">
              <w:rPr>
                <w:noProof/>
                <w:webHidden/>
              </w:rPr>
              <w:instrText xml:space="preserve"> PAGEREF _Toc201856051 \h </w:instrText>
            </w:r>
            <w:r w:rsidR="00011CED">
              <w:rPr>
                <w:noProof/>
                <w:webHidden/>
              </w:rPr>
            </w:r>
            <w:r w:rsidR="00011CED">
              <w:rPr>
                <w:noProof/>
                <w:webHidden/>
              </w:rPr>
              <w:fldChar w:fldCharType="separate"/>
            </w:r>
            <w:r w:rsidR="00011CED">
              <w:rPr>
                <w:noProof/>
                <w:webHidden/>
              </w:rPr>
              <w:t>17</w:t>
            </w:r>
            <w:r w:rsidR="00011CED">
              <w:rPr>
                <w:noProof/>
                <w:webHidden/>
              </w:rPr>
              <w:fldChar w:fldCharType="end"/>
            </w:r>
          </w:hyperlink>
        </w:p>
        <w:p w14:paraId="4BABD8E0" w14:textId="0ACCD983" w:rsidR="00011CED" w:rsidRDefault="00436F0B">
          <w:pPr>
            <w:pStyle w:val="TM1"/>
            <w:tabs>
              <w:tab w:val="left" w:pos="708"/>
              <w:tab w:val="right" w:leader="dot" w:pos="9062"/>
            </w:tabs>
            <w:rPr>
              <w:rFonts w:asciiTheme="minorHAnsi" w:eastAsiaTheme="minorEastAsia" w:hAnsiTheme="minorHAnsi"/>
              <w:noProof/>
              <w:sz w:val="22"/>
              <w:lang w:eastAsia="fr-FR"/>
            </w:rPr>
          </w:pPr>
          <w:hyperlink w:anchor="_Toc201856052" w:history="1">
            <w:r w:rsidR="00011CED" w:rsidRPr="009824D5">
              <w:rPr>
                <w:rStyle w:val="Lienhypertexte"/>
                <w:noProof/>
                <w14:scene3d>
                  <w14:camera w14:prst="orthographicFront"/>
                  <w14:lightRig w14:rig="threePt" w14:dir="t">
                    <w14:rot w14:lat="0" w14:lon="0" w14:rev="0"/>
                  </w14:lightRig>
                </w14:scene3d>
              </w:rPr>
              <w:t>6</w:t>
            </w:r>
            <w:r w:rsidR="00011CED">
              <w:rPr>
                <w:rStyle w:val="Lienhypertexte"/>
                <w:noProof/>
                <w14:scene3d>
                  <w14:camera w14:prst="orthographicFront"/>
                  <w14:lightRig w14:rig="threePt" w14:dir="t">
                    <w14:rot w14:lat="0" w14:lon="0" w14:rev="0"/>
                  </w14:lightRig>
                </w14:scene3d>
              </w:rPr>
              <w:t xml:space="preserve"> </w:t>
            </w:r>
            <w:r w:rsidR="00011CED" w:rsidRPr="009824D5">
              <w:rPr>
                <w:rStyle w:val="Lienhypertexte"/>
                <w:noProof/>
              </w:rPr>
              <w:t>Prestations complémentaires</w:t>
            </w:r>
            <w:r w:rsidR="00011CED">
              <w:rPr>
                <w:noProof/>
                <w:webHidden/>
              </w:rPr>
              <w:tab/>
            </w:r>
            <w:r w:rsidR="00011CED">
              <w:rPr>
                <w:noProof/>
                <w:webHidden/>
              </w:rPr>
              <w:fldChar w:fldCharType="begin"/>
            </w:r>
            <w:r w:rsidR="00011CED">
              <w:rPr>
                <w:noProof/>
                <w:webHidden/>
              </w:rPr>
              <w:instrText xml:space="preserve"> PAGEREF _Toc201856052 \h </w:instrText>
            </w:r>
            <w:r w:rsidR="00011CED">
              <w:rPr>
                <w:noProof/>
                <w:webHidden/>
              </w:rPr>
            </w:r>
            <w:r w:rsidR="00011CED">
              <w:rPr>
                <w:noProof/>
                <w:webHidden/>
              </w:rPr>
              <w:fldChar w:fldCharType="separate"/>
            </w:r>
            <w:r w:rsidR="00011CED">
              <w:rPr>
                <w:noProof/>
                <w:webHidden/>
              </w:rPr>
              <w:t>17</w:t>
            </w:r>
            <w:r w:rsidR="00011CED">
              <w:rPr>
                <w:noProof/>
                <w:webHidden/>
              </w:rPr>
              <w:fldChar w:fldCharType="end"/>
            </w:r>
          </w:hyperlink>
        </w:p>
        <w:p w14:paraId="1AABD3EE" w14:textId="20942D48" w:rsidR="00011CED" w:rsidRDefault="00436F0B">
          <w:pPr>
            <w:pStyle w:val="TM2"/>
            <w:tabs>
              <w:tab w:val="right" w:leader="dot" w:pos="9062"/>
            </w:tabs>
            <w:rPr>
              <w:rFonts w:asciiTheme="minorHAnsi" w:eastAsiaTheme="minorEastAsia" w:hAnsiTheme="minorHAnsi"/>
              <w:noProof/>
              <w:sz w:val="22"/>
              <w:lang w:eastAsia="fr-FR"/>
            </w:rPr>
          </w:pPr>
          <w:hyperlink w:anchor="_Toc201856053" w:history="1">
            <w:r w:rsidR="00011CED" w:rsidRPr="009824D5">
              <w:rPr>
                <w:rStyle w:val="Lienhypertexte"/>
                <w:noProof/>
              </w:rPr>
              <w:t>6.1 Outils de gestion, reporting et services associés</w:t>
            </w:r>
            <w:r w:rsidR="00011CED">
              <w:rPr>
                <w:noProof/>
                <w:webHidden/>
              </w:rPr>
              <w:tab/>
            </w:r>
            <w:r w:rsidR="00011CED">
              <w:rPr>
                <w:noProof/>
                <w:webHidden/>
              </w:rPr>
              <w:fldChar w:fldCharType="begin"/>
            </w:r>
            <w:r w:rsidR="00011CED">
              <w:rPr>
                <w:noProof/>
                <w:webHidden/>
              </w:rPr>
              <w:instrText xml:space="preserve"> PAGEREF _Toc201856053 \h </w:instrText>
            </w:r>
            <w:r w:rsidR="00011CED">
              <w:rPr>
                <w:noProof/>
                <w:webHidden/>
              </w:rPr>
            </w:r>
            <w:r w:rsidR="00011CED">
              <w:rPr>
                <w:noProof/>
                <w:webHidden/>
              </w:rPr>
              <w:fldChar w:fldCharType="separate"/>
            </w:r>
            <w:r w:rsidR="00011CED">
              <w:rPr>
                <w:noProof/>
                <w:webHidden/>
              </w:rPr>
              <w:t>17</w:t>
            </w:r>
            <w:r w:rsidR="00011CED">
              <w:rPr>
                <w:noProof/>
                <w:webHidden/>
              </w:rPr>
              <w:fldChar w:fldCharType="end"/>
            </w:r>
          </w:hyperlink>
        </w:p>
        <w:p w14:paraId="4CEE2109" w14:textId="11693E88" w:rsidR="00011CED" w:rsidRDefault="00436F0B">
          <w:pPr>
            <w:pStyle w:val="TM3"/>
            <w:rPr>
              <w:rFonts w:asciiTheme="minorHAnsi" w:eastAsiaTheme="minorEastAsia" w:hAnsiTheme="minorHAnsi"/>
              <w:noProof/>
              <w:sz w:val="22"/>
              <w:lang w:eastAsia="fr-FR"/>
            </w:rPr>
          </w:pPr>
          <w:hyperlink w:anchor="_Toc201856054" w:history="1">
            <w:r w:rsidR="00011CED" w:rsidRPr="009824D5">
              <w:rPr>
                <w:rStyle w:val="Lienhypertexte"/>
                <w:noProof/>
              </w:rPr>
              <w:t>6.1.1 Outils de gestion des cartes</w:t>
            </w:r>
            <w:r w:rsidR="00011CED">
              <w:rPr>
                <w:noProof/>
                <w:webHidden/>
              </w:rPr>
              <w:tab/>
            </w:r>
            <w:r w:rsidR="00011CED">
              <w:rPr>
                <w:noProof/>
                <w:webHidden/>
              </w:rPr>
              <w:fldChar w:fldCharType="begin"/>
            </w:r>
            <w:r w:rsidR="00011CED">
              <w:rPr>
                <w:noProof/>
                <w:webHidden/>
              </w:rPr>
              <w:instrText xml:space="preserve"> PAGEREF _Toc201856054 \h </w:instrText>
            </w:r>
            <w:r w:rsidR="00011CED">
              <w:rPr>
                <w:noProof/>
                <w:webHidden/>
              </w:rPr>
            </w:r>
            <w:r w:rsidR="00011CED">
              <w:rPr>
                <w:noProof/>
                <w:webHidden/>
              </w:rPr>
              <w:fldChar w:fldCharType="separate"/>
            </w:r>
            <w:r w:rsidR="00011CED">
              <w:rPr>
                <w:noProof/>
                <w:webHidden/>
              </w:rPr>
              <w:t>17</w:t>
            </w:r>
            <w:r w:rsidR="00011CED">
              <w:rPr>
                <w:noProof/>
                <w:webHidden/>
              </w:rPr>
              <w:fldChar w:fldCharType="end"/>
            </w:r>
          </w:hyperlink>
        </w:p>
        <w:p w14:paraId="66762C5C" w14:textId="3B518AD7" w:rsidR="00011CED" w:rsidRDefault="00436F0B">
          <w:pPr>
            <w:pStyle w:val="TM3"/>
            <w:rPr>
              <w:rFonts w:asciiTheme="minorHAnsi" w:eastAsiaTheme="minorEastAsia" w:hAnsiTheme="minorHAnsi"/>
              <w:noProof/>
              <w:sz w:val="22"/>
              <w:lang w:eastAsia="fr-FR"/>
            </w:rPr>
          </w:pPr>
          <w:hyperlink w:anchor="_Toc201856055" w:history="1">
            <w:r w:rsidR="00011CED" w:rsidRPr="009824D5">
              <w:rPr>
                <w:rStyle w:val="Lienhypertexte"/>
                <w:noProof/>
              </w:rPr>
              <w:t>6.1.2 Reporting et statistiques</w:t>
            </w:r>
            <w:r w:rsidR="00011CED">
              <w:rPr>
                <w:noProof/>
                <w:webHidden/>
              </w:rPr>
              <w:tab/>
            </w:r>
            <w:r w:rsidR="00011CED">
              <w:rPr>
                <w:noProof/>
                <w:webHidden/>
              </w:rPr>
              <w:fldChar w:fldCharType="begin"/>
            </w:r>
            <w:r w:rsidR="00011CED">
              <w:rPr>
                <w:noProof/>
                <w:webHidden/>
              </w:rPr>
              <w:instrText xml:space="preserve"> PAGEREF _Toc201856055 \h </w:instrText>
            </w:r>
            <w:r w:rsidR="00011CED">
              <w:rPr>
                <w:noProof/>
                <w:webHidden/>
              </w:rPr>
            </w:r>
            <w:r w:rsidR="00011CED">
              <w:rPr>
                <w:noProof/>
                <w:webHidden/>
              </w:rPr>
              <w:fldChar w:fldCharType="separate"/>
            </w:r>
            <w:r w:rsidR="00011CED">
              <w:rPr>
                <w:noProof/>
                <w:webHidden/>
              </w:rPr>
              <w:t>18</w:t>
            </w:r>
            <w:r w:rsidR="00011CED">
              <w:rPr>
                <w:noProof/>
                <w:webHidden/>
              </w:rPr>
              <w:fldChar w:fldCharType="end"/>
            </w:r>
          </w:hyperlink>
        </w:p>
        <w:p w14:paraId="5E90BA4F" w14:textId="1E33C044" w:rsidR="00011CED" w:rsidRDefault="00436F0B">
          <w:pPr>
            <w:pStyle w:val="TM3"/>
            <w:rPr>
              <w:rFonts w:asciiTheme="minorHAnsi" w:eastAsiaTheme="minorEastAsia" w:hAnsiTheme="minorHAnsi"/>
              <w:noProof/>
              <w:sz w:val="22"/>
              <w:lang w:eastAsia="fr-FR"/>
            </w:rPr>
          </w:pPr>
          <w:hyperlink w:anchor="_Toc201856056" w:history="1">
            <w:r w:rsidR="00011CED" w:rsidRPr="009824D5">
              <w:rPr>
                <w:rStyle w:val="Lienhypertexte"/>
                <w:noProof/>
              </w:rPr>
              <w:t>6.1.3 Assistance technique</w:t>
            </w:r>
            <w:r w:rsidR="00011CED">
              <w:rPr>
                <w:noProof/>
                <w:webHidden/>
              </w:rPr>
              <w:tab/>
            </w:r>
            <w:r w:rsidR="00011CED">
              <w:rPr>
                <w:noProof/>
                <w:webHidden/>
              </w:rPr>
              <w:fldChar w:fldCharType="begin"/>
            </w:r>
            <w:r w:rsidR="00011CED">
              <w:rPr>
                <w:noProof/>
                <w:webHidden/>
              </w:rPr>
              <w:instrText xml:space="preserve"> PAGEREF _Toc201856056 \h </w:instrText>
            </w:r>
            <w:r w:rsidR="00011CED">
              <w:rPr>
                <w:noProof/>
                <w:webHidden/>
              </w:rPr>
            </w:r>
            <w:r w:rsidR="00011CED">
              <w:rPr>
                <w:noProof/>
                <w:webHidden/>
              </w:rPr>
              <w:fldChar w:fldCharType="separate"/>
            </w:r>
            <w:r w:rsidR="00011CED">
              <w:rPr>
                <w:noProof/>
                <w:webHidden/>
              </w:rPr>
              <w:t>18</w:t>
            </w:r>
            <w:r w:rsidR="00011CED">
              <w:rPr>
                <w:noProof/>
                <w:webHidden/>
              </w:rPr>
              <w:fldChar w:fldCharType="end"/>
            </w:r>
          </w:hyperlink>
        </w:p>
        <w:p w14:paraId="71485053" w14:textId="413C79D9" w:rsidR="00011CED" w:rsidRDefault="00436F0B">
          <w:pPr>
            <w:pStyle w:val="TM3"/>
            <w:rPr>
              <w:rFonts w:asciiTheme="minorHAnsi" w:eastAsiaTheme="minorEastAsia" w:hAnsiTheme="minorHAnsi"/>
              <w:noProof/>
              <w:sz w:val="22"/>
              <w:lang w:eastAsia="fr-FR"/>
            </w:rPr>
          </w:pPr>
          <w:hyperlink w:anchor="_Toc201856057" w:history="1">
            <w:r w:rsidR="00011CED" w:rsidRPr="009824D5">
              <w:rPr>
                <w:rStyle w:val="Lienhypertexte"/>
                <w:noProof/>
              </w:rPr>
              <w:t>6.1.4 Service d’opposition</w:t>
            </w:r>
            <w:r w:rsidR="00011CED">
              <w:rPr>
                <w:noProof/>
                <w:webHidden/>
              </w:rPr>
              <w:tab/>
            </w:r>
            <w:r w:rsidR="00011CED">
              <w:rPr>
                <w:noProof/>
                <w:webHidden/>
              </w:rPr>
              <w:fldChar w:fldCharType="begin"/>
            </w:r>
            <w:r w:rsidR="00011CED">
              <w:rPr>
                <w:noProof/>
                <w:webHidden/>
              </w:rPr>
              <w:instrText xml:space="preserve"> PAGEREF _Toc201856057 \h </w:instrText>
            </w:r>
            <w:r w:rsidR="00011CED">
              <w:rPr>
                <w:noProof/>
                <w:webHidden/>
              </w:rPr>
            </w:r>
            <w:r w:rsidR="00011CED">
              <w:rPr>
                <w:noProof/>
                <w:webHidden/>
              </w:rPr>
              <w:fldChar w:fldCharType="separate"/>
            </w:r>
            <w:r w:rsidR="00011CED">
              <w:rPr>
                <w:noProof/>
                <w:webHidden/>
              </w:rPr>
              <w:t>18</w:t>
            </w:r>
            <w:r w:rsidR="00011CED">
              <w:rPr>
                <w:noProof/>
                <w:webHidden/>
              </w:rPr>
              <w:fldChar w:fldCharType="end"/>
            </w:r>
          </w:hyperlink>
        </w:p>
        <w:p w14:paraId="7E3E6201" w14:textId="5F5F54FA" w:rsidR="00011CED" w:rsidRDefault="00436F0B">
          <w:pPr>
            <w:pStyle w:val="TM3"/>
            <w:rPr>
              <w:rFonts w:asciiTheme="minorHAnsi" w:eastAsiaTheme="minorEastAsia" w:hAnsiTheme="minorHAnsi"/>
              <w:noProof/>
              <w:sz w:val="22"/>
              <w:lang w:eastAsia="fr-FR"/>
            </w:rPr>
          </w:pPr>
          <w:hyperlink w:anchor="_Toc201856058" w:history="1">
            <w:r w:rsidR="00011CED" w:rsidRPr="009824D5">
              <w:rPr>
                <w:rStyle w:val="Lienhypertexte"/>
                <w:noProof/>
              </w:rPr>
              <w:t>6.1.5 Traitement et gestion des litiges</w:t>
            </w:r>
            <w:r w:rsidR="00011CED">
              <w:rPr>
                <w:noProof/>
                <w:webHidden/>
              </w:rPr>
              <w:tab/>
            </w:r>
            <w:r w:rsidR="00011CED">
              <w:rPr>
                <w:noProof/>
                <w:webHidden/>
              </w:rPr>
              <w:fldChar w:fldCharType="begin"/>
            </w:r>
            <w:r w:rsidR="00011CED">
              <w:rPr>
                <w:noProof/>
                <w:webHidden/>
              </w:rPr>
              <w:instrText xml:space="preserve"> PAGEREF _Toc201856058 \h </w:instrText>
            </w:r>
            <w:r w:rsidR="00011CED">
              <w:rPr>
                <w:noProof/>
                <w:webHidden/>
              </w:rPr>
            </w:r>
            <w:r w:rsidR="00011CED">
              <w:rPr>
                <w:noProof/>
                <w:webHidden/>
              </w:rPr>
              <w:fldChar w:fldCharType="separate"/>
            </w:r>
            <w:r w:rsidR="00011CED">
              <w:rPr>
                <w:noProof/>
                <w:webHidden/>
              </w:rPr>
              <w:t>18</w:t>
            </w:r>
            <w:r w:rsidR="00011CED">
              <w:rPr>
                <w:noProof/>
                <w:webHidden/>
              </w:rPr>
              <w:fldChar w:fldCharType="end"/>
            </w:r>
          </w:hyperlink>
        </w:p>
        <w:p w14:paraId="3A42C942" w14:textId="50B1D81F" w:rsidR="00011CED" w:rsidRDefault="00436F0B">
          <w:pPr>
            <w:pStyle w:val="TM2"/>
            <w:tabs>
              <w:tab w:val="right" w:leader="dot" w:pos="9062"/>
            </w:tabs>
            <w:rPr>
              <w:rFonts w:asciiTheme="minorHAnsi" w:eastAsiaTheme="minorEastAsia" w:hAnsiTheme="minorHAnsi"/>
              <w:noProof/>
              <w:sz w:val="22"/>
              <w:lang w:eastAsia="fr-FR"/>
            </w:rPr>
          </w:pPr>
          <w:hyperlink w:anchor="_Toc201856059" w:history="1">
            <w:r w:rsidR="00011CED" w:rsidRPr="009824D5">
              <w:rPr>
                <w:rStyle w:val="Lienhypertexte"/>
                <w:noProof/>
              </w:rPr>
              <w:t>6.2 Formations et supports pédagogiques</w:t>
            </w:r>
            <w:r w:rsidR="00011CED">
              <w:rPr>
                <w:noProof/>
                <w:webHidden/>
              </w:rPr>
              <w:tab/>
            </w:r>
            <w:r w:rsidR="00011CED">
              <w:rPr>
                <w:noProof/>
                <w:webHidden/>
              </w:rPr>
              <w:fldChar w:fldCharType="begin"/>
            </w:r>
            <w:r w:rsidR="00011CED">
              <w:rPr>
                <w:noProof/>
                <w:webHidden/>
              </w:rPr>
              <w:instrText xml:space="preserve"> PAGEREF _Toc201856059 \h </w:instrText>
            </w:r>
            <w:r w:rsidR="00011CED">
              <w:rPr>
                <w:noProof/>
                <w:webHidden/>
              </w:rPr>
            </w:r>
            <w:r w:rsidR="00011CED">
              <w:rPr>
                <w:noProof/>
                <w:webHidden/>
              </w:rPr>
              <w:fldChar w:fldCharType="separate"/>
            </w:r>
            <w:r w:rsidR="00011CED">
              <w:rPr>
                <w:noProof/>
                <w:webHidden/>
              </w:rPr>
              <w:t>19</w:t>
            </w:r>
            <w:r w:rsidR="00011CED">
              <w:rPr>
                <w:noProof/>
                <w:webHidden/>
              </w:rPr>
              <w:fldChar w:fldCharType="end"/>
            </w:r>
          </w:hyperlink>
        </w:p>
        <w:p w14:paraId="2F2FBD6C" w14:textId="19E13C33" w:rsidR="00011CED" w:rsidRDefault="00436F0B">
          <w:pPr>
            <w:pStyle w:val="TM3"/>
            <w:rPr>
              <w:rFonts w:asciiTheme="minorHAnsi" w:eastAsiaTheme="minorEastAsia" w:hAnsiTheme="minorHAnsi"/>
              <w:noProof/>
              <w:sz w:val="22"/>
              <w:lang w:eastAsia="fr-FR"/>
            </w:rPr>
          </w:pPr>
          <w:hyperlink w:anchor="_Toc201856060" w:history="1">
            <w:r w:rsidR="00011CED" w:rsidRPr="009824D5">
              <w:rPr>
                <w:rStyle w:val="Lienhypertexte"/>
                <w:noProof/>
              </w:rPr>
              <w:t>6.2.1 Formations</w:t>
            </w:r>
            <w:r w:rsidR="00011CED">
              <w:rPr>
                <w:noProof/>
                <w:webHidden/>
              </w:rPr>
              <w:tab/>
            </w:r>
            <w:r w:rsidR="00011CED">
              <w:rPr>
                <w:noProof/>
                <w:webHidden/>
              </w:rPr>
              <w:fldChar w:fldCharType="begin"/>
            </w:r>
            <w:r w:rsidR="00011CED">
              <w:rPr>
                <w:noProof/>
                <w:webHidden/>
              </w:rPr>
              <w:instrText xml:space="preserve"> PAGEREF _Toc201856060 \h </w:instrText>
            </w:r>
            <w:r w:rsidR="00011CED">
              <w:rPr>
                <w:noProof/>
                <w:webHidden/>
              </w:rPr>
            </w:r>
            <w:r w:rsidR="00011CED">
              <w:rPr>
                <w:noProof/>
                <w:webHidden/>
              </w:rPr>
              <w:fldChar w:fldCharType="separate"/>
            </w:r>
            <w:r w:rsidR="00011CED">
              <w:rPr>
                <w:noProof/>
                <w:webHidden/>
              </w:rPr>
              <w:t>19</w:t>
            </w:r>
            <w:r w:rsidR="00011CED">
              <w:rPr>
                <w:noProof/>
                <w:webHidden/>
              </w:rPr>
              <w:fldChar w:fldCharType="end"/>
            </w:r>
          </w:hyperlink>
        </w:p>
        <w:p w14:paraId="5582A6E8" w14:textId="2E5ACEEC" w:rsidR="00011CED" w:rsidRDefault="00436F0B">
          <w:pPr>
            <w:pStyle w:val="TM3"/>
            <w:rPr>
              <w:rFonts w:asciiTheme="minorHAnsi" w:eastAsiaTheme="minorEastAsia" w:hAnsiTheme="minorHAnsi"/>
              <w:noProof/>
              <w:sz w:val="22"/>
              <w:lang w:eastAsia="fr-FR"/>
            </w:rPr>
          </w:pPr>
          <w:hyperlink w:anchor="_Toc201856061" w:history="1">
            <w:r w:rsidR="00011CED" w:rsidRPr="009824D5">
              <w:rPr>
                <w:rStyle w:val="Lienhypertexte"/>
                <w:noProof/>
              </w:rPr>
              <w:t>6.2.2 Supports pédagogiques</w:t>
            </w:r>
            <w:r w:rsidR="00011CED">
              <w:rPr>
                <w:noProof/>
                <w:webHidden/>
              </w:rPr>
              <w:tab/>
            </w:r>
            <w:r w:rsidR="00011CED">
              <w:rPr>
                <w:noProof/>
                <w:webHidden/>
              </w:rPr>
              <w:fldChar w:fldCharType="begin"/>
            </w:r>
            <w:r w:rsidR="00011CED">
              <w:rPr>
                <w:noProof/>
                <w:webHidden/>
              </w:rPr>
              <w:instrText xml:space="preserve"> PAGEREF _Toc201856061 \h </w:instrText>
            </w:r>
            <w:r w:rsidR="00011CED">
              <w:rPr>
                <w:noProof/>
                <w:webHidden/>
              </w:rPr>
            </w:r>
            <w:r w:rsidR="00011CED">
              <w:rPr>
                <w:noProof/>
                <w:webHidden/>
              </w:rPr>
              <w:fldChar w:fldCharType="separate"/>
            </w:r>
            <w:r w:rsidR="00011CED">
              <w:rPr>
                <w:noProof/>
                <w:webHidden/>
              </w:rPr>
              <w:t>19</w:t>
            </w:r>
            <w:r w:rsidR="00011CED">
              <w:rPr>
                <w:noProof/>
                <w:webHidden/>
              </w:rPr>
              <w:fldChar w:fldCharType="end"/>
            </w:r>
          </w:hyperlink>
        </w:p>
        <w:p w14:paraId="104A07D9" w14:textId="65032FDD" w:rsidR="00011CED" w:rsidRDefault="00436F0B">
          <w:pPr>
            <w:pStyle w:val="TM1"/>
            <w:tabs>
              <w:tab w:val="left" w:pos="708"/>
              <w:tab w:val="right" w:leader="dot" w:pos="9062"/>
            </w:tabs>
            <w:rPr>
              <w:rFonts w:asciiTheme="minorHAnsi" w:eastAsiaTheme="minorEastAsia" w:hAnsiTheme="minorHAnsi"/>
              <w:noProof/>
              <w:sz w:val="22"/>
              <w:lang w:eastAsia="fr-FR"/>
            </w:rPr>
          </w:pPr>
          <w:hyperlink w:anchor="_Toc201856062" w:history="1">
            <w:r w:rsidR="00011CED" w:rsidRPr="009824D5">
              <w:rPr>
                <w:rStyle w:val="Lienhypertexte"/>
                <w:noProof/>
                <w14:scene3d>
                  <w14:camera w14:prst="orthographicFront"/>
                  <w14:lightRig w14:rig="threePt" w14:dir="t">
                    <w14:rot w14:lat="0" w14:lon="0" w14:rev="0"/>
                  </w14:lightRig>
                </w14:scene3d>
              </w:rPr>
              <w:t>7</w:t>
            </w:r>
            <w:r w:rsidR="00011CED" w:rsidRPr="009824D5">
              <w:rPr>
                <w:rStyle w:val="Lienhypertexte"/>
                <w:noProof/>
              </w:rPr>
              <w:t xml:space="preserve"> Pilotage contractuel</w:t>
            </w:r>
            <w:r w:rsidR="00011CED">
              <w:rPr>
                <w:noProof/>
                <w:webHidden/>
              </w:rPr>
              <w:tab/>
            </w:r>
            <w:r w:rsidR="00011CED">
              <w:rPr>
                <w:noProof/>
                <w:webHidden/>
              </w:rPr>
              <w:fldChar w:fldCharType="begin"/>
            </w:r>
            <w:r w:rsidR="00011CED">
              <w:rPr>
                <w:noProof/>
                <w:webHidden/>
              </w:rPr>
              <w:instrText xml:space="preserve"> PAGEREF _Toc201856062 \h </w:instrText>
            </w:r>
            <w:r w:rsidR="00011CED">
              <w:rPr>
                <w:noProof/>
                <w:webHidden/>
              </w:rPr>
            </w:r>
            <w:r w:rsidR="00011CED">
              <w:rPr>
                <w:noProof/>
                <w:webHidden/>
              </w:rPr>
              <w:fldChar w:fldCharType="separate"/>
            </w:r>
            <w:r w:rsidR="00011CED">
              <w:rPr>
                <w:noProof/>
                <w:webHidden/>
              </w:rPr>
              <w:t>20</w:t>
            </w:r>
            <w:r w:rsidR="00011CED">
              <w:rPr>
                <w:noProof/>
                <w:webHidden/>
              </w:rPr>
              <w:fldChar w:fldCharType="end"/>
            </w:r>
          </w:hyperlink>
        </w:p>
        <w:p w14:paraId="031BC316" w14:textId="05293C68" w:rsidR="00011CED" w:rsidRDefault="00436F0B">
          <w:pPr>
            <w:pStyle w:val="TM2"/>
            <w:tabs>
              <w:tab w:val="right" w:leader="dot" w:pos="9062"/>
            </w:tabs>
            <w:rPr>
              <w:rFonts w:asciiTheme="minorHAnsi" w:eastAsiaTheme="minorEastAsia" w:hAnsiTheme="minorHAnsi"/>
              <w:noProof/>
              <w:sz w:val="22"/>
              <w:lang w:eastAsia="fr-FR"/>
            </w:rPr>
          </w:pPr>
          <w:hyperlink w:anchor="_Toc201856063" w:history="1">
            <w:r w:rsidR="00011CED" w:rsidRPr="009824D5">
              <w:rPr>
                <w:rStyle w:val="Lienhypertexte"/>
                <w:noProof/>
              </w:rPr>
              <w:t>7.1 Phase de lancement</w:t>
            </w:r>
            <w:r w:rsidR="00011CED">
              <w:rPr>
                <w:noProof/>
                <w:webHidden/>
              </w:rPr>
              <w:tab/>
            </w:r>
            <w:r w:rsidR="00011CED">
              <w:rPr>
                <w:noProof/>
                <w:webHidden/>
              </w:rPr>
              <w:fldChar w:fldCharType="begin"/>
            </w:r>
            <w:r w:rsidR="00011CED">
              <w:rPr>
                <w:noProof/>
                <w:webHidden/>
              </w:rPr>
              <w:instrText xml:space="preserve"> PAGEREF _Toc201856063 \h </w:instrText>
            </w:r>
            <w:r w:rsidR="00011CED">
              <w:rPr>
                <w:noProof/>
                <w:webHidden/>
              </w:rPr>
            </w:r>
            <w:r w:rsidR="00011CED">
              <w:rPr>
                <w:noProof/>
                <w:webHidden/>
              </w:rPr>
              <w:fldChar w:fldCharType="separate"/>
            </w:r>
            <w:r w:rsidR="00011CED">
              <w:rPr>
                <w:noProof/>
                <w:webHidden/>
              </w:rPr>
              <w:t>20</w:t>
            </w:r>
            <w:r w:rsidR="00011CED">
              <w:rPr>
                <w:noProof/>
                <w:webHidden/>
              </w:rPr>
              <w:fldChar w:fldCharType="end"/>
            </w:r>
          </w:hyperlink>
        </w:p>
        <w:p w14:paraId="5B17DFC2" w14:textId="649FB973" w:rsidR="00011CED" w:rsidRDefault="00436F0B">
          <w:pPr>
            <w:pStyle w:val="TM2"/>
            <w:tabs>
              <w:tab w:val="right" w:leader="dot" w:pos="9062"/>
            </w:tabs>
            <w:rPr>
              <w:rFonts w:asciiTheme="minorHAnsi" w:eastAsiaTheme="minorEastAsia" w:hAnsiTheme="minorHAnsi"/>
              <w:noProof/>
              <w:sz w:val="22"/>
              <w:lang w:eastAsia="fr-FR"/>
            </w:rPr>
          </w:pPr>
          <w:hyperlink w:anchor="_Toc201856064" w:history="1">
            <w:r w:rsidR="00011CED" w:rsidRPr="009824D5">
              <w:rPr>
                <w:rStyle w:val="Lienhypertexte"/>
                <w:noProof/>
              </w:rPr>
              <w:t>7. 2 Suivi après déploiement</w:t>
            </w:r>
            <w:r w:rsidR="00011CED">
              <w:rPr>
                <w:noProof/>
                <w:webHidden/>
              </w:rPr>
              <w:tab/>
            </w:r>
            <w:r w:rsidR="00011CED">
              <w:rPr>
                <w:noProof/>
                <w:webHidden/>
              </w:rPr>
              <w:fldChar w:fldCharType="begin"/>
            </w:r>
            <w:r w:rsidR="00011CED">
              <w:rPr>
                <w:noProof/>
                <w:webHidden/>
              </w:rPr>
              <w:instrText xml:space="preserve"> PAGEREF _Toc201856064 \h </w:instrText>
            </w:r>
            <w:r w:rsidR="00011CED">
              <w:rPr>
                <w:noProof/>
                <w:webHidden/>
              </w:rPr>
            </w:r>
            <w:r w:rsidR="00011CED">
              <w:rPr>
                <w:noProof/>
                <w:webHidden/>
              </w:rPr>
              <w:fldChar w:fldCharType="separate"/>
            </w:r>
            <w:r w:rsidR="00011CED">
              <w:rPr>
                <w:noProof/>
                <w:webHidden/>
              </w:rPr>
              <w:t>20</w:t>
            </w:r>
            <w:r w:rsidR="00011CED">
              <w:rPr>
                <w:noProof/>
                <w:webHidden/>
              </w:rPr>
              <w:fldChar w:fldCharType="end"/>
            </w:r>
          </w:hyperlink>
        </w:p>
        <w:p w14:paraId="3DEFFB3B" w14:textId="236D266A" w:rsidR="00011CED" w:rsidRDefault="00436F0B">
          <w:pPr>
            <w:pStyle w:val="TM2"/>
            <w:tabs>
              <w:tab w:val="right" w:leader="dot" w:pos="9062"/>
            </w:tabs>
            <w:rPr>
              <w:rFonts w:asciiTheme="minorHAnsi" w:eastAsiaTheme="minorEastAsia" w:hAnsiTheme="minorHAnsi"/>
              <w:noProof/>
              <w:sz w:val="22"/>
              <w:lang w:eastAsia="fr-FR"/>
            </w:rPr>
          </w:pPr>
          <w:hyperlink w:anchor="_Toc201856065" w:history="1">
            <w:r w:rsidR="00011CED" w:rsidRPr="009824D5">
              <w:rPr>
                <w:rStyle w:val="Lienhypertexte"/>
                <w:noProof/>
              </w:rPr>
              <w:t>7.3 Suivi du SLA et des indicateurs</w:t>
            </w:r>
            <w:r w:rsidR="00011CED">
              <w:rPr>
                <w:noProof/>
                <w:webHidden/>
              </w:rPr>
              <w:tab/>
            </w:r>
            <w:r w:rsidR="00011CED">
              <w:rPr>
                <w:noProof/>
                <w:webHidden/>
              </w:rPr>
              <w:fldChar w:fldCharType="begin"/>
            </w:r>
            <w:r w:rsidR="00011CED">
              <w:rPr>
                <w:noProof/>
                <w:webHidden/>
              </w:rPr>
              <w:instrText xml:space="preserve"> PAGEREF _Toc201856065 \h </w:instrText>
            </w:r>
            <w:r w:rsidR="00011CED">
              <w:rPr>
                <w:noProof/>
                <w:webHidden/>
              </w:rPr>
            </w:r>
            <w:r w:rsidR="00011CED">
              <w:rPr>
                <w:noProof/>
                <w:webHidden/>
              </w:rPr>
              <w:fldChar w:fldCharType="separate"/>
            </w:r>
            <w:r w:rsidR="00011CED">
              <w:rPr>
                <w:noProof/>
                <w:webHidden/>
              </w:rPr>
              <w:t>20</w:t>
            </w:r>
            <w:r w:rsidR="00011CED">
              <w:rPr>
                <w:noProof/>
                <w:webHidden/>
              </w:rPr>
              <w:fldChar w:fldCharType="end"/>
            </w:r>
          </w:hyperlink>
        </w:p>
        <w:p w14:paraId="3A85EA8A" w14:textId="33E443C1" w:rsidR="00011CED" w:rsidRDefault="00436F0B">
          <w:pPr>
            <w:pStyle w:val="TM2"/>
            <w:tabs>
              <w:tab w:val="right" w:leader="dot" w:pos="9062"/>
            </w:tabs>
            <w:rPr>
              <w:rFonts w:asciiTheme="minorHAnsi" w:eastAsiaTheme="minorEastAsia" w:hAnsiTheme="minorHAnsi"/>
              <w:noProof/>
              <w:sz w:val="22"/>
              <w:lang w:eastAsia="fr-FR"/>
            </w:rPr>
          </w:pPr>
          <w:hyperlink w:anchor="_Toc201856066" w:history="1">
            <w:r w:rsidR="00011CED" w:rsidRPr="009824D5">
              <w:rPr>
                <w:rStyle w:val="Lienhypertexte"/>
                <w:noProof/>
              </w:rPr>
              <w:t>7.4 Comité contractuel</w:t>
            </w:r>
            <w:r w:rsidR="00011CED">
              <w:rPr>
                <w:noProof/>
                <w:webHidden/>
              </w:rPr>
              <w:tab/>
            </w:r>
            <w:r w:rsidR="00011CED">
              <w:rPr>
                <w:noProof/>
                <w:webHidden/>
              </w:rPr>
              <w:fldChar w:fldCharType="begin"/>
            </w:r>
            <w:r w:rsidR="00011CED">
              <w:rPr>
                <w:noProof/>
                <w:webHidden/>
              </w:rPr>
              <w:instrText xml:space="preserve"> PAGEREF _Toc201856066 \h </w:instrText>
            </w:r>
            <w:r w:rsidR="00011CED">
              <w:rPr>
                <w:noProof/>
                <w:webHidden/>
              </w:rPr>
            </w:r>
            <w:r w:rsidR="00011CED">
              <w:rPr>
                <w:noProof/>
                <w:webHidden/>
              </w:rPr>
              <w:fldChar w:fldCharType="separate"/>
            </w:r>
            <w:r w:rsidR="00011CED">
              <w:rPr>
                <w:noProof/>
                <w:webHidden/>
              </w:rPr>
              <w:t>21</w:t>
            </w:r>
            <w:r w:rsidR="00011CED">
              <w:rPr>
                <w:noProof/>
                <w:webHidden/>
              </w:rPr>
              <w:fldChar w:fldCharType="end"/>
            </w:r>
          </w:hyperlink>
        </w:p>
        <w:p w14:paraId="3E837D62" w14:textId="6DC7722A" w:rsidR="00011CED" w:rsidRDefault="00436F0B">
          <w:pPr>
            <w:pStyle w:val="TM1"/>
            <w:tabs>
              <w:tab w:val="left" w:pos="708"/>
              <w:tab w:val="right" w:leader="dot" w:pos="9062"/>
            </w:tabs>
            <w:rPr>
              <w:rFonts w:asciiTheme="minorHAnsi" w:eastAsiaTheme="minorEastAsia" w:hAnsiTheme="minorHAnsi"/>
              <w:noProof/>
              <w:sz w:val="22"/>
              <w:lang w:eastAsia="fr-FR"/>
            </w:rPr>
          </w:pPr>
          <w:hyperlink w:anchor="_Toc201856067" w:history="1">
            <w:r w:rsidR="00011CED" w:rsidRPr="009824D5">
              <w:rPr>
                <w:rStyle w:val="Lienhypertexte"/>
                <w:noProof/>
                <w14:scene3d>
                  <w14:camera w14:prst="orthographicFront"/>
                  <w14:lightRig w14:rig="threePt" w14:dir="t">
                    <w14:rot w14:lat="0" w14:lon="0" w14:rev="0"/>
                  </w14:lightRig>
                </w14:scene3d>
              </w:rPr>
              <w:t>8</w:t>
            </w:r>
            <w:r w:rsidR="00011CED">
              <w:rPr>
                <w:rStyle w:val="Lienhypertexte"/>
                <w:noProof/>
                <w14:scene3d>
                  <w14:camera w14:prst="orthographicFront"/>
                  <w14:lightRig w14:rig="threePt" w14:dir="t">
                    <w14:rot w14:lat="0" w14:lon="0" w14:rev="0"/>
                  </w14:lightRig>
                </w14:scene3d>
              </w:rPr>
              <w:t xml:space="preserve"> </w:t>
            </w:r>
            <w:r w:rsidR="00011CED" w:rsidRPr="009824D5">
              <w:rPr>
                <w:rStyle w:val="Lienhypertexte"/>
                <w:noProof/>
              </w:rPr>
              <w:t>Réversibilité des données</w:t>
            </w:r>
            <w:r w:rsidR="00011CED">
              <w:rPr>
                <w:noProof/>
                <w:webHidden/>
              </w:rPr>
              <w:tab/>
            </w:r>
            <w:r w:rsidR="00011CED">
              <w:rPr>
                <w:noProof/>
                <w:webHidden/>
              </w:rPr>
              <w:fldChar w:fldCharType="begin"/>
            </w:r>
            <w:r w:rsidR="00011CED">
              <w:rPr>
                <w:noProof/>
                <w:webHidden/>
              </w:rPr>
              <w:instrText xml:space="preserve"> PAGEREF _Toc201856067 \h </w:instrText>
            </w:r>
            <w:r w:rsidR="00011CED">
              <w:rPr>
                <w:noProof/>
                <w:webHidden/>
              </w:rPr>
            </w:r>
            <w:r w:rsidR="00011CED">
              <w:rPr>
                <w:noProof/>
                <w:webHidden/>
              </w:rPr>
              <w:fldChar w:fldCharType="separate"/>
            </w:r>
            <w:r w:rsidR="00011CED">
              <w:rPr>
                <w:noProof/>
                <w:webHidden/>
              </w:rPr>
              <w:t>21</w:t>
            </w:r>
            <w:r w:rsidR="00011CED">
              <w:rPr>
                <w:noProof/>
                <w:webHidden/>
              </w:rPr>
              <w:fldChar w:fldCharType="end"/>
            </w:r>
          </w:hyperlink>
        </w:p>
        <w:p w14:paraId="556DFCDB" w14:textId="05C1F95B" w:rsidR="00011CED" w:rsidRDefault="00436F0B">
          <w:pPr>
            <w:pStyle w:val="TM1"/>
            <w:tabs>
              <w:tab w:val="right" w:leader="dot" w:pos="9062"/>
            </w:tabs>
            <w:rPr>
              <w:rFonts w:asciiTheme="minorHAnsi" w:eastAsiaTheme="minorEastAsia" w:hAnsiTheme="minorHAnsi"/>
              <w:noProof/>
              <w:sz w:val="22"/>
              <w:lang w:eastAsia="fr-FR"/>
            </w:rPr>
          </w:pPr>
          <w:hyperlink w:anchor="_Toc201856068" w:history="1">
            <w:r w:rsidR="00011CED" w:rsidRPr="009824D5">
              <w:rPr>
                <w:rStyle w:val="Lienhypertexte"/>
                <w:noProof/>
              </w:rPr>
              <w:t>Annexes</w:t>
            </w:r>
            <w:r w:rsidR="00011CED">
              <w:rPr>
                <w:noProof/>
                <w:webHidden/>
              </w:rPr>
              <w:tab/>
            </w:r>
            <w:r w:rsidR="00011CED">
              <w:rPr>
                <w:noProof/>
                <w:webHidden/>
              </w:rPr>
              <w:fldChar w:fldCharType="begin"/>
            </w:r>
            <w:r w:rsidR="00011CED">
              <w:rPr>
                <w:noProof/>
                <w:webHidden/>
              </w:rPr>
              <w:instrText xml:space="preserve"> PAGEREF _Toc201856068 \h </w:instrText>
            </w:r>
            <w:r w:rsidR="00011CED">
              <w:rPr>
                <w:noProof/>
                <w:webHidden/>
              </w:rPr>
            </w:r>
            <w:r w:rsidR="00011CED">
              <w:rPr>
                <w:noProof/>
                <w:webHidden/>
              </w:rPr>
              <w:fldChar w:fldCharType="separate"/>
            </w:r>
            <w:r w:rsidR="00011CED">
              <w:rPr>
                <w:noProof/>
                <w:webHidden/>
              </w:rPr>
              <w:t>22</w:t>
            </w:r>
            <w:r w:rsidR="00011CED">
              <w:rPr>
                <w:noProof/>
                <w:webHidden/>
              </w:rPr>
              <w:fldChar w:fldCharType="end"/>
            </w:r>
          </w:hyperlink>
        </w:p>
        <w:p w14:paraId="778A38BE" w14:textId="57F5264A" w:rsidR="00011CED" w:rsidRDefault="00436F0B">
          <w:pPr>
            <w:pStyle w:val="TM2"/>
            <w:tabs>
              <w:tab w:val="right" w:leader="dot" w:pos="9062"/>
            </w:tabs>
            <w:rPr>
              <w:rFonts w:asciiTheme="minorHAnsi" w:eastAsiaTheme="minorEastAsia" w:hAnsiTheme="minorHAnsi"/>
              <w:noProof/>
              <w:sz w:val="22"/>
              <w:lang w:eastAsia="fr-FR"/>
            </w:rPr>
          </w:pPr>
          <w:hyperlink w:anchor="_Toc201856069" w:history="1">
            <w:r w:rsidR="00011CED" w:rsidRPr="009824D5">
              <w:rPr>
                <w:rStyle w:val="Lienhypertexte"/>
                <w:noProof/>
              </w:rPr>
              <w:t>Dépenses payées par carte achat par centre en 2024</w:t>
            </w:r>
            <w:r w:rsidR="00011CED">
              <w:rPr>
                <w:noProof/>
                <w:webHidden/>
              </w:rPr>
              <w:tab/>
            </w:r>
            <w:r w:rsidR="00011CED">
              <w:rPr>
                <w:noProof/>
                <w:webHidden/>
              </w:rPr>
              <w:fldChar w:fldCharType="begin"/>
            </w:r>
            <w:r w:rsidR="00011CED">
              <w:rPr>
                <w:noProof/>
                <w:webHidden/>
              </w:rPr>
              <w:instrText xml:space="preserve"> PAGEREF _Toc201856069 \h </w:instrText>
            </w:r>
            <w:r w:rsidR="00011CED">
              <w:rPr>
                <w:noProof/>
                <w:webHidden/>
              </w:rPr>
            </w:r>
            <w:r w:rsidR="00011CED">
              <w:rPr>
                <w:noProof/>
                <w:webHidden/>
              </w:rPr>
              <w:fldChar w:fldCharType="separate"/>
            </w:r>
            <w:r w:rsidR="00011CED">
              <w:rPr>
                <w:noProof/>
                <w:webHidden/>
              </w:rPr>
              <w:t>22</w:t>
            </w:r>
            <w:r w:rsidR="00011CED">
              <w:rPr>
                <w:noProof/>
                <w:webHidden/>
              </w:rPr>
              <w:fldChar w:fldCharType="end"/>
            </w:r>
          </w:hyperlink>
        </w:p>
        <w:p w14:paraId="0CAFD367" w14:textId="57D2CE2D" w:rsidR="00011CED" w:rsidRDefault="00436F0B">
          <w:pPr>
            <w:pStyle w:val="TM2"/>
            <w:tabs>
              <w:tab w:val="right" w:leader="dot" w:pos="9062"/>
            </w:tabs>
            <w:rPr>
              <w:rFonts w:asciiTheme="minorHAnsi" w:eastAsiaTheme="minorEastAsia" w:hAnsiTheme="minorHAnsi"/>
              <w:noProof/>
              <w:sz w:val="22"/>
              <w:lang w:eastAsia="fr-FR"/>
            </w:rPr>
          </w:pPr>
          <w:hyperlink w:anchor="_Toc201856070" w:history="1">
            <w:r w:rsidR="00011CED" w:rsidRPr="009824D5">
              <w:rPr>
                <w:rStyle w:val="Lienhypertexte"/>
                <w:noProof/>
              </w:rPr>
              <w:t>Répartition des dépenses payées par carte achat par nature de dépenses en 2024</w:t>
            </w:r>
            <w:r w:rsidR="00011CED">
              <w:rPr>
                <w:noProof/>
                <w:webHidden/>
              </w:rPr>
              <w:tab/>
            </w:r>
            <w:r w:rsidR="00011CED">
              <w:rPr>
                <w:noProof/>
                <w:webHidden/>
              </w:rPr>
              <w:fldChar w:fldCharType="begin"/>
            </w:r>
            <w:r w:rsidR="00011CED">
              <w:rPr>
                <w:noProof/>
                <w:webHidden/>
              </w:rPr>
              <w:instrText xml:space="preserve"> PAGEREF _Toc201856070 \h </w:instrText>
            </w:r>
            <w:r w:rsidR="00011CED">
              <w:rPr>
                <w:noProof/>
                <w:webHidden/>
              </w:rPr>
            </w:r>
            <w:r w:rsidR="00011CED">
              <w:rPr>
                <w:noProof/>
                <w:webHidden/>
              </w:rPr>
              <w:fldChar w:fldCharType="separate"/>
            </w:r>
            <w:r w:rsidR="00011CED">
              <w:rPr>
                <w:noProof/>
                <w:webHidden/>
              </w:rPr>
              <w:t>23</w:t>
            </w:r>
            <w:r w:rsidR="00011CED">
              <w:rPr>
                <w:noProof/>
                <w:webHidden/>
              </w:rPr>
              <w:fldChar w:fldCharType="end"/>
            </w:r>
          </w:hyperlink>
        </w:p>
        <w:p w14:paraId="504DCBFE" w14:textId="7095439C" w:rsidR="00011CED" w:rsidRDefault="00436F0B">
          <w:pPr>
            <w:pStyle w:val="TM2"/>
            <w:tabs>
              <w:tab w:val="right" w:leader="dot" w:pos="9062"/>
            </w:tabs>
            <w:rPr>
              <w:rFonts w:asciiTheme="minorHAnsi" w:eastAsiaTheme="minorEastAsia" w:hAnsiTheme="minorHAnsi"/>
              <w:noProof/>
              <w:sz w:val="22"/>
              <w:lang w:eastAsia="fr-FR"/>
            </w:rPr>
          </w:pPr>
          <w:hyperlink w:anchor="_Toc201856071" w:history="1">
            <w:r w:rsidR="00011CED" w:rsidRPr="009824D5">
              <w:rPr>
                <w:rStyle w:val="Lienhypertexte"/>
                <w:noProof/>
              </w:rPr>
              <w:t>Répartition des dépenses payées par carte corporate par nature de prestation en 2024</w:t>
            </w:r>
            <w:r w:rsidR="00011CED">
              <w:rPr>
                <w:noProof/>
                <w:webHidden/>
              </w:rPr>
              <w:tab/>
            </w:r>
            <w:r w:rsidR="00011CED">
              <w:rPr>
                <w:noProof/>
                <w:webHidden/>
              </w:rPr>
              <w:fldChar w:fldCharType="begin"/>
            </w:r>
            <w:r w:rsidR="00011CED">
              <w:rPr>
                <w:noProof/>
                <w:webHidden/>
              </w:rPr>
              <w:instrText xml:space="preserve"> PAGEREF _Toc201856071 \h </w:instrText>
            </w:r>
            <w:r w:rsidR="00011CED">
              <w:rPr>
                <w:noProof/>
                <w:webHidden/>
              </w:rPr>
            </w:r>
            <w:r w:rsidR="00011CED">
              <w:rPr>
                <w:noProof/>
                <w:webHidden/>
              </w:rPr>
              <w:fldChar w:fldCharType="separate"/>
            </w:r>
            <w:r w:rsidR="00011CED">
              <w:rPr>
                <w:noProof/>
                <w:webHidden/>
              </w:rPr>
              <w:t>24</w:t>
            </w:r>
            <w:r w:rsidR="00011CED">
              <w:rPr>
                <w:noProof/>
                <w:webHidden/>
              </w:rPr>
              <w:fldChar w:fldCharType="end"/>
            </w:r>
          </w:hyperlink>
        </w:p>
        <w:p w14:paraId="68868988" w14:textId="1D0D9685" w:rsidR="003B7DDC" w:rsidRDefault="003B7DDC">
          <w:r>
            <w:rPr>
              <w:b/>
              <w:bCs/>
            </w:rPr>
            <w:fldChar w:fldCharType="end"/>
          </w:r>
        </w:p>
      </w:sdtContent>
    </w:sdt>
    <w:p w14:paraId="0CE16465" w14:textId="2F8067F6" w:rsidR="0010521B" w:rsidRDefault="008B61C8" w:rsidP="0010521B">
      <w:pPr>
        <w:pStyle w:val="Titre1"/>
      </w:pPr>
      <w:r>
        <w:br w:type="page"/>
      </w:r>
    </w:p>
    <w:p w14:paraId="1612FFDA" w14:textId="1799CF48" w:rsidR="00900797" w:rsidRDefault="00900797" w:rsidP="00900797">
      <w:pPr>
        <w:pStyle w:val="Titre1"/>
        <w:numPr>
          <w:ilvl w:val="0"/>
          <w:numId w:val="0"/>
        </w:numPr>
      </w:pPr>
      <w:bookmarkStart w:id="1" w:name="_Toc201856013"/>
      <w:r>
        <w:lastRenderedPageBreak/>
        <w:t>1 Objet de l’accord cadre</w:t>
      </w:r>
      <w:bookmarkEnd w:id="1"/>
      <w:r>
        <w:t xml:space="preserve"> </w:t>
      </w:r>
    </w:p>
    <w:p w14:paraId="71EE1B12" w14:textId="77777777" w:rsidR="00900797" w:rsidRDefault="00900797" w:rsidP="00900797"/>
    <w:p w14:paraId="3F3A038F" w14:textId="38FB0CD0" w:rsidR="00B44828" w:rsidRDefault="00900797" w:rsidP="00900797">
      <w:pPr>
        <w:rPr>
          <w:bCs/>
        </w:rPr>
      </w:pPr>
      <w:r w:rsidRPr="00B43182">
        <w:t>Le présent accord-cadre a pour objet</w:t>
      </w:r>
      <w:r w:rsidR="00AF343B">
        <w:t> </w:t>
      </w:r>
      <w:r w:rsidRPr="00B43182">
        <w:t xml:space="preserve">de doter les agents INRAE dûment habilités </w:t>
      </w:r>
      <w:r w:rsidR="003E67C0">
        <w:t xml:space="preserve">de </w:t>
      </w:r>
      <w:r w:rsidRPr="00B43182">
        <w:rPr>
          <w:b/>
          <w:bCs/>
        </w:rPr>
        <w:t>carte</w:t>
      </w:r>
      <w:r w:rsidR="003E67C0">
        <w:rPr>
          <w:b/>
          <w:bCs/>
        </w:rPr>
        <w:t>s</w:t>
      </w:r>
      <w:r w:rsidRPr="00B43182">
        <w:rPr>
          <w:b/>
          <w:bCs/>
        </w:rPr>
        <w:t xml:space="preserve"> achat</w:t>
      </w:r>
      <w:r w:rsidRPr="00B43182">
        <w:t xml:space="preserve"> et de </w:t>
      </w:r>
      <w:r w:rsidRPr="00B43182">
        <w:rPr>
          <w:b/>
          <w:bCs/>
        </w:rPr>
        <w:t>carte</w:t>
      </w:r>
      <w:r w:rsidR="003E67C0">
        <w:rPr>
          <w:b/>
          <w:bCs/>
        </w:rPr>
        <w:t>s</w:t>
      </w:r>
      <w:r>
        <w:rPr>
          <w:b/>
          <w:bCs/>
        </w:rPr>
        <w:t xml:space="preserve"> </w:t>
      </w:r>
      <w:proofErr w:type="spellStart"/>
      <w:r>
        <w:rPr>
          <w:b/>
          <w:bCs/>
        </w:rPr>
        <w:t>corporate</w:t>
      </w:r>
      <w:proofErr w:type="spellEnd"/>
      <w:r w:rsidR="00B44828" w:rsidRPr="00B44828">
        <w:rPr>
          <w:bCs/>
        </w:rPr>
        <w:t>.</w:t>
      </w:r>
    </w:p>
    <w:p w14:paraId="12275916" w14:textId="77777777" w:rsidR="003E67C0" w:rsidRDefault="003E67C0" w:rsidP="00900797"/>
    <w:p w14:paraId="01BBA392" w14:textId="5FACFA62" w:rsidR="00B44828" w:rsidRDefault="00B44828" w:rsidP="00B44828">
      <w:r w:rsidRPr="00B44828">
        <w:t>Il se décompose en 2 lots</w:t>
      </w:r>
      <w:r>
        <w:t> :</w:t>
      </w:r>
    </w:p>
    <w:p w14:paraId="0A0E5CCB" w14:textId="77777777" w:rsidR="000E5F02" w:rsidRDefault="000E5F02" w:rsidP="00B44828"/>
    <w:p w14:paraId="16389703" w14:textId="4B27F01B" w:rsidR="000E5F02" w:rsidRDefault="000E5F02" w:rsidP="00182679">
      <w:pPr>
        <w:pStyle w:val="Paragraphedeliste"/>
        <w:numPr>
          <w:ilvl w:val="0"/>
          <w:numId w:val="24"/>
        </w:numPr>
      </w:pPr>
      <w:r w:rsidRPr="000E5F02">
        <w:rPr>
          <w:b/>
        </w:rPr>
        <w:t>L</w:t>
      </w:r>
      <w:r w:rsidR="00B44828" w:rsidRPr="000E5F02">
        <w:rPr>
          <w:b/>
        </w:rPr>
        <w:t>ot 1 – Carte achat</w:t>
      </w:r>
      <w:r w:rsidRPr="000E5F02">
        <w:rPr>
          <w:b/>
        </w:rPr>
        <w:t> :</w:t>
      </w:r>
      <w:r>
        <w:t xml:space="preserve"> </w:t>
      </w:r>
    </w:p>
    <w:p w14:paraId="79EA47BD" w14:textId="1C3E0658" w:rsidR="003E67C0" w:rsidRDefault="000E5F02" w:rsidP="000E5F02">
      <w:pPr>
        <w:pStyle w:val="Paragraphedeliste"/>
        <w:ind w:left="720"/>
      </w:pPr>
      <w:r w:rsidRPr="000E5F02">
        <w:t>La carte achat est destinée au paiement de certaines dépenses courantes nécessaires au fonctionnement des unités d’INRAE. Ces dépenses sont liées aux achats de fournitures de proximité (fournitures courantes d’atelier, …) et à certains achats réalisés sur des sites internet sécurisés français et étrangers (inscriptions aux colloques, frais de publications, mise à jour de logiciels, …).</w:t>
      </w:r>
      <w:r w:rsidR="003820C5">
        <w:t xml:space="preserve"> La carte achat est adossée au compte de l’établissement.</w:t>
      </w:r>
    </w:p>
    <w:p w14:paraId="03DF37A2" w14:textId="77777777" w:rsidR="000E5F02" w:rsidRDefault="000E5F02" w:rsidP="000E5F02">
      <w:pPr>
        <w:pStyle w:val="Paragraphedeliste"/>
        <w:ind w:left="720"/>
      </w:pPr>
    </w:p>
    <w:p w14:paraId="74FE0123" w14:textId="1603120E" w:rsidR="003E67C0" w:rsidRPr="000E5F02" w:rsidRDefault="000E5F02" w:rsidP="00182679">
      <w:pPr>
        <w:pStyle w:val="Paragraphedeliste"/>
        <w:numPr>
          <w:ilvl w:val="0"/>
          <w:numId w:val="24"/>
        </w:numPr>
        <w:rPr>
          <w:b/>
        </w:rPr>
      </w:pPr>
      <w:r w:rsidRPr="000E5F02">
        <w:rPr>
          <w:b/>
        </w:rPr>
        <w:t>L</w:t>
      </w:r>
      <w:r w:rsidR="003E67C0" w:rsidRPr="000E5F02">
        <w:rPr>
          <w:b/>
        </w:rPr>
        <w:t xml:space="preserve">ot 2 – Carte </w:t>
      </w:r>
      <w:proofErr w:type="spellStart"/>
      <w:r w:rsidR="003E67C0" w:rsidRPr="000E5F02">
        <w:rPr>
          <w:b/>
        </w:rPr>
        <w:t>corporate</w:t>
      </w:r>
      <w:proofErr w:type="spellEnd"/>
      <w:r w:rsidRPr="000E5F02">
        <w:rPr>
          <w:b/>
        </w:rPr>
        <w:t> :</w:t>
      </w:r>
    </w:p>
    <w:p w14:paraId="0ED851EB" w14:textId="24293241" w:rsidR="000E5F02" w:rsidRDefault="000E5F02" w:rsidP="000E5F02">
      <w:pPr>
        <w:pStyle w:val="Paragraphedeliste"/>
        <w:ind w:left="720"/>
      </w:pPr>
      <w:r w:rsidRPr="000E5F02">
        <w:t xml:space="preserve">La carte </w:t>
      </w:r>
      <w:proofErr w:type="spellStart"/>
      <w:r>
        <w:t>corporate</w:t>
      </w:r>
      <w:proofErr w:type="spellEnd"/>
      <w:r w:rsidRPr="000E5F02">
        <w:t xml:space="preserve"> est destinée au paiement des frais engagés par les agents au cours de leurs </w:t>
      </w:r>
      <w:r>
        <w:t>déplacement</w:t>
      </w:r>
      <w:r w:rsidRPr="000E5F02">
        <w:t>s professionnels (restaurant, taxi, …) en France et à l’étranger. L</w:t>
      </w:r>
      <w:r w:rsidR="007B2F4A">
        <w:t xml:space="preserve">e </w:t>
      </w:r>
      <w:r w:rsidRPr="000E5F02">
        <w:t>retrait d’argent liquide est autorisé. La carte affaires est adossée au compte personnel du porteur et dotée d’un débit différé.</w:t>
      </w:r>
    </w:p>
    <w:p w14:paraId="3522A45B" w14:textId="77777777" w:rsidR="00900797" w:rsidRPr="00B43182" w:rsidRDefault="00900797" w:rsidP="000E5F02"/>
    <w:p w14:paraId="06D6B7C0" w14:textId="6571EB3F" w:rsidR="00900797" w:rsidRPr="00B43182" w:rsidRDefault="00900797" w:rsidP="00900797">
      <w:r w:rsidRPr="00B43182">
        <w:t xml:space="preserve">Le service proposé devra être </w:t>
      </w:r>
      <w:r w:rsidRPr="00B43182">
        <w:rPr>
          <w:b/>
          <w:bCs/>
        </w:rPr>
        <w:t>simple d’utilisation</w:t>
      </w:r>
      <w:r w:rsidRPr="00B43182">
        <w:t xml:space="preserve">, </w:t>
      </w:r>
      <w:r w:rsidRPr="00B43182">
        <w:rPr>
          <w:b/>
          <w:bCs/>
        </w:rPr>
        <w:t>réactif</w:t>
      </w:r>
      <w:r w:rsidRPr="00B43182">
        <w:t xml:space="preserve">, </w:t>
      </w:r>
      <w:r w:rsidRPr="00B43182">
        <w:rPr>
          <w:b/>
          <w:bCs/>
        </w:rPr>
        <w:t>interopérable</w:t>
      </w:r>
      <w:r w:rsidRPr="00B43182">
        <w:t>, et permettre une gestion optimisée du parc de cartes. Il devra également être accompagné</w:t>
      </w:r>
      <w:r>
        <w:t> :</w:t>
      </w:r>
    </w:p>
    <w:p w14:paraId="76540143" w14:textId="77777777" w:rsidR="00900797" w:rsidRPr="00B43182" w:rsidRDefault="00900797" w:rsidP="00182679">
      <w:pPr>
        <w:numPr>
          <w:ilvl w:val="0"/>
          <w:numId w:val="6"/>
        </w:numPr>
      </w:pPr>
      <w:proofErr w:type="gramStart"/>
      <w:r w:rsidRPr="00B43182">
        <w:t>d’un</w:t>
      </w:r>
      <w:proofErr w:type="gramEnd"/>
      <w:r w:rsidRPr="00B43182">
        <w:t xml:space="preserve"> service support disponible et de qualité,</w:t>
      </w:r>
    </w:p>
    <w:p w14:paraId="0FC1503E" w14:textId="77777777" w:rsidR="00900797" w:rsidRPr="00B43182" w:rsidRDefault="00900797" w:rsidP="00182679">
      <w:pPr>
        <w:numPr>
          <w:ilvl w:val="0"/>
          <w:numId w:val="6"/>
        </w:numPr>
      </w:pPr>
      <w:proofErr w:type="gramStart"/>
      <w:r w:rsidRPr="00B43182">
        <w:t>d’un</w:t>
      </w:r>
      <w:proofErr w:type="gramEnd"/>
      <w:r w:rsidRPr="00B43182">
        <w:t xml:space="preserve"> outil de </w:t>
      </w:r>
      <w:proofErr w:type="spellStart"/>
      <w:r w:rsidRPr="00B43182">
        <w:t>reporting</w:t>
      </w:r>
      <w:proofErr w:type="spellEnd"/>
      <w:r w:rsidRPr="00B43182">
        <w:t xml:space="preserve"> clair et personnalisable,</w:t>
      </w:r>
    </w:p>
    <w:p w14:paraId="06301964" w14:textId="779863F1" w:rsidR="00900797" w:rsidRDefault="00900797" w:rsidP="00182679">
      <w:pPr>
        <w:numPr>
          <w:ilvl w:val="0"/>
          <w:numId w:val="6"/>
        </w:numPr>
      </w:pPr>
      <w:proofErr w:type="gramStart"/>
      <w:r w:rsidRPr="00B43182">
        <w:t>de</w:t>
      </w:r>
      <w:proofErr w:type="gramEnd"/>
      <w:r w:rsidRPr="00B43182">
        <w:t xml:space="preserve"> fonctionnalités facilitant l’intégration des données dans le SI financier de l’établissement</w:t>
      </w:r>
      <w:r w:rsidR="004E56A8">
        <w:t xml:space="preserve"> pour la carte achat</w:t>
      </w:r>
      <w:r w:rsidRPr="00B43182">
        <w:t>.</w:t>
      </w:r>
    </w:p>
    <w:p w14:paraId="41A820E5" w14:textId="77777777" w:rsidR="00900797" w:rsidRDefault="00900797" w:rsidP="00900797"/>
    <w:p w14:paraId="09E2F02F" w14:textId="6DCA32A6" w:rsidR="00900797" w:rsidRDefault="00900797" w:rsidP="003E67C0">
      <w:r>
        <w:t xml:space="preserve">Les enjeux </w:t>
      </w:r>
      <w:r w:rsidRPr="00B43182">
        <w:t>du présent accord-cadre pour</w:t>
      </w:r>
      <w:r>
        <w:t xml:space="preserve"> INRAE sont</w:t>
      </w:r>
      <w:r w:rsidR="000E5F02">
        <w:t xml:space="preserve"> donc de</w:t>
      </w:r>
      <w:r>
        <w:t xml:space="preserve"> :</w:t>
      </w:r>
    </w:p>
    <w:p w14:paraId="3D28712C" w14:textId="096854BF" w:rsidR="00900797" w:rsidRDefault="004E56A8" w:rsidP="00182679">
      <w:pPr>
        <w:pStyle w:val="Paragraphedeliste"/>
        <w:numPr>
          <w:ilvl w:val="0"/>
          <w:numId w:val="7"/>
        </w:numPr>
      </w:pPr>
      <w:proofErr w:type="gramStart"/>
      <w:r>
        <w:t>s</w:t>
      </w:r>
      <w:r w:rsidR="00900797">
        <w:t>implifier</w:t>
      </w:r>
      <w:proofErr w:type="gramEnd"/>
      <w:r w:rsidR="00900797">
        <w:t xml:space="preserve"> les processus d'achat et de paiement pour les agents ;</w:t>
      </w:r>
    </w:p>
    <w:p w14:paraId="0266FF62" w14:textId="26998E21" w:rsidR="00900797" w:rsidRDefault="004E56A8" w:rsidP="00182679">
      <w:pPr>
        <w:pStyle w:val="Paragraphedeliste"/>
        <w:numPr>
          <w:ilvl w:val="0"/>
          <w:numId w:val="7"/>
        </w:numPr>
      </w:pPr>
      <w:proofErr w:type="gramStart"/>
      <w:r>
        <w:t>m</w:t>
      </w:r>
      <w:r w:rsidR="00900797">
        <w:t>aîtriser</w:t>
      </w:r>
      <w:proofErr w:type="gramEnd"/>
      <w:r w:rsidR="00900797">
        <w:t xml:space="preserve"> les coûts liés aux transactions bancaires et à la gestion des dépenses ;</w:t>
      </w:r>
    </w:p>
    <w:p w14:paraId="30019F88" w14:textId="3176E759" w:rsidR="00900797" w:rsidRDefault="004E56A8" w:rsidP="00182679">
      <w:pPr>
        <w:pStyle w:val="Paragraphedeliste"/>
        <w:numPr>
          <w:ilvl w:val="0"/>
          <w:numId w:val="7"/>
        </w:numPr>
      </w:pPr>
      <w:proofErr w:type="gramStart"/>
      <w:r>
        <w:t>r</w:t>
      </w:r>
      <w:r w:rsidR="00900797">
        <w:t>enforcer</w:t>
      </w:r>
      <w:proofErr w:type="gramEnd"/>
      <w:r w:rsidR="00900797">
        <w:t xml:space="preserve"> la traçabilité des opérations ;</w:t>
      </w:r>
    </w:p>
    <w:p w14:paraId="5A1E9684" w14:textId="42F344FC" w:rsidR="00841CE6" w:rsidRDefault="004E56A8" w:rsidP="00182679">
      <w:pPr>
        <w:pStyle w:val="Paragraphedeliste"/>
        <w:numPr>
          <w:ilvl w:val="0"/>
          <w:numId w:val="7"/>
        </w:numPr>
      </w:pPr>
      <w:proofErr w:type="gramStart"/>
      <w:r>
        <w:t>a</w:t>
      </w:r>
      <w:r w:rsidR="00900797">
        <w:t>dapter</w:t>
      </w:r>
      <w:proofErr w:type="gramEnd"/>
      <w:r w:rsidR="00900797">
        <w:t xml:space="preserve"> la solution aux profils utilisateurs, en assurant une souplesse d’usage (plafonds, types de dépenses, restrictions).</w:t>
      </w:r>
    </w:p>
    <w:p w14:paraId="09AA4780" w14:textId="77777777" w:rsidR="00A47898" w:rsidRPr="00D354F0" w:rsidRDefault="00A47898" w:rsidP="00A47898">
      <w:pPr>
        <w:pStyle w:val="Paragraphedeliste"/>
        <w:ind w:left="720"/>
      </w:pPr>
    </w:p>
    <w:p w14:paraId="61038FBE" w14:textId="509B1E1C" w:rsidR="008B61C8" w:rsidRDefault="008B61C8" w:rsidP="00900797">
      <w:pPr>
        <w:pStyle w:val="Titre1"/>
      </w:pPr>
      <w:bookmarkStart w:id="2" w:name="_Toc201856014"/>
      <w:r>
        <w:t>Présentation d’INRAE</w:t>
      </w:r>
      <w:bookmarkEnd w:id="2"/>
    </w:p>
    <w:p w14:paraId="60AE4C3B" w14:textId="77777777" w:rsidR="008B61C8" w:rsidRDefault="008B61C8" w:rsidP="008B61C8"/>
    <w:p w14:paraId="19AF55F8" w14:textId="77777777" w:rsidR="008B61C8" w:rsidRDefault="008B61C8" w:rsidP="008B61C8">
      <w:r>
        <w:t>L'Institut national de recherche pour l'agriculture, l'alimentation et l'environnement (INRAE) est un établissement public national à caractère scientifique et technologique placé sous la tutelle conjointe du ministre chargé de la recherche et du ministre chargé de l'agriculture. Il a pour missions de réaliser, d'organiser et de coordonner, à son initiative ou à la demande de l'Etat, tous travaux de recherche scientifique et technologique dans les domaines de l'agriculture, de l'alimentation, de la forêt, de l'environnement, de l'eau, de la biodiversité, de la bioéconomie, de l'économie circulaire, de la gestion durable des territoires et des risques dans les champs de compétence précités.</w:t>
      </w:r>
    </w:p>
    <w:p w14:paraId="7681B919" w14:textId="77777777" w:rsidR="008B61C8" w:rsidRDefault="008B61C8" w:rsidP="008B61C8"/>
    <w:p w14:paraId="69A6E226" w14:textId="6093F950" w:rsidR="008B61C8" w:rsidRDefault="00F363CC" w:rsidP="008B61C8">
      <w:r>
        <w:t xml:space="preserve">Il est issu de la fusion entre l’Institut National de la Recherche Agronomique (INRA) et l’Institut </w:t>
      </w:r>
      <w:r w:rsidR="00A22B21">
        <w:t>National de Recherche en Sciences et Technologies pour l'Environnement et l'A</w:t>
      </w:r>
      <w:r w:rsidRPr="00E50E4B">
        <w:t>griculture (IRSTEA)</w:t>
      </w:r>
      <w:r>
        <w:t xml:space="preserve">, en date du </w:t>
      </w:r>
      <w:r w:rsidR="008B61C8">
        <w:t>1</w:t>
      </w:r>
      <w:r w:rsidR="008B61C8" w:rsidRPr="00E50E4B">
        <w:rPr>
          <w:vertAlign w:val="superscript"/>
        </w:rPr>
        <w:t>er</w:t>
      </w:r>
      <w:r w:rsidR="008B61C8">
        <w:t xml:space="preserve"> janvier </w:t>
      </w:r>
      <w:r w:rsidR="008B61C8">
        <w:lastRenderedPageBreak/>
        <w:t xml:space="preserve">2020 </w:t>
      </w:r>
      <w:r>
        <w:t xml:space="preserve">opérée </w:t>
      </w:r>
      <w:r w:rsidR="008B61C8">
        <w:t>par le décret n°2019-</w:t>
      </w:r>
      <w:r w:rsidR="008B61C8" w:rsidRPr="00E50E4B">
        <w:t>1046 du 10 octobre 2019 relatif à l'organisation et au fonctionnement de l'Institut national de recherche pour l'agriculture, l'alimentation et l'environnement</w:t>
      </w:r>
      <w:r>
        <w:t>.</w:t>
      </w:r>
    </w:p>
    <w:p w14:paraId="423EC590" w14:textId="77777777" w:rsidR="008B61C8" w:rsidRDefault="008B61C8" w:rsidP="008B61C8"/>
    <w:p w14:paraId="7D2E0584" w14:textId="751747FD" w:rsidR="008B61C8" w:rsidRDefault="008B61C8" w:rsidP="008B61C8">
      <w:r>
        <w:t xml:space="preserve">Il regroupe environ </w:t>
      </w:r>
      <w:r w:rsidR="00176789" w:rsidRPr="00176789">
        <w:t>12 </w:t>
      </w:r>
      <w:r w:rsidRPr="00176789">
        <w:t>000 agents</w:t>
      </w:r>
      <w:r>
        <w:t xml:space="preserve"> au sein de près de 300 unités, rattachées elle</w:t>
      </w:r>
      <w:r w:rsidR="00A22B21">
        <w:t xml:space="preserve">s-mêmes à l’un des 19 Centres </w:t>
      </w:r>
      <w:r>
        <w:t>INRAE.</w:t>
      </w:r>
    </w:p>
    <w:p w14:paraId="6996A1D8" w14:textId="77777777" w:rsidR="008B61C8" w:rsidRDefault="008B61C8" w:rsidP="008B61C8"/>
    <w:p w14:paraId="52CBD647" w14:textId="77777777" w:rsidR="008B61C8" w:rsidRDefault="008B61C8" w:rsidP="008B61C8">
      <w:r w:rsidRPr="00C6296F">
        <w:t xml:space="preserve">INRAE est le premier institut de recherche au monde à caractère spécialisé sur les domaines interdépendants de l’agriculture, l’alimentation et l’environnement. </w:t>
      </w:r>
      <w:r>
        <w:t>C</w:t>
      </w:r>
      <w:r w:rsidRPr="00C6296F">
        <w:t>e leadership nécessite un engagement à l’Europe et à l’international pour développer de manière active et structurée des co</w:t>
      </w:r>
      <w:r>
        <w:t>llaborations.</w:t>
      </w:r>
    </w:p>
    <w:p w14:paraId="70E83077" w14:textId="77777777" w:rsidR="008B61C8" w:rsidRDefault="008B61C8" w:rsidP="008B61C8"/>
    <w:p w14:paraId="083C3803" w14:textId="07F7BA75" w:rsidR="001E6FC7" w:rsidRPr="001E6FC7" w:rsidRDefault="008B61C8" w:rsidP="00011CED">
      <w:pPr>
        <w:pStyle w:val="Titre2"/>
        <w:numPr>
          <w:ilvl w:val="1"/>
          <w:numId w:val="1"/>
        </w:numPr>
      </w:pPr>
      <w:bookmarkStart w:id="3" w:name="_Toc201856015"/>
      <w:r>
        <w:t>Etablissement déconcentré</w:t>
      </w:r>
      <w:bookmarkEnd w:id="3"/>
    </w:p>
    <w:p w14:paraId="45D43BDE" w14:textId="1672F2A2" w:rsidR="008B61C8" w:rsidRPr="00A150FA" w:rsidRDefault="00A25875" w:rsidP="00011CED">
      <w:pPr>
        <w:pStyle w:val="Titre3"/>
      </w:pPr>
      <w:bookmarkStart w:id="4" w:name="_Toc201856016"/>
      <w:r>
        <w:t xml:space="preserve">2.1.1 </w:t>
      </w:r>
      <w:r w:rsidR="008B61C8" w:rsidRPr="00A150FA">
        <w:t xml:space="preserve">Le </w:t>
      </w:r>
      <w:r w:rsidR="00242CA0">
        <w:t>s</w:t>
      </w:r>
      <w:r w:rsidR="008B61C8">
        <w:t>iège</w:t>
      </w:r>
      <w:bookmarkEnd w:id="4"/>
    </w:p>
    <w:p w14:paraId="7A09811F" w14:textId="662FD4ED" w:rsidR="008B61C8" w:rsidRDefault="008B61C8" w:rsidP="008B61C8">
      <w:r w:rsidRPr="00A150FA">
        <w:t xml:space="preserve">Le </w:t>
      </w:r>
      <w:r w:rsidR="00242CA0">
        <w:t>s</w:t>
      </w:r>
      <w:r w:rsidRPr="00A150FA">
        <w:t xml:space="preserve">iège </w:t>
      </w:r>
      <w:r>
        <w:t>d’INRAE</w:t>
      </w:r>
      <w:r w:rsidRPr="00A150FA">
        <w:t xml:space="preserve"> </w:t>
      </w:r>
      <w:r>
        <w:t>inclut les</w:t>
      </w:r>
      <w:r w:rsidRPr="00A150FA">
        <w:t xml:space="preserve"> </w:t>
      </w:r>
      <w:r w:rsidR="001B73C4">
        <w:t xml:space="preserve">trois </w:t>
      </w:r>
      <w:r>
        <w:t>Directions Générales (Scientifique, Appui et Expertise aux Politiques Publiques</w:t>
      </w:r>
      <w:r w:rsidR="00E70436">
        <w:t>,</w:t>
      </w:r>
      <w:r>
        <w:t xml:space="preserve"> et Ressources). Ces DG intègrent des </w:t>
      </w:r>
      <w:r w:rsidRPr="00853D30">
        <w:rPr>
          <w:bCs/>
        </w:rPr>
        <w:t>directions d’appui à la recherche</w:t>
      </w:r>
      <w:r w:rsidRPr="00A150FA">
        <w:rPr>
          <w:b/>
          <w:bCs/>
        </w:rPr>
        <w:t xml:space="preserve"> </w:t>
      </w:r>
      <w:r w:rsidRPr="00A150FA">
        <w:t>(DAR) qui sont des unités ou groupes d’unités qui portent les grandes fonctions de pilotage et d’appui à</w:t>
      </w:r>
      <w:r w:rsidR="007C6284">
        <w:t xml:space="preserve"> la recherche : directions des Ressources H</w:t>
      </w:r>
      <w:r w:rsidRPr="00A150FA">
        <w:t>umaines</w:t>
      </w:r>
      <w:r w:rsidR="007C6284">
        <w:t>, de la Responsabilité Sociétale et Environnementale, du F</w:t>
      </w:r>
      <w:r w:rsidRPr="00A150FA">
        <w:t>inan</w:t>
      </w:r>
      <w:r w:rsidR="007C6284">
        <w:t>cement et des Achats, des Systèmes d’Information, de l’I</w:t>
      </w:r>
      <w:r w:rsidRPr="00A150FA">
        <w:t>mmobilier</w:t>
      </w:r>
      <w:r>
        <w:t xml:space="preserve"> …</w:t>
      </w:r>
    </w:p>
    <w:p w14:paraId="59AB7B6B" w14:textId="77777777" w:rsidR="008B61C8" w:rsidRDefault="008B61C8" w:rsidP="008B61C8"/>
    <w:p w14:paraId="22AAAD23" w14:textId="447B6BFB" w:rsidR="008B61C8" w:rsidRPr="00A150FA" w:rsidRDefault="00A25875" w:rsidP="00011CED">
      <w:pPr>
        <w:pStyle w:val="Titre3"/>
      </w:pPr>
      <w:bookmarkStart w:id="5" w:name="_Toc201856017"/>
      <w:r>
        <w:t xml:space="preserve">2.1.2 </w:t>
      </w:r>
      <w:r w:rsidR="008B61C8" w:rsidRPr="00A150FA">
        <w:t>Le</w:t>
      </w:r>
      <w:r w:rsidR="008B61C8">
        <w:t>s</w:t>
      </w:r>
      <w:r w:rsidR="008B61C8" w:rsidRPr="00A150FA">
        <w:t xml:space="preserve"> centre</w:t>
      </w:r>
      <w:r w:rsidR="008B61C8">
        <w:t>s</w:t>
      </w:r>
      <w:bookmarkEnd w:id="5"/>
      <w:r w:rsidR="008B61C8" w:rsidRPr="00A150FA">
        <w:t xml:space="preserve"> </w:t>
      </w:r>
    </w:p>
    <w:p w14:paraId="6AA8D31E" w14:textId="77777777" w:rsidR="00144BA6" w:rsidRDefault="00A22B21" w:rsidP="008B61C8">
      <w:r>
        <w:t xml:space="preserve">Le </w:t>
      </w:r>
      <w:r w:rsidR="003C3634">
        <w:t>c</w:t>
      </w:r>
      <w:r w:rsidR="008B61C8" w:rsidRPr="00A150FA">
        <w:t xml:space="preserve">entre rassemble l’ensemble des unités d’un territoire et assure un rôle clé dans l’insertion territoriale des recherches </w:t>
      </w:r>
      <w:r w:rsidR="008B61C8">
        <w:t xml:space="preserve">d’INRAE. </w:t>
      </w:r>
    </w:p>
    <w:p w14:paraId="08C0D576" w14:textId="1878BAF4" w:rsidR="008B61C8" w:rsidRDefault="008B61C8" w:rsidP="008B61C8">
      <w:r>
        <w:t>Ils sont au nombr</w:t>
      </w:r>
      <w:r w:rsidR="00A22B21">
        <w:t>e</w:t>
      </w:r>
      <w:r>
        <w:t xml:space="preserve"> de 19 (18 </w:t>
      </w:r>
      <w:r w:rsidR="003C3634">
        <w:t>c</w:t>
      </w:r>
      <w:r>
        <w:t xml:space="preserve">entres de </w:t>
      </w:r>
      <w:r w:rsidR="003C3634">
        <w:t>r</w:t>
      </w:r>
      <w:r>
        <w:t>echerche plus le Centre-Siège)</w:t>
      </w:r>
      <w:r w:rsidR="00A22B21">
        <w:t xml:space="preserve"> </w:t>
      </w:r>
      <w:r>
        <w:t xml:space="preserve">: </w:t>
      </w:r>
    </w:p>
    <w:p w14:paraId="68C9B6C1" w14:textId="77777777" w:rsidR="008B61C8" w:rsidRPr="00D42884" w:rsidRDefault="008B61C8" w:rsidP="008B61C8">
      <w:pPr>
        <w:autoSpaceDE w:val="0"/>
        <w:autoSpaceDN w:val="0"/>
        <w:adjustRightInd w:val="0"/>
        <w:rPr>
          <w:rFonts w:ascii="AvenirNextLTPro-Cn" w:hAnsi="AvenirNextLTPro-Cn" w:cs="AvenirNextLTPro-Cn"/>
          <w:szCs w:val="24"/>
        </w:rPr>
      </w:pPr>
      <w:r w:rsidRPr="00D42884">
        <w:rPr>
          <w:rFonts w:ascii="MyriadPro-SemiCn" w:hAnsi="MyriadPro-SemiCn" w:cs="MyriadPro-SemiCn"/>
          <w:szCs w:val="24"/>
        </w:rPr>
        <w:t xml:space="preserve">- </w:t>
      </w:r>
      <w:r w:rsidRPr="00D42884">
        <w:rPr>
          <w:rFonts w:ascii="AvenirNextLTPro-Cn" w:hAnsi="AvenirNextLTPro-Cn" w:cs="AvenirNextLTPro-Cn"/>
          <w:szCs w:val="24"/>
        </w:rPr>
        <w:t>Centre de recherche Antilles-Guyane ;</w:t>
      </w:r>
    </w:p>
    <w:p w14:paraId="1D74EE5F" w14:textId="77777777" w:rsidR="008B61C8" w:rsidRPr="00D42884" w:rsidRDefault="008B61C8" w:rsidP="008B61C8">
      <w:pPr>
        <w:autoSpaceDE w:val="0"/>
        <w:autoSpaceDN w:val="0"/>
        <w:adjustRightInd w:val="0"/>
        <w:rPr>
          <w:rFonts w:ascii="AvenirNextLTPro-Cn" w:hAnsi="AvenirNextLTPro-Cn" w:cs="AvenirNextLTPro-Cn"/>
          <w:szCs w:val="24"/>
        </w:rPr>
      </w:pPr>
      <w:r w:rsidRPr="00D42884">
        <w:rPr>
          <w:rFonts w:ascii="MyriadPro-SemiCn" w:hAnsi="MyriadPro-SemiCn" w:cs="MyriadPro-SemiCn"/>
          <w:szCs w:val="24"/>
        </w:rPr>
        <w:t xml:space="preserve">- </w:t>
      </w:r>
      <w:r w:rsidRPr="00D42884">
        <w:rPr>
          <w:rFonts w:ascii="AvenirNextLTPro-Cn" w:hAnsi="AvenirNextLTPro-Cn" w:cs="AvenirNextLTPro-Cn"/>
          <w:szCs w:val="24"/>
        </w:rPr>
        <w:t>Centre de recherche Bourgogne-Franche-Comté ;</w:t>
      </w:r>
    </w:p>
    <w:p w14:paraId="29E96756" w14:textId="0C53A6F0" w:rsidR="008B61C8" w:rsidRPr="00D42884" w:rsidRDefault="008B61C8" w:rsidP="008B61C8">
      <w:pPr>
        <w:autoSpaceDE w:val="0"/>
        <w:autoSpaceDN w:val="0"/>
        <w:adjustRightInd w:val="0"/>
        <w:rPr>
          <w:rFonts w:ascii="AvenirNextLTPro-Cn" w:hAnsi="AvenirNextLTPro-Cn" w:cs="AvenirNextLTPro-Cn"/>
          <w:szCs w:val="24"/>
        </w:rPr>
      </w:pPr>
      <w:r w:rsidRPr="00D42884">
        <w:rPr>
          <w:rFonts w:ascii="MyriadPro-SemiCn" w:hAnsi="MyriadPro-SemiCn" w:cs="MyriadPro-SemiCn"/>
          <w:szCs w:val="24"/>
        </w:rPr>
        <w:t xml:space="preserve">- </w:t>
      </w:r>
      <w:r w:rsidRPr="00D42884">
        <w:rPr>
          <w:rFonts w:ascii="AvenirNextLTPro-Cn" w:hAnsi="AvenirNextLTPro-Cn" w:cs="AvenirNextLTPro-Cn"/>
          <w:szCs w:val="24"/>
        </w:rPr>
        <w:t>Centre de recherche Bretagne-Normandie ;</w:t>
      </w:r>
    </w:p>
    <w:p w14:paraId="7A2E2A40" w14:textId="255DEA4C" w:rsidR="008B61C8" w:rsidRPr="00D42884" w:rsidRDefault="008B61C8" w:rsidP="008B61C8">
      <w:pPr>
        <w:autoSpaceDE w:val="0"/>
        <w:autoSpaceDN w:val="0"/>
        <w:adjustRightInd w:val="0"/>
        <w:rPr>
          <w:rFonts w:ascii="AvenirNextLTPro-Cn" w:hAnsi="AvenirNextLTPro-Cn" w:cs="AvenirNextLTPro-Cn"/>
          <w:szCs w:val="24"/>
        </w:rPr>
      </w:pPr>
      <w:r w:rsidRPr="00D42884">
        <w:rPr>
          <w:rFonts w:ascii="MyriadPro-SemiCn" w:hAnsi="MyriadPro-SemiCn" w:cs="MyriadPro-SemiCn"/>
          <w:szCs w:val="24"/>
        </w:rPr>
        <w:t xml:space="preserve">- </w:t>
      </w:r>
      <w:r w:rsidRPr="00D42884">
        <w:rPr>
          <w:rFonts w:ascii="AvenirNextLTPro-Cn" w:hAnsi="AvenirNextLTPro-Cn" w:cs="AvenirNextLTPro-Cn"/>
          <w:szCs w:val="24"/>
        </w:rPr>
        <w:t>Centre de recherche Clermont-Auvergne-Rhône-Alpes ;</w:t>
      </w:r>
    </w:p>
    <w:p w14:paraId="5817DB8D" w14:textId="1357AF9D" w:rsidR="008B61C8" w:rsidRPr="00D42884" w:rsidRDefault="008B61C8" w:rsidP="008B61C8">
      <w:pPr>
        <w:autoSpaceDE w:val="0"/>
        <w:autoSpaceDN w:val="0"/>
        <w:adjustRightInd w:val="0"/>
        <w:rPr>
          <w:rFonts w:ascii="AvenirNextLTPro-Cn" w:hAnsi="AvenirNextLTPro-Cn" w:cs="AvenirNextLTPro-Cn"/>
          <w:szCs w:val="24"/>
        </w:rPr>
      </w:pPr>
      <w:r w:rsidRPr="00D42884">
        <w:rPr>
          <w:rFonts w:ascii="MyriadPro-SemiCn" w:hAnsi="MyriadPro-SemiCn" w:cs="MyriadPro-SemiCn"/>
          <w:szCs w:val="24"/>
        </w:rPr>
        <w:t xml:space="preserve">- </w:t>
      </w:r>
      <w:r w:rsidRPr="00D42884">
        <w:rPr>
          <w:rFonts w:ascii="AvenirNextLTPro-Cn" w:hAnsi="AvenirNextLTPro-Cn" w:cs="AvenirNextLTPro-Cn"/>
          <w:szCs w:val="24"/>
        </w:rPr>
        <w:t>Centre de recherche de Corse ;</w:t>
      </w:r>
    </w:p>
    <w:p w14:paraId="264E8545" w14:textId="132750AF" w:rsidR="008B61C8" w:rsidRPr="00D42884" w:rsidRDefault="008B61C8" w:rsidP="008B61C8">
      <w:pPr>
        <w:autoSpaceDE w:val="0"/>
        <w:autoSpaceDN w:val="0"/>
        <w:adjustRightInd w:val="0"/>
        <w:rPr>
          <w:rFonts w:ascii="AvenirNextLTPro-Cn" w:hAnsi="AvenirNextLTPro-Cn" w:cs="AvenirNextLTPro-Cn"/>
          <w:szCs w:val="24"/>
        </w:rPr>
      </w:pPr>
      <w:r w:rsidRPr="00D42884">
        <w:rPr>
          <w:rFonts w:ascii="MyriadPro-SemiCn" w:hAnsi="MyriadPro-SemiCn" w:cs="MyriadPro-SemiCn"/>
          <w:szCs w:val="24"/>
        </w:rPr>
        <w:t xml:space="preserve">- </w:t>
      </w:r>
      <w:r w:rsidRPr="00D42884">
        <w:rPr>
          <w:rFonts w:ascii="AvenirNextLTPro-Cn" w:hAnsi="AvenirNextLTPro-Cn" w:cs="AvenirNextLTPro-Cn"/>
          <w:szCs w:val="24"/>
        </w:rPr>
        <w:t>Centre de recherche Grand Est-Colmar ;</w:t>
      </w:r>
    </w:p>
    <w:p w14:paraId="2D5B61C3" w14:textId="5B87D0CD" w:rsidR="008B61C8" w:rsidRPr="00D42884" w:rsidRDefault="008B61C8" w:rsidP="008B61C8">
      <w:pPr>
        <w:autoSpaceDE w:val="0"/>
        <w:autoSpaceDN w:val="0"/>
        <w:adjustRightInd w:val="0"/>
        <w:rPr>
          <w:rFonts w:ascii="AvenirNextLTPro-Cn" w:hAnsi="AvenirNextLTPro-Cn" w:cs="AvenirNextLTPro-Cn"/>
          <w:szCs w:val="24"/>
        </w:rPr>
      </w:pPr>
      <w:r w:rsidRPr="00D42884">
        <w:rPr>
          <w:rFonts w:ascii="MyriadPro-SemiCn" w:hAnsi="MyriadPro-SemiCn" w:cs="MyriadPro-SemiCn"/>
          <w:szCs w:val="24"/>
        </w:rPr>
        <w:t xml:space="preserve">- </w:t>
      </w:r>
      <w:r w:rsidRPr="00D42884">
        <w:rPr>
          <w:rFonts w:ascii="AvenirNextLTPro-Cn" w:hAnsi="AvenirNextLTPro-Cn" w:cs="AvenirNextLTPro-Cn"/>
          <w:szCs w:val="24"/>
        </w:rPr>
        <w:t>Centre de recherche Grand Est-Nancy ;</w:t>
      </w:r>
    </w:p>
    <w:p w14:paraId="25C24A70" w14:textId="681CE6D3" w:rsidR="008B61C8" w:rsidRPr="00D42884" w:rsidRDefault="008B61C8" w:rsidP="008B61C8">
      <w:pPr>
        <w:autoSpaceDE w:val="0"/>
        <w:autoSpaceDN w:val="0"/>
        <w:adjustRightInd w:val="0"/>
        <w:rPr>
          <w:rFonts w:ascii="AvenirNextLTPro-Cn" w:hAnsi="AvenirNextLTPro-Cn" w:cs="AvenirNextLTPro-Cn"/>
          <w:szCs w:val="24"/>
        </w:rPr>
      </w:pPr>
      <w:r w:rsidRPr="00D42884">
        <w:rPr>
          <w:rFonts w:ascii="MyriadPro-SemiCn" w:hAnsi="MyriadPro-SemiCn" w:cs="MyriadPro-SemiCn"/>
          <w:szCs w:val="24"/>
        </w:rPr>
        <w:t xml:space="preserve">- </w:t>
      </w:r>
      <w:r w:rsidRPr="00D42884">
        <w:rPr>
          <w:rFonts w:ascii="AvenirNextLTPro-Cn" w:hAnsi="AvenirNextLTPro-Cn" w:cs="AvenirNextLTPro-Cn"/>
          <w:szCs w:val="24"/>
        </w:rPr>
        <w:t>Centre de recherche Hauts-de-France ;</w:t>
      </w:r>
    </w:p>
    <w:p w14:paraId="29AE60F0" w14:textId="22FC6367" w:rsidR="008B61C8" w:rsidRPr="00D42884" w:rsidRDefault="00D42884" w:rsidP="008B61C8">
      <w:pPr>
        <w:autoSpaceDE w:val="0"/>
        <w:autoSpaceDN w:val="0"/>
        <w:adjustRightInd w:val="0"/>
        <w:rPr>
          <w:rFonts w:ascii="AvenirNextLTPro-Cn" w:hAnsi="AvenirNextLTPro-Cn" w:cs="AvenirNextLTPro-Cn"/>
          <w:szCs w:val="24"/>
        </w:rPr>
      </w:pPr>
      <w:r w:rsidRPr="00D42884">
        <w:rPr>
          <w:noProof/>
          <w:szCs w:val="24"/>
          <w:lang w:eastAsia="fr-FR"/>
        </w:rPr>
        <w:drawing>
          <wp:anchor distT="0" distB="0" distL="114300" distR="114300" simplePos="0" relativeHeight="251659264" behindDoc="1" locked="0" layoutInCell="1" allowOverlap="1" wp14:anchorId="7831F385" wp14:editId="3FA1DCEB">
            <wp:simplePos x="0" y="0"/>
            <wp:positionH relativeFrom="page">
              <wp:posOffset>4337050</wp:posOffset>
            </wp:positionH>
            <wp:positionV relativeFrom="paragraph">
              <wp:posOffset>0</wp:posOffset>
            </wp:positionV>
            <wp:extent cx="3121025" cy="2536825"/>
            <wp:effectExtent l="0" t="0" r="3175" b="0"/>
            <wp:wrapThrough wrapText="bothSides">
              <wp:wrapPolygon edited="0">
                <wp:start x="0" y="0"/>
                <wp:lineTo x="0" y="21411"/>
                <wp:lineTo x="21490" y="21411"/>
                <wp:lineTo x="21490" y="0"/>
                <wp:lineTo x="0" y="0"/>
              </wp:wrapPolygon>
            </wp:wrapThrough>
            <wp:docPr id="2" name="Image 2" descr="J:\POLE MISSIONS _CARTOGRAPHIE ACHATS_FLUIDES\1-SEGMENT DEPLACEMENT\1-HOTELLERIE_RENOUVELLEMENT 2020\0-Travail en amont\V0\carte-centres-avec-outrem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POLE MISSIONS _CARTOGRAPHIE ACHATS_FLUIDES\1-SEGMENT DEPLACEMENT\1-HOTELLERIE_RENOUVELLEMENT 2020\0-Travail en amont\V0\carte-centres-avec-outremer.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21025" cy="2536825"/>
                    </a:xfrm>
                    <a:prstGeom prst="rect">
                      <a:avLst/>
                    </a:prstGeom>
                    <a:noFill/>
                    <a:ln>
                      <a:noFill/>
                    </a:ln>
                  </pic:spPr>
                </pic:pic>
              </a:graphicData>
            </a:graphic>
            <wp14:sizeRelH relativeFrom="page">
              <wp14:pctWidth>0</wp14:pctWidth>
            </wp14:sizeRelH>
            <wp14:sizeRelV relativeFrom="page">
              <wp14:pctHeight>0</wp14:pctHeight>
            </wp14:sizeRelV>
          </wp:anchor>
        </w:drawing>
      </w:r>
      <w:r w:rsidR="008B61C8" w:rsidRPr="00D42884">
        <w:rPr>
          <w:rFonts w:ascii="MyriadPro-SemiCn" w:hAnsi="MyriadPro-SemiCn" w:cs="MyriadPro-SemiCn"/>
          <w:szCs w:val="24"/>
        </w:rPr>
        <w:t xml:space="preserve">- </w:t>
      </w:r>
      <w:r w:rsidR="008B61C8" w:rsidRPr="00D42884">
        <w:rPr>
          <w:rFonts w:ascii="AvenirNextLTPro-Cn" w:hAnsi="AvenirNextLTPro-Cn" w:cs="AvenirNextLTPro-Cn"/>
          <w:szCs w:val="24"/>
        </w:rPr>
        <w:t>Centre de recherche Ile-de-France-Jouy-en-Josas-Antony ;</w:t>
      </w:r>
    </w:p>
    <w:p w14:paraId="21C99E26" w14:textId="5255070D" w:rsidR="008B61C8" w:rsidRPr="00D42884" w:rsidRDefault="008B61C8" w:rsidP="008B61C8">
      <w:pPr>
        <w:autoSpaceDE w:val="0"/>
        <w:autoSpaceDN w:val="0"/>
        <w:adjustRightInd w:val="0"/>
        <w:rPr>
          <w:rFonts w:ascii="AvenirNextLTPro-Cn" w:hAnsi="AvenirNextLTPro-Cn" w:cs="AvenirNextLTPro-Cn"/>
          <w:szCs w:val="24"/>
        </w:rPr>
      </w:pPr>
      <w:r w:rsidRPr="00D42884">
        <w:rPr>
          <w:rFonts w:ascii="MyriadPro-SemiCn" w:hAnsi="MyriadPro-SemiCn" w:cs="MyriadPro-SemiCn"/>
          <w:szCs w:val="24"/>
        </w:rPr>
        <w:t xml:space="preserve">- </w:t>
      </w:r>
      <w:r w:rsidRPr="00D42884">
        <w:rPr>
          <w:rFonts w:ascii="AvenirNextLTPro-Cn" w:hAnsi="AvenirNextLTPro-Cn" w:cs="AvenirNextLTPro-Cn"/>
          <w:szCs w:val="24"/>
        </w:rPr>
        <w:t>Centre de recherche Ile-de-France-Versailles-Grignon ;</w:t>
      </w:r>
    </w:p>
    <w:p w14:paraId="4EC4CBCE" w14:textId="33723ACC" w:rsidR="008B61C8" w:rsidRPr="00D42884" w:rsidRDefault="008B61C8" w:rsidP="008B61C8">
      <w:pPr>
        <w:autoSpaceDE w:val="0"/>
        <w:autoSpaceDN w:val="0"/>
        <w:adjustRightInd w:val="0"/>
        <w:rPr>
          <w:rFonts w:ascii="AvenirNextLTPro-Cn" w:hAnsi="AvenirNextLTPro-Cn" w:cs="AvenirNextLTPro-Cn"/>
          <w:szCs w:val="24"/>
        </w:rPr>
      </w:pPr>
      <w:r w:rsidRPr="00D42884">
        <w:rPr>
          <w:rFonts w:ascii="MyriadPro-SemiCn" w:hAnsi="MyriadPro-SemiCn" w:cs="MyriadPro-SemiCn"/>
          <w:szCs w:val="24"/>
        </w:rPr>
        <w:t xml:space="preserve">- </w:t>
      </w:r>
      <w:r w:rsidRPr="00D42884">
        <w:rPr>
          <w:rFonts w:ascii="AvenirNextLTPro-Cn" w:hAnsi="AvenirNextLTPro-Cn" w:cs="AvenirNextLTPro-Cn"/>
          <w:szCs w:val="24"/>
        </w:rPr>
        <w:t>Centre de recherche Lyon-Grenoble-Auvergne-Rhône-Alpes ;</w:t>
      </w:r>
    </w:p>
    <w:p w14:paraId="6ECB79EC" w14:textId="1F6828C7" w:rsidR="008B61C8" w:rsidRPr="00D42884" w:rsidRDefault="008B61C8" w:rsidP="008B61C8">
      <w:pPr>
        <w:autoSpaceDE w:val="0"/>
        <w:autoSpaceDN w:val="0"/>
        <w:adjustRightInd w:val="0"/>
        <w:rPr>
          <w:rFonts w:ascii="AvenirNextLTPro-Cn" w:hAnsi="AvenirNextLTPro-Cn" w:cs="AvenirNextLTPro-Cn"/>
          <w:szCs w:val="24"/>
        </w:rPr>
      </w:pPr>
      <w:r w:rsidRPr="00D42884">
        <w:rPr>
          <w:rFonts w:ascii="MyriadPro-SemiCn" w:hAnsi="MyriadPro-SemiCn" w:cs="MyriadPro-SemiCn"/>
          <w:szCs w:val="24"/>
        </w:rPr>
        <w:t xml:space="preserve">- </w:t>
      </w:r>
      <w:r w:rsidRPr="00D42884">
        <w:rPr>
          <w:rFonts w:ascii="AvenirNextLTPro-Cn" w:hAnsi="AvenirNextLTPro-Cn" w:cs="AvenirNextLTPro-Cn"/>
          <w:szCs w:val="24"/>
        </w:rPr>
        <w:t>Centre de recherche Nouvelle Aquitaine-Bordeaux ;</w:t>
      </w:r>
    </w:p>
    <w:p w14:paraId="0F1135A5" w14:textId="6FE85267" w:rsidR="008B61C8" w:rsidRPr="00D42884" w:rsidRDefault="008B61C8" w:rsidP="008B61C8">
      <w:pPr>
        <w:autoSpaceDE w:val="0"/>
        <w:autoSpaceDN w:val="0"/>
        <w:adjustRightInd w:val="0"/>
        <w:rPr>
          <w:rFonts w:ascii="AvenirNextLTPro-Cn" w:hAnsi="AvenirNextLTPro-Cn" w:cs="AvenirNextLTPro-Cn"/>
          <w:szCs w:val="24"/>
        </w:rPr>
      </w:pPr>
      <w:r w:rsidRPr="00D42884">
        <w:rPr>
          <w:rFonts w:ascii="MyriadPro-SemiCn" w:hAnsi="MyriadPro-SemiCn" w:cs="MyriadPro-SemiCn"/>
          <w:szCs w:val="24"/>
        </w:rPr>
        <w:t xml:space="preserve">- </w:t>
      </w:r>
      <w:r w:rsidRPr="00D42884">
        <w:rPr>
          <w:rFonts w:ascii="AvenirNextLTPro-Cn" w:hAnsi="AvenirNextLTPro-Cn" w:cs="AvenirNextLTPro-Cn"/>
          <w:szCs w:val="24"/>
        </w:rPr>
        <w:t>Centre de recher</w:t>
      </w:r>
      <w:r w:rsidR="00A22B21" w:rsidRPr="00D42884">
        <w:rPr>
          <w:rFonts w:ascii="AvenirNextLTPro-Cn" w:hAnsi="AvenirNextLTPro-Cn" w:cs="AvenirNextLTPro-Cn"/>
          <w:szCs w:val="24"/>
        </w:rPr>
        <w:t>che Nouvelle Aquitaine-Poitiers</w:t>
      </w:r>
      <w:r w:rsidR="00D42884" w:rsidRPr="00D42884">
        <w:rPr>
          <w:rFonts w:ascii="AvenirNextLTPro-Cn" w:hAnsi="AvenirNextLTPro-Cn" w:cs="AvenirNextLTPro-Cn"/>
          <w:szCs w:val="24"/>
        </w:rPr>
        <w:t xml:space="preserve"> </w:t>
      </w:r>
      <w:r w:rsidRPr="00D42884">
        <w:rPr>
          <w:rFonts w:ascii="AvenirNextLTPro-Cn" w:hAnsi="AvenirNextLTPro-Cn" w:cs="AvenirNextLTPro-Cn"/>
          <w:szCs w:val="24"/>
        </w:rPr>
        <w:t>;</w:t>
      </w:r>
    </w:p>
    <w:p w14:paraId="2243A56E" w14:textId="21A9B2D8" w:rsidR="008B61C8" w:rsidRPr="00D42884" w:rsidRDefault="008B61C8" w:rsidP="008B61C8">
      <w:pPr>
        <w:autoSpaceDE w:val="0"/>
        <w:autoSpaceDN w:val="0"/>
        <w:adjustRightInd w:val="0"/>
        <w:rPr>
          <w:rFonts w:ascii="AvenirNextLTPro-Cn" w:hAnsi="AvenirNextLTPro-Cn" w:cs="AvenirNextLTPro-Cn"/>
          <w:szCs w:val="24"/>
        </w:rPr>
      </w:pPr>
      <w:r w:rsidRPr="00D42884">
        <w:rPr>
          <w:rFonts w:ascii="MyriadPro-SemiCn" w:hAnsi="MyriadPro-SemiCn" w:cs="MyriadPro-SemiCn"/>
          <w:szCs w:val="24"/>
        </w:rPr>
        <w:t xml:space="preserve">- </w:t>
      </w:r>
      <w:r w:rsidRPr="00D42884">
        <w:rPr>
          <w:rFonts w:ascii="AvenirNextLTPro-Cn" w:hAnsi="AvenirNextLTPro-Cn" w:cs="AvenirNextLTPro-Cn"/>
          <w:szCs w:val="24"/>
        </w:rPr>
        <w:t>Centre de recherche Occitanie-Montpellier ;</w:t>
      </w:r>
    </w:p>
    <w:p w14:paraId="182E2011" w14:textId="749AEE4D" w:rsidR="008B61C8" w:rsidRPr="00D42884" w:rsidRDefault="008B61C8" w:rsidP="008B61C8">
      <w:pPr>
        <w:autoSpaceDE w:val="0"/>
        <w:autoSpaceDN w:val="0"/>
        <w:adjustRightInd w:val="0"/>
        <w:rPr>
          <w:rFonts w:ascii="AvenirNextLTPro-Cn" w:hAnsi="AvenirNextLTPro-Cn" w:cs="AvenirNextLTPro-Cn"/>
          <w:szCs w:val="24"/>
        </w:rPr>
      </w:pPr>
      <w:r w:rsidRPr="00D42884">
        <w:rPr>
          <w:rFonts w:ascii="MyriadPro-SemiCn" w:hAnsi="MyriadPro-SemiCn" w:cs="MyriadPro-SemiCn"/>
          <w:szCs w:val="24"/>
        </w:rPr>
        <w:t xml:space="preserve">- </w:t>
      </w:r>
      <w:r w:rsidRPr="00D42884">
        <w:rPr>
          <w:rFonts w:ascii="AvenirNextLTPro-Cn" w:hAnsi="AvenirNextLTPro-Cn" w:cs="AvenirNextLTPro-Cn"/>
          <w:szCs w:val="24"/>
        </w:rPr>
        <w:t>Centre de recherche Occitanie-Toulouse ;</w:t>
      </w:r>
    </w:p>
    <w:p w14:paraId="3C90DB02" w14:textId="77777777" w:rsidR="008B61C8" w:rsidRPr="00D42884" w:rsidRDefault="008B61C8" w:rsidP="008B61C8">
      <w:pPr>
        <w:autoSpaceDE w:val="0"/>
        <w:autoSpaceDN w:val="0"/>
        <w:adjustRightInd w:val="0"/>
        <w:rPr>
          <w:rFonts w:ascii="AvenirNextLTPro-Cn" w:hAnsi="AvenirNextLTPro-Cn" w:cs="AvenirNextLTPro-Cn"/>
          <w:szCs w:val="24"/>
        </w:rPr>
      </w:pPr>
      <w:r w:rsidRPr="00D42884">
        <w:rPr>
          <w:rFonts w:ascii="MyriadPro-SemiCn" w:hAnsi="MyriadPro-SemiCn" w:cs="MyriadPro-SemiCn"/>
          <w:szCs w:val="24"/>
        </w:rPr>
        <w:t xml:space="preserve">- </w:t>
      </w:r>
      <w:r w:rsidRPr="00D42884">
        <w:rPr>
          <w:rFonts w:ascii="AvenirNextLTPro-Cn" w:hAnsi="AvenirNextLTPro-Cn" w:cs="AvenirNextLTPro-Cn"/>
          <w:szCs w:val="24"/>
        </w:rPr>
        <w:t>Centre de recherche Pays de la Loire ;</w:t>
      </w:r>
    </w:p>
    <w:p w14:paraId="1C2EA35C" w14:textId="3EAE3739" w:rsidR="008B61C8" w:rsidRPr="00D42884" w:rsidRDefault="008B61C8" w:rsidP="008B61C8">
      <w:pPr>
        <w:autoSpaceDE w:val="0"/>
        <w:autoSpaceDN w:val="0"/>
        <w:adjustRightInd w:val="0"/>
        <w:rPr>
          <w:rFonts w:ascii="AvenirNextLTPro-Cn" w:hAnsi="AvenirNextLTPro-Cn" w:cs="AvenirNextLTPro-Cn"/>
          <w:szCs w:val="24"/>
        </w:rPr>
      </w:pPr>
      <w:r w:rsidRPr="00D42884">
        <w:rPr>
          <w:rFonts w:ascii="MyriadPro-SemiCn" w:hAnsi="MyriadPro-SemiCn" w:cs="MyriadPro-SemiCn"/>
          <w:szCs w:val="24"/>
        </w:rPr>
        <w:t xml:space="preserve">- </w:t>
      </w:r>
      <w:r w:rsidRPr="00D42884">
        <w:rPr>
          <w:rFonts w:ascii="AvenirNextLTPro-Cn" w:hAnsi="AvenirNextLTPro-Cn" w:cs="AvenirNextLTPro-Cn"/>
          <w:szCs w:val="24"/>
        </w:rPr>
        <w:t>Centre de reche</w:t>
      </w:r>
      <w:r w:rsidR="00A22B21" w:rsidRPr="00D42884">
        <w:rPr>
          <w:rFonts w:ascii="AvenirNextLTPro-Cn" w:hAnsi="AvenirNextLTPro-Cn" w:cs="AvenirNextLTPro-Cn"/>
          <w:szCs w:val="24"/>
        </w:rPr>
        <w:t>rche Provence-Alpes-Côte d’Azur</w:t>
      </w:r>
      <w:r w:rsidR="00D42884" w:rsidRPr="00D42884">
        <w:rPr>
          <w:rFonts w:ascii="AvenirNextLTPro-Cn" w:hAnsi="AvenirNextLTPro-Cn" w:cs="AvenirNextLTPro-Cn"/>
          <w:szCs w:val="24"/>
        </w:rPr>
        <w:t xml:space="preserve"> </w:t>
      </w:r>
      <w:r w:rsidRPr="00D42884">
        <w:rPr>
          <w:rFonts w:ascii="AvenirNextLTPro-Cn" w:hAnsi="AvenirNextLTPro-Cn" w:cs="AvenirNextLTPro-Cn"/>
          <w:szCs w:val="24"/>
        </w:rPr>
        <w:t>;</w:t>
      </w:r>
    </w:p>
    <w:p w14:paraId="443DCCC6" w14:textId="77777777" w:rsidR="008B61C8" w:rsidRPr="00D42884" w:rsidRDefault="008B61C8" w:rsidP="008B61C8">
      <w:pPr>
        <w:autoSpaceDE w:val="0"/>
        <w:autoSpaceDN w:val="0"/>
        <w:adjustRightInd w:val="0"/>
        <w:rPr>
          <w:rFonts w:ascii="AvenirNextLTPro-Cn" w:hAnsi="AvenirNextLTPro-Cn" w:cs="AvenirNextLTPro-Cn"/>
          <w:szCs w:val="24"/>
        </w:rPr>
      </w:pPr>
      <w:r w:rsidRPr="00D42884">
        <w:rPr>
          <w:rFonts w:ascii="MyriadPro-SemiCn" w:hAnsi="MyriadPro-SemiCn" w:cs="MyriadPro-SemiCn"/>
          <w:szCs w:val="24"/>
        </w:rPr>
        <w:t xml:space="preserve">- </w:t>
      </w:r>
      <w:r w:rsidRPr="00D42884">
        <w:rPr>
          <w:rFonts w:ascii="AvenirNextLTPro-Cn" w:hAnsi="AvenirNextLTPro-Cn" w:cs="AvenirNextLTPro-Cn"/>
          <w:szCs w:val="24"/>
        </w:rPr>
        <w:t>Centre de recherche Val de Loire ;</w:t>
      </w:r>
    </w:p>
    <w:p w14:paraId="11E5A54B" w14:textId="77777777" w:rsidR="008B61C8" w:rsidRPr="00D42884" w:rsidRDefault="008B61C8" w:rsidP="008B61C8">
      <w:pPr>
        <w:rPr>
          <w:szCs w:val="24"/>
        </w:rPr>
      </w:pPr>
      <w:r w:rsidRPr="00D42884">
        <w:rPr>
          <w:rFonts w:ascii="MyriadPro-SemiCn" w:hAnsi="MyriadPro-SemiCn" w:cs="MyriadPro-SemiCn"/>
          <w:szCs w:val="24"/>
        </w:rPr>
        <w:t xml:space="preserve">- </w:t>
      </w:r>
      <w:r w:rsidRPr="00D42884">
        <w:rPr>
          <w:rFonts w:ascii="AvenirNextLTPro-Cn" w:hAnsi="AvenirNextLTPro-Cn" w:cs="AvenirNextLTPro-Cn"/>
          <w:szCs w:val="24"/>
        </w:rPr>
        <w:t>Centre-siège.</w:t>
      </w:r>
      <w:r w:rsidRPr="00D42884">
        <w:rPr>
          <w:szCs w:val="24"/>
        </w:rPr>
        <w:t xml:space="preserve"> </w:t>
      </w:r>
    </w:p>
    <w:p w14:paraId="35777269" w14:textId="4F839A8F" w:rsidR="008B61C8" w:rsidRDefault="008B61C8" w:rsidP="008B61C8"/>
    <w:p w14:paraId="06CD3333" w14:textId="0931D770" w:rsidR="00D42884" w:rsidRDefault="00D42884" w:rsidP="008B61C8"/>
    <w:p w14:paraId="5822A819" w14:textId="43A1BF61" w:rsidR="00D42884" w:rsidRDefault="00D42884" w:rsidP="008B61C8"/>
    <w:p w14:paraId="2F37CFBF" w14:textId="77777777" w:rsidR="00D42884" w:rsidRDefault="00D42884" w:rsidP="008B61C8"/>
    <w:p w14:paraId="2F2F22C9" w14:textId="43638974" w:rsidR="00235CFE" w:rsidRPr="00235CFE" w:rsidRDefault="00A25875" w:rsidP="00011CED">
      <w:pPr>
        <w:pStyle w:val="Titre3"/>
      </w:pPr>
      <w:bookmarkStart w:id="6" w:name="_Toc201856018"/>
      <w:r>
        <w:t xml:space="preserve">2.1.3 </w:t>
      </w:r>
      <w:r w:rsidR="008B61C8" w:rsidRPr="00A150FA">
        <w:t>Les unités</w:t>
      </w:r>
      <w:bookmarkEnd w:id="6"/>
      <w:r w:rsidR="008B61C8" w:rsidRPr="00A150FA">
        <w:t xml:space="preserve"> </w:t>
      </w:r>
    </w:p>
    <w:p w14:paraId="6E539B46" w14:textId="77777777" w:rsidR="00144BA6" w:rsidRDefault="008B61C8" w:rsidP="008B61C8">
      <w:r w:rsidRPr="00A150FA">
        <w:t xml:space="preserve">Les activités scientifiques et d’appui à la recherche sont conduites dans des unités. L’unité représente le niveau opérationnel de base de l’organisation </w:t>
      </w:r>
      <w:r>
        <w:t xml:space="preserve">d’INRAE. </w:t>
      </w:r>
    </w:p>
    <w:p w14:paraId="6B8B2DDF" w14:textId="295649A2" w:rsidR="008B61C8" w:rsidRDefault="008B61C8" w:rsidP="008B61C8">
      <w:r>
        <w:t>Les unités sont autonomes budgétairement</w:t>
      </w:r>
      <w:r w:rsidR="00B130E3">
        <w:t xml:space="preserve"> et passent les commandes répondant à leurs besoins.</w:t>
      </w:r>
    </w:p>
    <w:p w14:paraId="556BACFC" w14:textId="054B0047" w:rsidR="008B61C8" w:rsidRDefault="008B61C8" w:rsidP="008B61C8">
      <w:r>
        <w:t xml:space="preserve">Une unité est donc le premier échelon administratif, rattaché ensuite à un des 19 </w:t>
      </w:r>
      <w:r w:rsidR="00144BA6">
        <w:t>c</w:t>
      </w:r>
      <w:r>
        <w:t>entres INRAE.</w:t>
      </w:r>
    </w:p>
    <w:p w14:paraId="1ED82BD2" w14:textId="77777777" w:rsidR="008B61C8" w:rsidRDefault="008B61C8" w:rsidP="008B61C8"/>
    <w:p w14:paraId="6FC553B4" w14:textId="5B00913B" w:rsidR="008B61C8" w:rsidRDefault="00A25875" w:rsidP="00011CED">
      <w:pPr>
        <w:pStyle w:val="Titre3"/>
      </w:pPr>
      <w:bookmarkStart w:id="7" w:name="_Toc201856019"/>
      <w:r>
        <w:t xml:space="preserve">2.1.4 </w:t>
      </w:r>
      <w:r w:rsidR="00235CFE">
        <w:t>Agences comptables secondaires</w:t>
      </w:r>
      <w:bookmarkEnd w:id="7"/>
      <w:r w:rsidR="00235CFE">
        <w:t xml:space="preserve"> </w:t>
      </w:r>
    </w:p>
    <w:p w14:paraId="249D7993" w14:textId="10B0549F" w:rsidR="00235CFE" w:rsidRDefault="00235CFE" w:rsidP="00235CFE">
      <w:r w:rsidRPr="00235CFE">
        <w:t>Il existe une agence comptable principale (pilotage et agence facturière pour certaines factures spécifiques) et 12 agences comptables secondaires à INRAE. La liste des agents comptables est fournie en annexe du CCAP.</w:t>
      </w:r>
    </w:p>
    <w:p w14:paraId="57AB0CA9" w14:textId="77777777" w:rsidR="003C076F" w:rsidRPr="00235CFE" w:rsidRDefault="003C076F" w:rsidP="00235CFE"/>
    <w:p w14:paraId="352944B1" w14:textId="361F3270" w:rsidR="003C076F" w:rsidRPr="00235CFE" w:rsidRDefault="00235CFE" w:rsidP="00235CFE">
      <w:r w:rsidRPr="00235CFE">
        <w:t>6 agences sont mutualisées pour plusieurs Centres, le reste étant une agence comptable par Centre :</w:t>
      </w:r>
    </w:p>
    <w:p w14:paraId="6C26C572" w14:textId="77777777" w:rsidR="00235CFE" w:rsidRPr="00235CFE" w:rsidRDefault="00235CFE" w:rsidP="00DC55D8">
      <w:pPr>
        <w:pStyle w:val="Paragraphedeliste"/>
        <w:numPr>
          <w:ilvl w:val="0"/>
          <w:numId w:val="4"/>
        </w:numPr>
        <w:rPr>
          <w:rFonts w:eastAsiaTheme="minorHAnsi"/>
        </w:rPr>
      </w:pPr>
      <w:r w:rsidRPr="00235CFE">
        <w:rPr>
          <w:rFonts w:eastAsiaTheme="minorHAnsi"/>
        </w:rPr>
        <w:t>L’agence de Bourgogne Franche-Comté opère pour le Centre de Bourgogne Franche-Comté et les 2 Centres du Grand Est (Nancy et Colmar) ;</w:t>
      </w:r>
    </w:p>
    <w:p w14:paraId="26718D11" w14:textId="77777777" w:rsidR="00235CFE" w:rsidRPr="00235CFE" w:rsidRDefault="00235CFE" w:rsidP="00DC55D8">
      <w:pPr>
        <w:pStyle w:val="Paragraphedeliste"/>
        <w:numPr>
          <w:ilvl w:val="0"/>
          <w:numId w:val="4"/>
        </w:numPr>
        <w:rPr>
          <w:rFonts w:eastAsiaTheme="minorHAnsi"/>
        </w:rPr>
      </w:pPr>
      <w:r w:rsidRPr="00235CFE">
        <w:rPr>
          <w:rFonts w:eastAsiaTheme="minorHAnsi"/>
        </w:rPr>
        <w:t>L’agence IDF-Jouy-en-Josas opère pour le Centre de Jouy-en-Josas et le Centre-Siège ;</w:t>
      </w:r>
    </w:p>
    <w:p w14:paraId="6D3D9951" w14:textId="77777777" w:rsidR="00235CFE" w:rsidRPr="00235CFE" w:rsidRDefault="00235CFE" w:rsidP="00DC55D8">
      <w:pPr>
        <w:pStyle w:val="Paragraphedeliste"/>
        <w:numPr>
          <w:ilvl w:val="0"/>
          <w:numId w:val="4"/>
        </w:numPr>
        <w:rPr>
          <w:rFonts w:eastAsiaTheme="minorHAnsi"/>
        </w:rPr>
      </w:pPr>
      <w:r w:rsidRPr="00235CFE">
        <w:rPr>
          <w:rFonts w:eastAsiaTheme="minorHAnsi"/>
        </w:rPr>
        <w:t>L’agence IDF-Versailles-Grignon opère pour le Centre de Versailles-Grignon et des Hauts-de-France ;</w:t>
      </w:r>
    </w:p>
    <w:p w14:paraId="6F2FB7F4" w14:textId="77777777" w:rsidR="00235CFE" w:rsidRPr="00235CFE" w:rsidRDefault="00235CFE" w:rsidP="00DC55D8">
      <w:pPr>
        <w:pStyle w:val="Paragraphedeliste"/>
        <w:numPr>
          <w:ilvl w:val="0"/>
          <w:numId w:val="4"/>
        </w:numPr>
        <w:rPr>
          <w:rFonts w:eastAsiaTheme="minorHAnsi"/>
        </w:rPr>
      </w:pPr>
      <w:r w:rsidRPr="00235CFE">
        <w:rPr>
          <w:rFonts w:eastAsiaTheme="minorHAnsi"/>
        </w:rPr>
        <w:t>L’agence Nouvelle-Aquitaine Bordeaux opère pour le Centre de Bordeaux et Poitiers ;</w:t>
      </w:r>
    </w:p>
    <w:p w14:paraId="14B0EB7A" w14:textId="77777777" w:rsidR="00235CFE" w:rsidRPr="00235CFE" w:rsidRDefault="00235CFE" w:rsidP="00DC55D8">
      <w:pPr>
        <w:pStyle w:val="Paragraphedeliste"/>
        <w:numPr>
          <w:ilvl w:val="0"/>
          <w:numId w:val="4"/>
        </w:numPr>
        <w:rPr>
          <w:rFonts w:eastAsiaTheme="minorHAnsi"/>
        </w:rPr>
      </w:pPr>
      <w:r w:rsidRPr="00235CFE">
        <w:rPr>
          <w:rFonts w:eastAsiaTheme="minorHAnsi"/>
        </w:rPr>
        <w:t>L’agence Clermont ARA Ouest opère pour le Centre Clermont ARA Ouest et Lyon-Grenoble ARA Est ;</w:t>
      </w:r>
    </w:p>
    <w:p w14:paraId="62466715" w14:textId="7C1051D6" w:rsidR="00235CFE" w:rsidRDefault="00235CFE" w:rsidP="00DC55D8">
      <w:pPr>
        <w:pStyle w:val="Paragraphedeliste"/>
        <w:numPr>
          <w:ilvl w:val="0"/>
          <w:numId w:val="4"/>
        </w:numPr>
        <w:rPr>
          <w:rFonts w:eastAsiaTheme="minorHAnsi"/>
        </w:rPr>
      </w:pPr>
      <w:r w:rsidRPr="00235CFE">
        <w:rPr>
          <w:rFonts w:eastAsiaTheme="minorHAnsi"/>
        </w:rPr>
        <w:t>L’agence Occitanie Montpellier opère pour le Centre de Montpellier et de Corse.</w:t>
      </w:r>
    </w:p>
    <w:p w14:paraId="19206FBD" w14:textId="77777777" w:rsidR="003E5A21" w:rsidRPr="00235CFE" w:rsidRDefault="003E5A21" w:rsidP="003E5A21">
      <w:pPr>
        <w:pStyle w:val="Paragraphedeliste"/>
        <w:ind w:left="720"/>
        <w:rPr>
          <w:rFonts w:eastAsiaTheme="minorHAnsi"/>
        </w:rPr>
      </w:pPr>
    </w:p>
    <w:p w14:paraId="15B60809" w14:textId="171216D1" w:rsidR="001E6FC7" w:rsidRPr="001E6FC7" w:rsidRDefault="003C076F" w:rsidP="00011CED">
      <w:pPr>
        <w:pStyle w:val="Titre2"/>
        <w:numPr>
          <w:ilvl w:val="1"/>
          <w:numId w:val="1"/>
        </w:numPr>
      </w:pPr>
      <w:bookmarkStart w:id="8" w:name="_Toc201856020"/>
      <w:r>
        <w:t>Volumétrie</w:t>
      </w:r>
      <w:bookmarkEnd w:id="8"/>
    </w:p>
    <w:p w14:paraId="329A0A98" w14:textId="0CD5A4B0" w:rsidR="003C076F" w:rsidRDefault="003C076F" w:rsidP="003C076F">
      <w:r>
        <w:t xml:space="preserve">Actuellement, INRAE compte environ 590 cartes achat et 184 cartes </w:t>
      </w:r>
      <w:proofErr w:type="spellStart"/>
      <w:r>
        <w:t>corporate</w:t>
      </w:r>
      <w:proofErr w:type="spellEnd"/>
      <w:r>
        <w:t>.</w:t>
      </w:r>
    </w:p>
    <w:p w14:paraId="5A953B14" w14:textId="77777777" w:rsidR="003C076F" w:rsidRDefault="003C076F" w:rsidP="003C076F"/>
    <w:p w14:paraId="2A0845E5" w14:textId="689D85EE" w:rsidR="003C076F" w:rsidRDefault="004E56A8" w:rsidP="003C076F">
      <w:r>
        <w:t>En</w:t>
      </w:r>
      <w:r w:rsidR="003C076F">
        <w:t xml:space="preserve"> 2024, les </w:t>
      </w:r>
      <w:r w:rsidR="003C076F" w:rsidRPr="00F31D83">
        <w:rPr>
          <w:b/>
        </w:rPr>
        <w:t>cartes achat</w:t>
      </w:r>
      <w:r w:rsidR="003C076F">
        <w:t xml:space="preserve"> ont permis de réaliser des dépenses à hauteur de </w:t>
      </w:r>
      <w:r w:rsidR="00547EB7" w:rsidRPr="00547EB7">
        <w:t>5 287</w:t>
      </w:r>
      <w:r w:rsidR="003C076F" w:rsidRPr="00547EB7">
        <w:t xml:space="preserve"> </w:t>
      </w:r>
      <w:r w:rsidR="00547EB7" w:rsidRPr="00547EB7">
        <w:t>432</w:t>
      </w:r>
      <w:r w:rsidR="003C076F" w:rsidRPr="00547EB7">
        <w:t xml:space="preserve"> €</w:t>
      </w:r>
      <w:r w:rsidR="00547EB7">
        <w:t xml:space="preserve"> </w:t>
      </w:r>
      <w:r w:rsidR="00547EB7" w:rsidRPr="00547EB7">
        <w:t>TTC</w:t>
      </w:r>
      <w:r w:rsidR="003C076F">
        <w:t xml:space="preserve"> Ces cartes sont utilisées principalement pour des achats de fonctionnement, de petit</w:t>
      </w:r>
      <w:r>
        <w:t>s</w:t>
      </w:r>
      <w:r w:rsidR="003C076F">
        <w:t xml:space="preserve"> équipement</w:t>
      </w:r>
      <w:r>
        <w:t>s</w:t>
      </w:r>
      <w:r w:rsidR="003C076F">
        <w:t>, de documentation, de logiciels, etc.</w:t>
      </w:r>
    </w:p>
    <w:p w14:paraId="2827B21C" w14:textId="77777777" w:rsidR="004E56A8" w:rsidRDefault="004E56A8" w:rsidP="00C522BC"/>
    <w:p w14:paraId="2A1787D1" w14:textId="6C02FCCA" w:rsidR="005A2F4D" w:rsidRPr="00BE53FD" w:rsidRDefault="003C076F" w:rsidP="00C522BC">
      <w:r w:rsidRPr="00BE53FD">
        <w:t xml:space="preserve">Concernant les </w:t>
      </w:r>
      <w:r w:rsidRPr="00F31D83">
        <w:rPr>
          <w:b/>
        </w:rPr>
        <w:t xml:space="preserve">cartes </w:t>
      </w:r>
      <w:proofErr w:type="spellStart"/>
      <w:r w:rsidRPr="00F31D83">
        <w:rPr>
          <w:b/>
        </w:rPr>
        <w:t>corporate</w:t>
      </w:r>
      <w:proofErr w:type="spellEnd"/>
      <w:r w:rsidRPr="00BE53FD">
        <w:t xml:space="preserve">, les dépenses atteignent environ 564 563 € </w:t>
      </w:r>
      <w:r w:rsidR="00547EB7">
        <w:t xml:space="preserve">TTC </w:t>
      </w:r>
      <w:r w:rsidRPr="00BE53FD">
        <w:t xml:space="preserve">pour l’année 2024, réparties principalement entre l’hébergement à l’étranger, les achats divers, les retraits et la restauration. </w:t>
      </w:r>
    </w:p>
    <w:p w14:paraId="7A7E4933" w14:textId="77777777" w:rsidR="003C076F" w:rsidRDefault="003C076F" w:rsidP="003C076F"/>
    <w:p w14:paraId="59CB1041" w14:textId="5AF03FC1" w:rsidR="003C076F" w:rsidRDefault="00BF5349" w:rsidP="003C076F">
      <w:r>
        <w:t>Les statistiques détaillées sont présentées e</w:t>
      </w:r>
      <w:r w:rsidR="003C076F">
        <w:t>n annexe.</w:t>
      </w:r>
    </w:p>
    <w:p w14:paraId="5E3B68A6" w14:textId="77777777" w:rsidR="003C076F" w:rsidRDefault="003C076F" w:rsidP="003C076F"/>
    <w:p w14:paraId="282A9CBF" w14:textId="1B3B6BC2" w:rsidR="003C076F" w:rsidRDefault="003C076F" w:rsidP="003C076F">
      <w:r>
        <w:t>Pour le calcul de la valeur estimée du besoin s’agissant d’un marché de titres de paiement, l’acheteur doit prendre en compte, outre les frais de gestion versés par le pouvoir adjudicateur, la valeur faciale des titres susceptibles d’être émis pour son exécution.</w:t>
      </w:r>
    </w:p>
    <w:p w14:paraId="05CC0935" w14:textId="77777777" w:rsidR="003C076F" w:rsidRDefault="003C076F" w:rsidP="003C076F"/>
    <w:p w14:paraId="4191824A" w14:textId="77777777" w:rsidR="00F31D83" w:rsidRDefault="003C076F" w:rsidP="003C076F">
      <w:r>
        <w:t xml:space="preserve">Suivant ces modalités de </w:t>
      </w:r>
      <w:r w:rsidR="003E5A21">
        <w:t>calcul</w:t>
      </w:r>
      <w:r w:rsidR="00F31D83">
        <w:t> :</w:t>
      </w:r>
    </w:p>
    <w:p w14:paraId="067BC193" w14:textId="034728D5" w:rsidR="00BF5349" w:rsidRPr="00547EB7" w:rsidRDefault="00BF5349" w:rsidP="00BF5349">
      <w:pPr>
        <w:pStyle w:val="Paragraphedeliste"/>
        <w:numPr>
          <w:ilvl w:val="0"/>
          <w:numId w:val="14"/>
        </w:numPr>
      </w:pPr>
      <w:proofErr w:type="gramStart"/>
      <w:r w:rsidRPr="00547EB7">
        <w:t>le</w:t>
      </w:r>
      <w:proofErr w:type="gramEnd"/>
      <w:r w:rsidRPr="00547EB7">
        <w:t xml:space="preserve"> montant estimatif annuel pour les cartes achat est de 5 300 000 € TTC, soit un total de 12</w:t>
      </w:r>
      <w:r>
        <w:t xml:space="preserve"> 200 000 </w:t>
      </w:r>
      <w:r w:rsidRPr="00547EB7">
        <w:t>€ TTC</w:t>
      </w:r>
      <w:r>
        <w:t> ;</w:t>
      </w:r>
    </w:p>
    <w:p w14:paraId="059019FA" w14:textId="5BC39D2E" w:rsidR="003C076F" w:rsidRDefault="003E5A21" w:rsidP="00182679">
      <w:pPr>
        <w:pStyle w:val="Paragraphedeliste"/>
        <w:numPr>
          <w:ilvl w:val="0"/>
          <w:numId w:val="14"/>
        </w:numPr>
      </w:pPr>
      <w:proofErr w:type="gramStart"/>
      <w:r>
        <w:t>le</w:t>
      </w:r>
      <w:proofErr w:type="gramEnd"/>
      <w:r w:rsidR="003C076F">
        <w:t xml:space="preserve"> montant estimatif annuel pour les cartes </w:t>
      </w:r>
      <w:proofErr w:type="spellStart"/>
      <w:r w:rsidR="003C076F">
        <w:t>corporate</w:t>
      </w:r>
      <w:proofErr w:type="spellEnd"/>
      <w:r w:rsidR="003C076F">
        <w:t xml:space="preserve"> est de 600 000 € </w:t>
      </w:r>
      <w:r w:rsidR="00C04F68">
        <w:t>T</w:t>
      </w:r>
      <w:r w:rsidR="003C076F">
        <w:t>T</w:t>
      </w:r>
      <w:r w:rsidR="00C04F68">
        <w:t>C</w:t>
      </w:r>
      <w:r w:rsidR="003C076F">
        <w:t xml:space="preserve">, soit un total de 2 400 000 € </w:t>
      </w:r>
      <w:r w:rsidR="00C04F68">
        <w:t>TTC</w:t>
      </w:r>
      <w:r w:rsidR="003C076F">
        <w:t xml:space="preserve"> sur la durée de l’accord-cadre.</w:t>
      </w:r>
    </w:p>
    <w:p w14:paraId="5D1F6158" w14:textId="77777777" w:rsidR="003C076F" w:rsidRDefault="003C076F" w:rsidP="003C076F"/>
    <w:p w14:paraId="787AFF13" w14:textId="5BF62667" w:rsidR="005A2F4D" w:rsidRDefault="005A2F4D" w:rsidP="005A2F4D">
      <w:pPr>
        <w:pStyle w:val="Titre1"/>
      </w:pPr>
      <w:bookmarkStart w:id="9" w:name="_Toc201856021"/>
      <w:r w:rsidRPr="005A2F4D">
        <w:lastRenderedPageBreak/>
        <w:t>Cadre réglementaire</w:t>
      </w:r>
      <w:bookmarkEnd w:id="9"/>
    </w:p>
    <w:p w14:paraId="0D2C3203" w14:textId="77777777" w:rsidR="00BF5349" w:rsidRPr="00BF5349" w:rsidRDefault="00BF5349" w:rsidP="00BF5349"/>
    <w:p w14:paraId="10D3D2D4" w14:textId="77777777" w:rsidR="00E16F2E" w:rsidRDefault="005A2F4D" w:rsidP="00C522BC">
      <w:r w:rsidRPr="005A2F4D">
        <w:t xml:space="preserve">Le titulaire est réputé connaître l’ensemble des lois et règlements applicables à l’exécution de la dépense publique. </w:t>
      </w:r>
    </w:p>
    <w:p w14:paraId="70B2F701" w14:textId="7779A5A0" w:rsidR="005A2F4D" w:rsidRDefault="005A2F4D" w:rsidP="00C522BC">
      <w:r w:rsidRPr="005A2F4D">
        <w:t>Il présente une offre conforme aux règles du droit public et notamment aux dispositions suivantes :</w:t>
      </w:r>
    </w:p>
    <w:p w14:paraId="3BC8A5B2" w14:textId="5ED70B5D" w:rsidR="00E4572D" w:rsidRDefault="00E4572D" w:rsidP="00182679">
      <w:pPr>
        <w:pStyle w:val="Paragraphedeliste"/>
        <w:numPr>
          <w:ilvl w:val="0"/>
          <w:numId w:val="14"/>
        </w:numPr>
      </w:pPr>
      <w:r w:rsidRPr="00BF5349">
        <w:rPr>
          <w:b/>
        </w:rPr>
        <w:t>Carte achat</w:t>
      </w:r>
      <w:r>
        <w:t xml:space="preserve"> : </w:t>
      </w:r>
      <w:r w:rsidR="00E16F2E">
        <w:t>d</w:t>
      </w:r>
      <w:r>
        <w:t>écret n° 2023-209 du 27 mars 2023 relatif à l'exécution de la dépense publique par carte d'achat</w:t>
      </w:r>
    </w:p>
    <w:p w14:paraId="44162D22" w14:textId="7ADBD0F0" w:rsidR="00E16F2E" w:rsidRDefault="00E16F2E" w:rsidP="00182679">
      <w:pPr>
        <w:pStyle w:val="Paragraphedeliste"/>
        <w:numPr>
          <w:ilvl w:val="0"/>
          <w:numId w:val="14"/>
        </w:numPr>
      </w:pPr>
      <w:r>
        <w:rPr>
          <w:b/>
          <w:bCs/>
        </w:rPr>
        <w:t>C</w:t>
      </w:r>
      <w:r w:rsidRPr="005A2F4D">
        <w:rPr>
          <w:b/>
          <w:bCs/>
        </w:rPr>
        <w:t xml:space="preserve">arte </w:t>
      </w:r>
      <w:proofErr w:type="spellStart"/>
      <w:r>
        <w:rPr>
          <w:b/>
          <w:bCs/>
        </w:rPr>
        <w:t>corporate</w:t>
      </w:r>
      <w:proofErr w:type="spellEnd"/>
      <w:r w:rsidRPr="005A2F4D">
        <w:t xml:space="preserve"> : instruction DGCP n°04-019-M9 du 23 février 2004</w:t>
      </w:r>
    </w:p>
    <w:p w14:paraId="5DEB8571" w14:textId="2581D070" w:rsidR="00E16F2E" w:rsidRDefault="00E16F2E" w:rsidP="00182679">
      <w:pPr>
        <w:pStyle w:val="Paragraphedeliste"/>
        <w:numPr>
          <w:ilvl w:val="0"/>
          <w:numId w:val="14"/>
        </w:numPr>
      </w:pPr>
      <w:r>
        <w:rPr>
          <w:b/>
          <w:bCs/>
        </w:rPr>
        <w:t xml:space="preserve">Carte achat et carte </w:t>
      </w:r>
      <w:proofErr w:type="spellStart"/>
      <w:r>
        <w:rPr>
          <w:b/>
          <w:bCs/>
        </w:rPr>
        <w:t>corporate</w:t>
      </w:r>
      <w:proofErr w:type="spellEnd"/>
      <w:r>
        <w:rPr>
          <w:b/>
          <w:bCs/>
        </w:rPr>
        <w:t> </w:t>
      </w:r>
      <w:r w:rsidRPr="00E16F2E">
        <w:t>:</w:t>
      </w:r>
      <w:r>
        <w:t xml:space="preserve"> instruction interministérielle du 16 mai 2023 relative au déploiement et à l’utilisation de la carte affaires et de la carte d’achat</w:t>
      </w:r>
    </w:p>
    <w:p w14:paraId="4E9A794B" w14:textId="11593413" w:rsidR="005A2F4D" w:rsidRDefault="005A2F4D" w:rsidP="00EE05AA"/>
    <w:p w14:paraId="262F7074" w14:textId="77777777" w:rsidR="001B6F61" w:rsidRPr="005A2F4D" w:rsidRDefault="001B6F61" w:rsidP="00EE05AA"/>
    <w:p w14:paraId="3444A278" w14:textId="4424EB63" w:rsidR="00A25875" w:rsidRDefault="0012048E" w:rsidP="00A25875">
      <w:pPr>
        <w:pStyle w:val="Titre1"/>
      </w:pPr>
      <w:bookmarkStart w:id="10" w:name="_Toc201856022"/>
      <w:r>
        <w:t>Dispositions spécifiques à la</w:t>
      </w:r>
      <w:r w:rsidR="00A25875">
        <w:t xml:space="preserve"> carte achat</w:t>
      </w:r>
      <w:bookmarkEnd w:id="10"/>
      <w:r w:rsidR="00A25875">
        <w:t xml:space="preserve"> </w:t>
      </w:r>
    </w:p>
    <w:p w14:paraId="4EE34A5D" w14:textId="77777777" w:rsidR="00A25875" w:rsidRDefault="00A25875" w:rsidP="00A25875"/>
    <w:p w14:paraId="4819B640" w14:textId="671AA2EB" w:rsidR="00A25875" w:rsidRDefault="009131CE" w:rsidP="00011CED">
      <w:pPr>
        <w:pStyle w:val="Titre2"/>
        <w:numPr>
          <w:ilvl w:val="1"/>
          <w:numId w:val="1"/>
        </w:numPr>
      </w:pPr>
      <w:bookmarkStart w:id="11" w:name="_Toc201856023"/>
      <w:r>
        <w:t>Utilisation</w:t>
      </w:r>
      <w:r w:rsidR="00A25875">
        <w:t xml:space="preserve"> des cartes</w:t>
      </w:r>
      <w:r>
        <w:t xml:space="preserve"> </w:t>
      </w:r>
      <w:r w:rsidR="0012048E">
        <w:t xml:space="preserve">achat </w:t>
      </w:r>
      <w:r>
        <w:t>à INRAE</w:t>
      </w:r>
      <w:bookmarkEnd w:id="11"/>
    </w:p>
    <w:p w14:paraId="7434372C" w14:textId="647582CC" w:rsidR="001E6FC7" w:rsidRPr="001E6FC7" w:rsidRDefault="001E6FC7" w:rsidP="00011CED">
      <w:pPr>
        <w:pStyle w:val="Titre3"/>
      </w:pPr>
      <w:bookmarkStart w:id="12" w:name="_Toc201856024"/>
      <w:r>
        <w:t>4.1.1 Types de cartes</w:t>
      </w:r>
      <w:bookmarkEnd w:id="12"/>
      <w:r>
        <w:t xml:space="preserve"> </w:t>
      </w:r>
    </w:p>
    <w:p w14:paraId="517B5050" w14:textId="31DCCFF3" w:rsidR="005043BA" w:rsidRDefault="00A25875" w:rsidP="005043BA">
      <w:r w:rsidRPr="00DB6F16">
        <w:t>Dans une même unité, plusieurs agents dûment habilités</w:t>
      </w:r>
      <w:r w:rsidR="005043BA">
        <w:t xml:space="preserve">, </w:t>
      </w:r>
      <w:r w:rsidR="005043BA" w:rsidRPr="00B679AF">
        <w:t>dont les activités sont liées à la recherche ou toute autre activité technique de l’établissement</w:t>
      </w:r>
      <w:r w:rsidR="005043BA">
        <w:t>,</w:t>
      </w:r>
      <w:r w:rsidR="005043BA" w:rsidRPr="00DB6F16">
        <w:t xml:space="preserve"> </w:t>
      </w:r>
      <w:r w:rsidRPr="00DB6F16">
        <w:t>peuvent être porteurs d’une carte achat de niveau</w:t>
      </w:r>
      <w:r>
        <w:t xml:space="preserve"> </w:t>
      </w:r>
      <w:r w:rsidRPr="00DB6F16">
        <w:t>1</w:t>
      </w:r>
      <w:r w:rsidR="005043BA">
        <w:t>.</w:t>
      </w:r>
    </w:p>
    <w:p w14:paraId="2C6B6053" w14:textId="77777777" w:rsidR="009021B6" w:rsidRDefault="009021B6" w:rsidP="00A25875"/>
    <w:p w14:paraId="0999E03F" w14:textId="5C02A382" w:rsidR="009021B6" w:rsidRPr="009021B6" w:rsidRDefault="009021B6" w:rsidP="009021B6">
      <w:r w:rsidRPr="009021B6">
        <w:t xml:space="preserve">Deux types de cartes sont </w:t>
      </w:r>
      <w:r w:rsidR="005043BA">
        <w:t>utilisés</w:t>
      </w:r>
      <w:r w:rsidRPr="009021B6">
        <w:t> :</w:t>
      </w:r>
    </w:p>
    <w:p w14:paraId="6F3C78F9" w14:textId="77777777" w:rsidR="009021B6" w:rsidRPr="009021B6" w:rsidRDefault="009021B6" w:rsidP="00182679">
      <w:pPr>
        <w:numPr>
          <w:ilvl w:val="0"/>
          <w:numId w:val="15"/>
        </w:numPr>
        <w:rPr>
          <w:szCs w:val="24"/>
        </w:rPr>
      </w:pPr>
      <w:proofErr w:type="gramStart"/>
      <w:r w:rsidRPr="009021B6">
        <w:rPr>
          <w:szCs w:val="24"/>
        </w:rPr>
        <w:t>la</w:t>
      </w:r>
      <w:proofErr w:type="gramEnd"/>
      <w:r w:rsidRPr="009021B6">
        <w:rPr>
          <w:szCs w:val="24"/>
        </w:rPr>
        <w:t xml:space="preserve"> «</w:t>
      </w:r>
      <w:r w:rsidRPr="009021B6">
        <w:rPr>
          <w:b/>
          <w:szCs w:val="24"/>
        </w:rPr>
        <w:t xml:space="preserve"> Carte DU </w:t>
      </w:r>
      <w:r w:rsidRPr="009021B6">
        <w:rPr>
          <w:szCs w:val="24"/>
        </w:rPr>
        <w:t xml:space="preserve">» qui permet de réaliser des </w:t>
      </w:r>
      <w:r w:rsidRPr="009021B6">
        <w:rPr>
          <w:b/>
          <w:szCs w:val="24"/>
        </w:rPr>
        <w:t>achats sur internet et sur place en France et à l’étranger</w:t>
      </w:r>
      <w:r w:rsidRPr="009021B6">
        <w:rPr>
          <w:szCs w:val="24"/>
        </w:rPr>
        <w:t>, hormis les catégories d’achats spécifiées dans les règles d’utilisation de la carte achat précisées ci-dessous ;</w:t>
      </w:r>
    </w:p>
    <w:p w14:paraId="7DF9C91C" w14:textId="77777777" w:rsidR="009021B6" w:rsidRPr="009021B6" w:rsidRDefault="009021B6" w:rsidP="00182679">
      <w:pPr>
        <w:numPr>
          <w:ilvl w:val="0"/>
          <w:numId w:val="16"/>
        </w:numPr>
        <w:rPr>
          <w:b/>
          <w:strike/>
          <w:szCs w:val="24"/>
        </w:rPr>
      </w:pPr>
      <w:proofErr w:type="gramStart"/>
      <w:r w:rsidRPr="009021B6">
        <w:rPr>
          <w:szCs w:val="24"/>
        </w:rPr>
        <w:t>la</w:t>
      </w:r>
      <w:proofErr w:type="gramEnd"/>
      <w:r w:rsidRPr="009021B6">
        <w:rPr>
          <w:b/>
          <w:szCs w:val="24"/>
        </w:rPr>
        <w:t xml:space="preserve"> « Carte acheteur de proximité » </w:t>
      </w:r>
      <w:r w:rsidRPr="009021B6">
        <w:rPr>
          <w:szCs w:val="24"/>
        </w:rPr>
        <w:t xml:space="preserve">qui permet de réaliser des </w:t>
      </w:r>
      <w:r w:rsidRPr="009021B6">
        <w:rPr>
          <w:b/>
          <w:szCs w:val="24"/>
        </w:rPr>
        <w:t>achats sur place en France</w:t>
      </w:r>
      <w:r w:rsidRPr="009021B6">
        <w:rPr>
          <w:szCs w:val="24"/>
        </w:rPr>
        <w:t>, hormis les catégories d’achats spécifiées dans les règles d’utilisation de la carte achat précisées ci-dessous.</w:t>
      </w:r>
    </w:p>
    <w:p w14:paraId="72A543A9" w14:textId="77777777" w:rsidR="009021B6" w:rsidRPr="009021B6" w:rsidRDefault="009021B6" w:rsidP="009021B6">
      <w:pPr>
        <w:rPr>
          <w:szCs w:val="24"/>
        </w:rPr>
      </w:pPr>
    </w:p>
    <w:p w14:paraId="49219A69" w14:textId="1EDCBA6A" w:rsidR="009021B6" w:rsidRPr="009021B6" w:rsidRDefault="009021B6" w:rsidP="00CB4B77">
      <w:pPr>
        <w:spacing w:after="240"/>
        <w:rPr>
          <w:szCs w:val="24"/>
        </w:rPr>
      </w:pPr>
      <w:r w:rsidRPr="009021B6">
        <w:rPr>
          <w:szCs w:val="24"/>
        </w:rPr>
        <w:t>Chaque type de carte a un paramétrage spécifique (plafonds d’utilisation, plages et horaires de paiement) :</w:t>
      </w:r>
    </w:p>
    <w:p w14:paraId="49DEAE96" w14:textId="784821D6" w:rsidR="009021B6" w:rsidRPr="00CB4B77" w:rsidRDefault="009021B6" w:rsidP="00182679">
      <w:pPr>
        <w:numPr>
          <w:ilvl w:val="0"/>
          <w:numId w:val="17"/>
        </w:numPr>
        <w:spacing w:after="240"/>
        <w:rPr>
          <w:szCs w:val="24"/>
        </w:rPr>
      </w:pPr>
      <w:r w:rsidRPr="009021B6">
        <w:rPr>
          <w:b/>
          <w:szCs w:val="24"/>
          <w:u w:val="single"/>
        </w:rPr>
        <w:t>Carte DU</w:t>
      </w:r>
      <w:r w:rsidRPr="009021B6">
        <w:rPr>
          <w:szCs w:val="24"/>
        </w:rPr>
        <w:t xml:space="preserve"> : </w:t>
      </w:r>
    </w:p>
    <w:tbl>
      <w:tblPr>
        <w:tblStyle w:val="Grilledutableau"/>
        <w:tblW w:w="0" w:type="auto"/>
        <w:tblLook w:val="04A0" w:firstRow="1" w:lastRow="0" w:firstColumn="1" w:lastColumn="0" w:noHBand="0" w:noVBand="1"/>
      </w:tblPr>
      <w:tblGrid>
        <w:gridCol w:w="4531"/>
        <w:gridCol w:w="4531"/>
      </w:tblGrid>
      <w:tr w:rsidR="00D215AA" w:rsidRPr="00D215AA" w14:paraId="7A006914" w14:textId="77777777" w:rsidTr="00D215AA">
        <w:tc>
          <w:tcPr>
            <w:tcW w:w="4531" w:type="dxa"/>
            <w:shd w:val="clear" w:color="auto" w:fill="00A3A6"/>
          </w:tcPr>
          <w:p w14:paraId="23E53509" w14:textId="3C77FD75" w:rsidR="009021B6" w:rsidRPr="00D215AA" w:rsidRDefault="009021B6" w:rsidP="00D215AA">
            <w:pPr>
              <w:jc w:val="center"/>
              <w:rPr>
                <w:rStyle w:val="Lienhypertexte"/>
                <w:b/>
                <w:color w:val="FFFFFF" w:themeColor="background1"/>
                <w:szCs w:val="24"/>
                <w:u w:val="none"/>
              </w:rPr>
            </w:pPr>
            <w:r w:rsidRPr="00D215AA">
              <w:rPr>
                <w:rStyle w:val="Lienhypertexte"/>
                <w:b/>
                <w:color w:val="FFFFFF" w:themeColor="background1"/>
                <w:szCs w:val="24"/>
                <w:u w:val="none"/>
              </w:rPr>
              <w:t>Paramètres de paiement</w:t>
            </w:r>
          </w:p>
        </w:tc>
        <w:tc>
          <w:tcPr>
            <w:tcW w:w="4531" w:type="dxa"/>
            <w:shd w:val="clear" w:color="auto" w:fill="00A3A6"/>
          </w:tcPr>
          <w:p w14:paraId="2B3060DB" w14:textId="49E42E59" w:rsidR="009021B6" w:rsidRPr="00D215AA" w:rsidRDefault="00D215AA" w:rsidP="00D215AA">
            <w:pPr>
              <w:jc w:val="center"/>
              <w:rPr>
                <w:rStyle w:val="Lienhypertexte"/>
                <w:b/>
                <w:color w:val="FFFFFF" w:themeColor="background1"/>
                <w:szCs w:val="24"/>
                <w:u w:val="none"/>
              </w:rPr>
            </w:pPr>
            <w:r w:rsidRPr="00D215AA">
              <w:rPr>
                <w:rStyle w:val="Lienhypertexte"/>
                <w:b/>
                <w:color w:val="FFFFFF" w:themeColor="background1"/>
                <w:szCs w:val="24"/>
                <w:u w:val="none"/>
              </w:rPr>
              <w:t>Valeurs paramétrées par défaut, modifiables dès la demande de carte et à tout moment</w:t>
            </w:r>
          </w:p>
        </w:tc>
      </w:tr>
      <w:tr w:rsidR="00D215AA" w:rsidRPr="00D215AA" w14:paraId="6BA227CC" w14:textId="77777777" w:rsidTr="00D215AA">
        <w:tc>
          <w:tcPr>
            <w:tcW w:w="4531" w:type="dxa"/>
          </w:tcPr>
          <w:p w14:paraId="7CCC14F4" w14:textId="27DD13E7" w:rsidR="009021B6" w:rsidRPr="00D215AA" w:rsidRDefault="00D215AA" w:rsidP="009021B6">
            <w:pPr>
              <w:rPr>
                <w:rStyle w:val="Lienhypertexte"/>
                <w:color w:val="auto"/>
                <w:szCs w:val="24"/>
                <w:u w:val="none"/>
              </w:rPr>
            </w:pPr>
            <w:r w:rsidRPr="00D215AA">
              <w:rPr>
                <w:rStyle w:val="Lienhypertexte"/>
                <w:color w:val="auto"/>
                <w:szCs w:val="24"/>
                <w:u w:val="none"/>
              </w:rPr>
              <w:t>Sur internet</w:t>
            </w:r>
          </w:p>
        </w:tc>
        <w:tc>
          <w:tcPr>
            <w:tcW w:w="4531" w:type="dxa"/>
          </w:tcPr>
          <w:p w14:paraId="3C4CDC09" w14:textId="39DFB8D6" w:rsidR="009021B6" w:rsidRPr="00D215AA" w:rsidRDefault="00D215AA" w:rsidP="00D215AA">
            <w:pPr>
              <w:jc w:val="center"/>
              <w:rPr>
                <w:rStyle w:val="Lienhypertexte"/>
                <w:color w:val="auto"/>
                <w:szCs w:val="24"/>
                <w:u w:val="none"/>
              </w:rPr>
            </w:pPr>
            <w:r w:rsidRPr="00D215AA">
              <w:rPr>
                <w:rStyle w:val="Lienhypertexte"/>
                <w:color w:val="auto"/>
                <w:szCs w:val="24"/>
                <w:u w:val="none"/>
              </w:rPr>
              <w:t>Oui</w:t>
            </w:r>
          </w:p>
        </w:tc>
      </w:tr>
      <w:tr w:rsidR="00D215AA" w:rsidRPr="00D215AA" w14:paraId="0B53CE6A" w14:textId="77777777" w:rsidTr="00D215AA">
        <w:tc>
          <w:tcPr>
            <w:tcW w:w="4531" w:type="dxa"/>
          </w:tcPr>
          <w:p w14:paraId="46DDB7D8" w14:textId="09724F84" w:rsidR="009021B6" w:rsidRPr="00D215AA" w:rsidRDefault="00D215AA" w:rsidP="009021B6">
            <w:pPr>
              <w:rPr>
                <w:rStyle w:val="Lienhypertexte"/>
                <w:color w:val="auto"/>
                <w:szCs w:val="24"/>
                <w:u w:val="none"/>
              </w:rPr>
            </w:pPr>
            <w:r w:rsidRPr="00D215AA">
              <w:rPr>
                <w:rStyle w:val="Lienhypertexte"/>
                <w:color w:val="auto"/>
                <w:szCs w:val="24"/>
                <w:u w:val="none"/>
              </w:rPr>
              <w:t>A l’étranger</w:t>
            </w:r>
          </w:p>
        </w:tc>
        <w:tc>
          <w:tcPr>
            <w:tcW w:w="4531" w:type="dxa"/>
          </w:tcPr>
          <w:p w14:paraId="42E2A153" w14:textId="7CD6DA65" w:rsidR="009021B6" w:rsidRPr="00D215AA" w:rsidRDefault="00D215AA" w:rsidP="00D215AA">
            <w:pPr>
              <w:jc w:val="center"/>
              <w:rPr>
                <w:rStyle w:val="Lienhypertexte"/>
                <w:color w:val="auto"/>
                <w:szCs w:val="24"/>
                <w:u w:val="none"/>
              </w:rPr>
            </w:pPr>
            <w:r w:rsidRPr="00D215AA">
              <w:rPr>
                <w:rStyle w:val="Lienhypertexte"/>
                <w:color w:val="auto"/>
                <w:szCs w:val="24"/>
                <w:u w:val="none"/>
              </w:rPr>
              <w:t>Oui</w:t>
            </w:r>
          </w:p>
        </w:tc>
      </w:tr>
      <w:tr w:rsidR="00D215AA" w:rsidRPr="00D215AA" w14:paraId="3BAC2658" w14:textId="77777777" w:rsidTr="00D215AA">
        <w:tc>
          <w:tcPr>
            <w:tcW w:w="4531" w:type="dxa"/>
          </w:tcPr>
          <w:p w14:paraId="53BD3F98" w14:textId="300633A1" w:rsidR="009021B6" w:rsidRPr="00D215AA" w:rsidRDefault="009021B6" w:rsidP="009021B6">
            <w:pPr>
              <w:rPr>
                <w:rStyle w:val="Lienhypertexte"/>
                <w:color w:val="auto"/>
                <w:szCs w:val="24"/>
                <w:u w:val="none"/>
              </w:rPr>
            </w:pPr>
            <w:r w:rsidRPr="00D215AA">
              <w:rPr>
                <w:rStyle w:val="Lienhypertexte"/>
                <w:color w:val="auto"/>
                <w:szCs w:val="24"/>
                <w:u w:val="none"/>
              </w:rPr>
              <w:t>Plafond par jour</w:t>
            </w:r>
          </w:p>
        </w:tc>
        <w:tc>
          <w:tcPr>
            <w:tcW w:w="4531" w:type="dxa"/>
          </w:tcPr>
          <w:p w14:paraId="1E3D95E5" w14:textId="14142538" w:rsidR="009021B6" w:rsidRPr="00D215AA" w:rsidRDefault="00D215AA" w:rsidP="00D215AA">
            <w:pPr>
              <w:jc w:val="center"/>
              <w:rPr>
                <w:rStyle w:val="Lienhypertexte"/>
                <w:color w:val="auto"/>
                <w:szCs w:val="24"/>
                <w:u w:val="none"/>
              </w:rPr>
            </w:pPr>
            <w:r w:rsidRPr="00D215AA">
              <w:rPr>
                <w:rStyle w:val="Lienhypertexte"/>
                <w:color w:val="auto"/>
                <w:szCs w:val="24"/>
                <w:u w:val="none"/>
              </w:rPr>
              <w:t>5 000 €</w:t>
            </w:r>
          </w:p>
        </w:tc>
      </w:tr>
      <w:tr w:rsidR="00D215AA" w:rsidRPr="00D215AA" w14:paraId="2B9761C4" w14:textId="77777777" w:rsidTr="00D215AA">
        <w:tc>
          <w:tcPr>
            <w:tcW w:w="4531" w:type="dxa"/>
          </w:tcPr>
          <w:p w14:paraId="5647C1A1" w14:textId="642FB113" w:rsidR="009021B6" w:rsidRPr="00D215AA" w:rsidRDefault="009021B6" w:rsidP="009021B6">
            <w:pPr>
              <w:rPr>
                <w:rStyle w:val="Lienhypertexte"/>
                <w:color w:val="auto"/>
                <w:szCs w:val="24"/>
                <w:u w:val="none"/>
              </w:rPr>
            </w:pPr>
            <w:r w:rsidRPr="00D215AA">
              <w:rPr>
                <w:rStyle w:val="Lienhypertexte"/>
                <w:color w:val="auto"/>
                <w:szCs w:val="24"/>
                <w:u w:val="none"/>
              </w:rPr>
              <w:t>Plafond par semaine</w:t>
            </w:r>
          </w:p>
        </w:tc>
        <w:tc>
          <w:tcPr>
            <w:tcW w:w="4531" w:type="dxa"/>
          </w:tcPr>
          <w:p w14:paraId="19DC1827" w14:textId="5AE16C1D" w:rsidR="00D215AA" w:rsidRPr="00D215AA" w:rsidRDefault="00D215AA" w:rsidP="00D215AA">
            <w:pPr>
              <w:jc w:val="center"/>
              <w:rPr>
                <w:rStyle w:val="Lienhypertexte"/>
                <w:color w:val="auto"/>
                <w:szCs w:val="24"/>
                <w:u w:val="none"/>
              </w:rPr>
            </w:pPr>
            <w:r w:rsidRPr="00D215AA">
              <w:rPr>
                <w:rStyle w:val="Lienhypertexte"/>
                <w:color w:val="auto"/>
                <w:szCs w:val="24"/>
                <w:u w:val="none"/>
              </w:rPr>
              <w:t>10 000 €</w:t>
            </w:r>
          </w:p>
        </w:tc>
      </w:tr>
      <w:tr w:rsidR="00D215AA" w:rsidRPr="00D215AA" w14:paraId="07CF6757" w14:textId="77777777" w:rsidTr="00D215AA">
        <w:tc>
          <w:tcPr>
            <w:tcW w:w="4531" w:type="dxa"/>
          </w:tcPr>
          <w:p w14:paraId="698E6E9F" w14:textId="756C37F9" w:rsidR="009021B6" w:rsidRPr="00D215AA" w:rsidRDefault="009021B6" w:rsidP="009021B6">
            <w:pPr>
              <w:rPr>
                <w:rStyle w:val="Lienhypertexte"/>
                <w:color w:val="auto"/>
                <w:szCs w:val="24"/>
                <w:u w:val="none"/>
              </w:rPr>
            </w:pPr>
            <w:r w:rsidRPr="00D215AA">
              <w:rPr>
                <w:rStyle w:val="Lienhypertexte"/>
                <w:color w:val="auto"/>
                <w:szCs w:val="24"/>
                <w:u w:val="none"/>
              </w:rPr>
              <w:t>Plafond par mois</w:t>
            </w:r>
          </w:p>
        </w:tc>
        <w:tc>
          <w:tcPr>
            <w:tcW w:w="4531" w:type="dxa"/>
          </w:tcPr>
          <w:p w14:paraId="1836C279" w14:textId="389E5DE6" w:rsidR="009021B6" w:rsidRPr="00D215AA" w:rsidRDefault="00D215AA" w:rsidP="00D215AA">
            <w:pPr>
              <w:jc w:val="center"/>
              <w:rPr>
                <w:rStyle w:val="Lienhypertexte"/>
                <w:color w:val="auto"/>
                <w:szCs w:val="24"/>
                <w:u w:val="none"/>
              </w:rPr>
            </w:pPr>
            <w:r w:rsidRPr="00D215AA">
              <w:rPr>
                <w:rStyle w:val="Lienhypertexte"/>
                <w:color w:val="auto"/>
                <w:szCs w:val="24"/>
                <w:u w:val="none"/>
              </w:rPr>
              <w:t>15 000 €</w:t>
            </w:r>
          </w:p>
        </w:tc>
      </w:tr>
      <w:tr w:rsidR="00D215AA" w:rsidRPr="00D215AA" w14:paraId="3BDD7174" w14:textId="77777777" w:rsidTr="00D215AA">
        <w:tc>
          <w:tcPr>
            <w:tcW w:w="4531" w:type="dxa"/>
          </w:tcPr>
          <w:p w14:paraId="3ABC1DBE" w14:textId="10251310" w:rsidR="009021B6" w:rsidRPr="00D215AA" w:rsidRDefault="009021B6" w:rsidP="009021B6">
            <w:pPr>
              <w:rPr>
                <w:rStyle w:val="Lienhypertexte"/>
                <w:color w:val="auto"/>
                <w:szCs w:val="24"/>
                <w:u w:val="none"/>
              </w:rPr>
            </w:pPr>
            <w:r w:rsidRPr="00D215AA">
              <w:rPr>
                <w:rStyle w:val="Lienhypertexte"/>
                <w:color w:val="auto"/>
                <w:szCs w:val="24"/>
                <w:u w:val="none"/>
              </w:rPr>
              <w:t>Jours d’utilisation</w:t>
            </w:r>
          </w:p>
        </w:tc>
        <w:tc>
          <w:tcPr>
            <w:tcW w:w="4531" w:type="dxa"/>
          </w:tcPr>
          <w:p w14:paraId="5DCDD125" w14:textId="7DD15261" w:rsidR="00D215AA" w:rsidRPr="00D215AA" w:rsidRDefault="00D215AA" w:rsidP="00D215AA">
            <w:pPr>
              <w:jc w:val="center"/>
              <w:rPr>
                <w:rStyle w:val="Lienhypertexte"/>
                <w:color w:val="auto"/>
                <w:szCs w:val="24"/>
                <w:u w:val="none"/>
              </w:rPr>
            </w:pPr>
            <w:proofErr w:type="spellStart"/>
            <w:proofErr w:type="gramStart"/>
            <w:r w:rsidRPr="00D215AA">
              <w:rPr>
                <w:rStyle w:val="Lienhypertexte"/>
                <w:color w:val="auto"/>
                <w:szCs w:val="24"/>
                <w:u w:val="none"/>
              </w:rPr>
              <w:t>lun</w:t>
            </w:r>
            <w:proofErr w:type="spellEnd"/>
            <w:proofErr w:type="gramEnd"/>
            <w:r w:rsidRPr="00D215AA">
              <w:rPr>
                <w:rStyle w:val="Lienhypertexte"/>
                <w:color w:val="auto"/>
                <w:szCs w:val="24"/>
                <w:u w:val="none"/>
              </w:rPr>
              <w:t xml:space="preserve"> / </w:t>
            </w:r>
            <w:proofErr w:type="spellStart"/>
            <w:r w:rsidRPr="00D215AA">
              <w:rPr>
                <w:rStyle w:val="Lienhypertexte"/>
                <w:color w:val="auto"/>
                <w:szCs w:val="24"/>
                <w:u w:val="none"/>
              </w:rPr>
              <w:t>mar</w:t>
            </w:r>
            <w:proofErr w:type="spellEnd"/>
            <w:r w:rsidRPr="00D215AA">
              <w:rPr>
                <w:rStyle w:val="Lienhypertexte"/>
                <w:color w:val="auto"/>
                <w:szCs w:val="24"/>
                <w:u w:val="none"/>
              </w:rPr>
              <w:t xml:space="preserve"> / mer / jeu / </w:t>
            </w:r>
            <w:proofErr w:type="spellStart"/>
            <w:r w:rsidRPr="00D215AA">
              <w:rPr>
                <w:rStyle w:val="Lienhypertexte"/>
                <w:color w:val="auto"/>
                <w:szCs w:val="24"/>
                <w:u w:val="none"/>
              </w:rPr>
              <w:t>ven</w:t>
            </w:r>
            <w:proofErr w:type="spellEnd"/>
            <w:r w:rsidRPr="00D215AA">
              <w:rPr>
                <w:rStyle w:val="Lienhypertexte"/>
                <w:color w:val="auto"/>
                <w:szCs w:val="24"/>
                <w:u w:val="none"/>
              </w:rPr>
              <w:t xml:space="preserve"> / </w:t>
            </w:r>
            <w:proofErr w:type="spellStart"/>
            <w:r w:rsidRPr="00D215AA">
              <w:rPr>
                <w:rStyle w:val="Lienhypertexte"/>
                <w:color w:val="auto"/>
                <w:szCs w:val="24"/>
                <w:u w:val="none"/>
              </w:rPr>
              <w:t>sam</w:t>
            </w:r>
            <w:proofErr w:type="spellEnd"/>
            <w:r w:rsidRPr="00D215AA">
              <w:rPr>
                <w:rStyle w:val="Lienhypertexte"/>
                <w:color w:val="auto"/>
                <w:szCs w:val="24"/>
                <w:u w:val="none"/>
              </w:rPr>
              <w:t xml:space="preserve"> / </w:t>
            </w:r>
            <w:proofErr w:type="spellStart"/>
            <w:r w:rsidRPr="00D215AA">
              <w:rPr>
                <w:rStyle w:val="Lienhypertexte"/>
                <w:color w:val="auto"/>
                <w:szCs w:val="24"/>
                <w:u w:val="none"/>
              </w:rPr>
              <w:t>dim</w:t>
            </w:r>
            <w:proofErr w:type="spellEnd"/>
          </w:p>
        </w:tc>
      </w:tr>
      <w:tr w:rsidR="00D215AA" w:rsidRPr="00D215AA" w14:paraId="77226B5B" w14:textId="77777777" w:rsidTr="00D215AA">
        <w:tc>
          <w:tcPr>
            <w:tcW w:w="4531" w:type="dxa"/>
          </w:tcPr>
          <w:p w14:paraId="39563007" w14:textId="6221B50D" w:rsidR="009021B6" w:rsidRPr="00D215AA" w:rsidRDefault="009021B6" w:rsidP="009021B6">
            <w:pPr>
              <w:rPr>
                <w:rStyle w:val="Lienhypertexte"/>
                <w:color w:val="auto"/>
                <w:szCs w:val="24"/>
                <w:u w:val="none"/>
              </w:rPr>
            </w:pPr>
            <w:r w:rsidRPr="00D215AA">
              <w:rPr>
                <w:rStyle w:val="Lienhypertexte"/>
                <w:color w:val="auto"/>
                <w:szCs w:val="24"/>
                <w:u w:val="none"/>
              </w:rPr>
              <w:t>Plage horaire</w:t>
            </w:r>
          </w:p>
        </w:tc>
        <w:tc>
          <w:tcPr>
            <w:tcW w:w="4531" w:type="dxa"/>
          </w:tcPr>
          <w:p w14:paraId="3A7D61EC" w14:textId="287FC0B1" w:rsidR="009021B6" w:rsidRPr="00D215AA" w:rsidRDefault="00D215AA" w:rsidP="00D215AA">
            <w:pPr>
              <w:jc w:val="center"/>
              <w:rPr>
                <w:rStyle w:val="Lienhypertexte"/>
                <w:color w:val="auto"/>
                <w:szCs w:val="24"/>
                <w:u w:val="none"/>
              </w:rPr>
            </w:pPr>
            <w:proofErr w:type="gramStart"/>
            <w:r w:rsidRPr="00D215AA">
              <w:rPr>
                <w:rStyle w:val="Lienhypertexte"/>
                <w:color w:val="auto"/>
                <w:szCs w:val="24"/>
                <w:u w:val="none"/>
              </w:rPr>
              <w:t>00:</w:t>
            </w:r>
            <w:proofErr w:type="gramEnd"/>
            <w:r w:rsidRPr="00D215AA">
              <w:rPr>
                <w:rStyle w:val="Lienhypertexte"/>
                <w:color w:val="auto"/>
                <w:szCs w:val="24"/>
                <w:u w:val="none"/>
              </w:rPr>
              <w:t>00 – 00:00</w:t>
            </w:r>
          </w:p>
        </w:tc>
      </w:tr>
    </w:tbl>
    <w:p w14:paraId="7F1AD6AE" w14:textId="04F9EAC9" w:rsidR="009021B6" w:rsidRDefault="009021B6" w:rsidP="009021B6">
      <w:pPr>
        <w:rPr>
          <w:rStyle w:val="Lienhypertexte"/>
          <w:szCs w:val="24"/>
        </w:rPr>
      </w:pPr>
    </w:p>
    <w:p w14:paraId="02B0CFEE" w14:textId="592294B7" w:rsidR="001B6F61" w:rsidRDefault="001B6F61" w:rsidP="009021B6">
      <w:pPr>
        <w:rPr>
          <w:rStyle w:val="Lienhypertexte"/>
          <w:szCs w:val="24"/>
        </w:rPr>
      </w:pPr>
    </w:p>
    <w:p w14:paraId="1EB00A2C" w14:textId="6282FDB8" w:rsidR="001B6F61" w:rsidRDefault="001B6F61" w:rsidP="009021B6">
      <w:pPr>
        <w:rPr>
          <w:rStyle w:val="Lienhypertexte"/>
          <w:szCs w:val="24"/>
        </w:rPr>
      </w:pPr>
    </w:p>
    <w:p w14:paraId="564C5D79" w14:textId="77777777" w:rsidR="001B6F61" w:rsidRPr="009021B6" w:rsidRDefault="001B6F61" w:rsidP="009021B6">
      <w:pPr>
        <w:rPr>
          <w:rStyle w:val="Lienhypertexte"/>
          <w:szCs w:val="24"/>
        </w:rPr>
      </w:pPr>
    </w:p>
    <w:p w14:paraId="1014D87F" w14:textId="7CB25FCB" w:rsidR="009021B6" w:rsidRPr="001E6FC7" w:rsidRDefault="009021B6" w:rsidP="00182679">
      <w:pPr>
        <w:pStyle w:val="Paragraphedeliste"/>
        <w:numPr>
          <w:ilvl w:val="0"/>
          <w:numId w:val="14"/>
        </w:numPr>
        <w:spacing w:after="240"/>
        <w:rPr>
          <w:rFonts w:eastAsiaTheme="majorEastAsia"/>
          <w:b/>
        </w:rPr>
      </w:pPr>
      <w:r w:rsidRPr="005043BA">
        <w:rPr>
          <w:b/>
          <w:u w:val="single"/>
        </w:rPr>
        <w:lastRenderedPageBreak/>
        <w:t>Carte acheteur de proximité</w:t>
      </w:r>
      <w:r w:rsidRPr="001F3B35">
        <w:rPr>
          <w:b/>
        </w:rPr>
        <w:t> :</w:t>
      </w:r>
      <w:r w:rsidRPr="005043BA">
        <w:rPr>
          <w:b/>
          <w:u w:val="single"/>
        </w:rPr>
        <w:t xml:space="preserve"> </w:t>
      </w:r>
    </w:p>
    <w:tbl>
      <w:tblPr>
        <w:tblStyle w:val="Grilledutableau"/>
        <w:tblW w:w="0" w:type="auto"/>
        <w:tblLook w:val="04A0" w:firstRow="1" w:lastRow="0" w:firstColumn="1" w:lastColumn="0" w:noHBand="0" w:noVBand="1"/>
      </w:tblPr>
      <w:tblGrid>
        <w:gridCol w:w="4531"/>
        <w:gridCol w:w="4531"/>
      </w:tblGrid>
      <w:tr w:rsidR="00D215AA" w:rsidRPr="00D215AA" w14:paraId="25467697" w14:textId="77777777" w:rsidTr="00CB4B77">
        <w:tc>
          <w:tcPr>
            <w:tcW w:w="4531" w:type="dxa"/>
            <w:shd w:val="clear" w:color="auto" w:fill="00A3A6"/>
          </w:tcPr>
          <w:p w14:paraId="489BE4B6" w14:textId="77777777" w:rsidR="00D215AA" w:rsidRPr="00D215AA" w:rsidRDefault="00D215AA" w:rsidP="00CB4B77">
            <w:pPr>
              <w:jc w:val="center"/>
              <w:rPr>
                <w:rStyle w:val="Lienhypertexte"/>
                <w:b/>
                <w:color w:val="FFFFFF" w:themeColor="background1"/>
                <w:szCs w:val="24"/>
                <w:u w:val="none"/>
              </w:rPr>
            </w:pPr>
            <w:r w:rsidRPr="00D215AA">
              <w:rPr>
                <w:rStyle w:val="Lienhypertexte"/>
                <w:b/>
                <w:color w:val="FFFFFF" w:themeColor="background1"/>
                <w:szCs w:val="24"/>
                <w:u w:val="none"/>
              </w:rPr>
              <w:t>Paramètres de paiement</w:t>
            </w:r>
          </w:p>
        </w:tc>
        <w:tc>
          <w:tcPr>
            <w:tcW w:w="4531" w:type="dxa"/>
            <w:shd w:val="clear" w:color="auto" w:fill="00A3A6"/>
          </w:tcPr>
          <w:p w14:paraId="1FA2027F" w14:textId="77777777" w:rsidR="00D215AA" w:rsidRPr="00D215AA" w:rsidRDefault="00D215AA" w:rsidP="00CB4B77">
            <w:pPr>
              <w:jc w:val="center"/>
              <w:rPr>
                <w:rStyle w:val="Lienhypertexte"/>
                <w:b/>
                <w:color w:val="FFFFFF" w:themeColor="background1"/>
                <w:szCs w:val="24"/>
                <w:u w:val="none"/>
              </w:rPr>
            </w:pPr>
            <w:r w:rsidRPr="00D215AA">
              <w:rPr>
                <w:rStyle w:val="Lienhypertexte"/>
                <w:b/>
                <w:color w:val="FFFFFF" w:themeColor="background1"/>
                <w:szCs w:val="24"/>
                <w:u w:val="none"/>
              </w:rPr>
              <w:t>Valeurs paramétrées par défaut, modifiables dès la demande de carte et à tout moment</w:t>
            </w:r>
          </w:p>
        </w:tc>
      </w:tr>
      <w:tr w:rsidR="00D215AA" w:rsidRPr="00D215AA" w14:paraId="13B7424E" w14:textId="77777777" w:rsidTr="00CB4B77">
        <w:tc>
          <w:tcPr>
            <w:tcW w:w="4531" w:type="dxa"/>
          </w:tcPr>
          <w:p w14:paraId="1B403807" w14:textId="77777777" w:rsidR="00D215AA" w:rsidRPr="00D215AA" w:rsidRDefault="00D215AA" w:rsidP="00CB4B77">
            <w:pPr>
              <w:rPr>
                <w:rStyle w:val="Lienhypertexte"/>
                <w:color w:val="auto"/>
                <w:szCs w:val="24"/>
                <w:u w:val="none"/>
              </w:rPr>
            </w:pPr>
            <w:r w:rsidRPr="00D215AA">
              <w:rPr>
                <w:rStyle w:val="Lienhypertexte"/>
                <w:color w:val="auto"/>
                <w:szCs w:val="24"/>
                <w:u w:val="none"/>
              </w:rPr>
              <w:t>Sur internet</w:t>
            </w:r>
          </w:p>
        </w:tc>
        <w:tc>
          <w:tcPr>
            <w:tcW w:w="4531" w:type="dxa"/>
          </w:tcPr>
          <w:p w14:paraId="09B22EBA" w14:textId="3FB1DA68" w:rsidR="00D215AA" w:rsidRPr="00D215AA" w:rsidRDefault="00D215AA" w:rsidP="00CB4B77">
            <w:pPr>
              <w:jc w:val="center"/>
              <w:rPr>
                <w:rStyle w:val="Lienhypertexte"/>
                <w:color w:val="auto"/>
                <w:szCs w:val="24"/>
                <w:u w:val="none"/>
              </w:rPr>
            </w:pPr>
            <w:r>
              <w:rPr>
                <w:rStyle w:val="Lienhypertexte"/>
                <w:color w:val="auto"/>
                <w:szCs w:val="24"/>
                <w:u w:val="none"/>
              </w:rPr>
              <w:t>Non</w:t>
            </w:r>
          </w:p>
        </w:tc>
      </w:tr>
      <w:tr w:rsidR="00D215AA" w:rsidRPr="00D215AA" w14:paraId="05E2D6AA" w14:textId="77777777" w:rsidTr="00CB4B77">
        <w:tc>
          <w:tcPr>
            <w:tcW w:w="4531" w:type="dxa"/>
          </w:tcPr>
          <w:p w14:paraId="78776EAB" w14:textId="77777777" w:rsidR="00D215AA" w:rsidRPr="00D215AA" w:rsidRDefault="00D215AA" w:rsidP="00CB4B77">
            <w:pPr>
              <w:rPr>
                <w:rStyle w:val="Lienhypertexte"/>
                <w:color w:val="auto"/>
                <w:szCs w:val="24"/>
                <w:u w:val="none"/>
              </w:rPr>
            </w:pPr>
            <w:r w:rsidRPr="00D215AA">
              <w:rPr>
                <w:rStyle w:val="Lienhypertexte"/>
                <w:color w:val="auto"/>
                <w:szCs w:val="24"/>
                <w:u w:val="none"/>
              </w:rPr>
              <w:t>A l’étranger</w:t>
            </w:r>
          </w:p>
        </w:tc>
        <w:tc>
          <w:tcPr>
            <w:tcW w:w="4531" w:type="dxa"/>
          </w:tcPr>
          <w:p w14:paraId="18DD8924" w14:textId="5FF1BA5E" w:rsidR="00D215AA" w:rsidRPr="00D215AA" w:rsidRDefault="00D215AA" w:rsidP="00CB4B77">
            <w:pPr>
              <w:jc w:val="center"/>
              <w:rPr>
                <w:rStyle w:val="Lienhypertexte"/>
                <w:color w:val="auto"/>
                <w:szCs w:val="24"/>
                <w:u w:val="none"/>
              </w:rPr>
            </w:pPr>
            <w:r>
              <w:rPr>
                <w:rStyle w:val="Lienhypertexte"/>
                <w:color w:val="auto"/>
                <w:szCs w:val="24"/>
                <w:u w:val="none"/>
              </w:rPr>
              <w:t>Non</w:t>
            </w:r>
          </w:p>
        </w:tc>
      </w:tr>
      <w:tr w:rsidR="00D215AA" w:rsidRPr="00D215AA" w14:paraId="1A4EFCE8" w14:textId="77777777" w:rsidTr="00CB4B77">
        <w:tc>
          <w:tcPr>
            <w:tcW w:w="4531" w:type="dxa"/>
          </w:tcPr>
          <w:p w14:paraId="1CA1EBAF" w14:textId="77777777" w:rsidR="00D215AA" w:rsidRPr="00D215AA" w:rsidRDefault="00D215AA" w:rsidP="00CB4B77">
            <w:pPr>
              <w:rPr>
                <w:rStyle w:val="Lienhypertexte"/>
                <w:color w:val="auto"/>
                <w:szCs w:val="24"/>
                <w:u w:val="none"/>
              </w:rPr>
            </w:pPr>
            <w:r w:rsidRPr="00D215AA">
              <w:rPr>
                <w:rStyle w:val="Lienhypertexte"/>
                <w:color w:val="auto"/>
                <w:szCs w:val="24"/>
                <w:u w:val="none"/>
              </w:rPr>
              <w:t>Plafond par jour</w:t>
            </w:r>
          </w:p>
        </w:tc>
        <w:tc>
          <w:tcPr>
            <w:tcW w:w="4531" w:type="dxa"/>
          </w:tcPr>
          <w:p w14:paraId="0ADB4E14" w14:textId="06952170" w:rsidR="00D215AA" w:rsidRPr="00D215AA" w:rsidRDefault="00D215AA" w:rsidP="00CB4B77">
            <w:pPr>
              <w:jc w:val="center"/>
              <w:rPr>
                <w:rStyle w:val="Lienhypertexte"/>
                <w:color w:val="auto"/>
                <w:szCs w:val="24"/>
                <w:u w:val="none"/>
              </w:rPr>
            </w:pPr>
            <w:r>
              <w:rPr>
                <w:rStyle w:val="Lienhypertexte"/>
                <w:color w:val="auto"/>
                <w:szCs w:val="24"/>
                <w:u w:val="none"/>
              </w:rPr>
              <w:t>1</w:t>
            </w:r>
            <w:r w:rsidRPr="00D215AA">
              <w:rPr>
                <w:rStyle w:val="Lienhypertexte"/>
                <w:color w:val="auto"/>
                <w:szCs w:val="24"/>
                <w:u w:val="none"/>
              </w:rPr>
              <w:t> 000 €</w:t>
            </w:r>
          </w:p>
        </w:tc>
      </w:tr>
      <w:tr w:rsidR="00D215AA" w:rsidRPr="00D215AA" w14:paraId="2C0D5747" w14:textId="77777777" w:rsidTr="00CB4B77">
        <w:tc>
          <w:tcPr>
            <w:tcW w:w="4531" w:type="dxa"/>
          </w:tcPr>
          <w:p w14:paraId="63490720" w14:textId="77777777" w:rsidR="00D215AA" w:rsidRPr="00D215AA" w:rsidRDefault="00D215AA" w:rsidP="00CB4B77">
            <w:pPr>
              <w:rPr>
                <w:rStyle w:val="Lienhypertexte"/>
                <w:color w:val="auto"/>
                <w:szCs w:val="24"/>
                <w:u w:val="none"/>
              </w:rPr>
            </w:pPr>
            <w:r w:rsidRPr="00D215AA">
              <w:rPr>
                <w:rStyle w:val="Lienhypertexte"/>
                <w:color w:val="auto"/>
                <w:szCs w:val="24"/>
                <w:u w:val="none"/>
              </w:rPr>
              <w:t>Plafond par semaine</w:t>
            </w:r>
          </w:p>
        </w:tc>
        <w:tc>
          <w:tcPr>
            <w:tcW w:w="4531" w:type="dxa"/>
          </w:tcPr>
          <w:p w14:paraId="03A35555" w14:textId="33D8D04D" w:rsidR="00D215AA" w:rsidRPr="00D215AA" w:rsidRDefault="00D215AA" w:rsidP="00CB4B77">
            <w:pPr>
              <w:jc w:val="center"/>
              <w:rPr>
                <w:rStyle w:val="Lienhypertexte"/>
                <w:color w:val="auto"/>
                <w:szCs w:val="24"/>
                <w:u w:val="none"/>
              </w:rPr>
            </w:pPr>
            <w:r>
              <w:rPr>
                <w:rStyle w:val="Lienhypertexte"/>
                <w:color w:val="auto"/>
                <w:szCs w:val="24"/>
                <w:u w:val="none"/>
              </w:rPr>
              <w:t>3</w:t>
            </w:r>
            <w:r w:rsidRPr="00D215AA">
              <w:rPr>
                <w:rStyle w:val="Lienhypertexte"/>
                <w:color w:val="auto"/>
                <w:szCs w:val="24"/>
                <w:u w:val="none"/>
              </w:rPr>
              <w:t> 000 €</w:t>
            </w:r>
          </w:p>
        </w:tc>
      </w:tr>
      <w:tr w:rsidR="00D215AA" w:rsidRPr="00D215AA" w14:paraId="708CAA65" w14:textId="77777777" w:rsidTr="00CB4B77">
        <w:tc>
          <w:tcPr>
            <w:tcW w:w="4531" w:type="dxa"/>
          </w:tcPr>
          <w:p w14:paraId="16D9F784" w14:textId="77777777" w:rsidR="00D215AA" w:rsidRPr="00D215AA" w:rsidRDefault="00D215AA" w:rsidP="00CB4B77">
            <w:pPr>
              <w:rPr>
                <w:rStyle w:val="Lienhypertexte"/>
                <w:color w:val="auto"/>
                <w:szCs w:val="24"/>
                <w:u w:val="none"/>
              </w:rPr>
            </w:pPr>
            <w:r w:rsidRPr="00D215AA">
              <w:rPr>
                <w:rStyle w:val="Lienhypertexte"/>
                <w:color w:val="auto"/>
                <w:szCs w:val="24"/>
                <w:u w:val="none"/>
              </w:rPr>
              <w:t>Plafond par mois</w:t>
            </w:r>
          </w:p>
        </w:tc>
        <w:tc>
          <w:tcPr>
            <w:tcW w:w="4531" w:type="dxa"/>
          </w:tcPr>
          <w:p w14:paraId="42F949B0" w14:textId="58A0D365" w:rsidR="00D215AA" w:rsidRPr="00D215AA" w:rsidRDefault="00D215AA" w:rsidP="00CB4B77">
            <w:pPr>
              <w:jc w:val="center"/>
              <w:rPr>
                <w:rStyle w:val="Lienhypertexte"/>
                <w:color w:val="auto"/>
                <w:szCs w:val="24"/>
                <w:u w:val="none"/>
              </w:rPr>
            </w:pPr>
            <w:r>
              <w:rPr>
                <w:rStyle w:val="Lienhypertexte"/>
                <w:color w:val="auto"/>
                <w:szCs w:val="24"/>
                <w:u w:val="none"/>
              </w:rPr>
              <w:t>4</w:t>
            </w:r>
            <w:r w:rsidRPr="00D215AA">
              <w:rPr>
                <w:rStyle w:val="Lienhypertexte"/>
                <w:color w:val="auto"/>
                <w:szCs w:val="24"/>
                <w:u w:val="none"/>
              </w:rPr>
              <w:t> 000 €</w:t>
            </w:r>
          </w:p>
        </w:tc>
      </w:tr>
      <w:tr w:rsidR="00D215AA" w:rsidRPr="00D215AA" w14:paraId="0EEDF614" w14:textId="77777777" w:rsidTr="00CB4B77">
        <w:tc>
          <w:tcPr>
            <w:tcW w:w="4531" w:type="dxa"/>
          </w:tcPr>
          <w:p w14:paraId="5F71CD24" w14:textId="77777777" w:rsidR="00D215AA" w:rsidRPr="00D215AA" w:rsidRDefault="00D215AA" w:rsidP="00CB4B77">
            <w:pPr>
              <w:rPr>
                <w:rStyle w:val="Lienhypertexte"/>
                <w:color w:val="auto"/>
                <w:szCs w:val="24"/>
                <w:u w:val="none"/>
              </w:rPr>
            </w:pPr>
            <w:r w:rsidRPr="00D215AA">
              <w:rPr>
                <w:rStyle w:val="Lienhypertexte"/>
                <w:color w:val="auto"/>
                <w:szCs w:val="24"/>
                <w:u w:val="none"/>
              </w:rPr>
              <w:t>Jours d’utilisation</w:t>
            </w:r>
          </w:p>
        </w:tc>
        <w:tc>
          <w:tcPr>
            <w:tcW w:w="4531" w:type="dxa"/>
          </w:tcPr>
          <w:p w14:paraId="2BD7C003" w14:textId="5BC5FE4F" w:rsidR="00D215AA" w:rsidRPr="00D215AA" w:rsidRDefault="00D215AA" w:rsidP="00CB4B77">
            <w:pPr>
              <w:jc w:val="center"/>
              <w:rPr>
                <w:rStyle w:val="Lienhypertexte"/>
                <w:color w:val="auto"/>
                <w:szCs w:val="24"/>
                <w:u w:val="none"/>
              </w:rPr>
            </w:pPr>
            <w:proofErr w:type="spellStart"/>
            <w:proofErr w:type="gramStart"/>
            <w:r w:rsidRPr="00D215AA">
              <w:rPr>
                <w:rStyle w:val="Lienhypertexte"/>
                <w:color w:val="auto"/>
                <w:szCs w:val="24"/>
                <w:u w:val="none"/>
              </w:rPr>
              <w:t>lun</w:t>
            </w:r>
            <w:proofErr w:type="spellEnd"/>
            <w:proofErr w:type="gramEnd"/>
            <w:r w:rsidRPr="00D215AA">
              <w:rPr>
                <w:rStyle w:val="Lienhypertexte"/>
                <w:color w:val="auto"/>
                <w:szCs w:val="24"/>
                <w:u w:val="none"/>
              </w:rPr>
              <w:t xml:space="preserve"> / </w:t>
            </w:r>
            <w:proofErr w:type="spellStart"/>
            <w:r w:rsidRPr="00D215AA">
              <w:rPr>
                <w:rStyle w:val="Lienhypertexte"/>
                <w:color w:val="auto"/>
                <w:szCs w:val="24"/>
                <w:u w:val="none"/>
              </w:rPr>
              <w:t>mar</w:t>
            </w:r>
            <w:proofErr w:type="spellEnd"/>
            <w:r w:rsidRPr="00D215AA">
              <w:rPr>
                <w:rStyle w:val="Lienhypertexte"/>
                <w:color w:val="auto"/>
                <w:szCs w:val="24"/>
                <w:u w:val="none"/>
              </w:rPr>
              <w:t xml:space="preserve"> / mer / jeu / </w:t>
            </w:r>
            <w:proofErr w:type="spellStart"/>
            <w:r w:rsidRPr="00D215AA">
              <w:rPr>
                <w:rStyle w:val="Lienhypertexte"/>
                <w:color w:val="auto"/>
                <w:szCs w:val="24"/>
                <w:u w:val="none"/>
              </w:rPr>
              <w:t>ven</w:t>
            </w:r>
            <w:proofErr w:type="spellEnd"/>
          </w:p>
        </w:tc>
      </w:tr>
      <w:tr w:rsidR="00D215AA" w:rsidRPr="00D215AA" w14:paraId="7D2BDE67" w14:textId="77777777" w:rsidTr="00CB4B77">
        <w:tc>
          <w:tcPr>
            <w:tcW w:w="4531" w:type="dxa"/>
          </w:tcPr>
          <w:p w14:paraId="5A061F93" w14:textId="77777777" w:rsidR="00D215AA" w:rsidRPr="00D215AA" w:rsidRDefault="00D215AA" w:rsidP="00CB4B77">
            <w:pPr>
              <w:rPr>
                <w:rStyle w:val="Lienhypertexte"/>
                <w:color w:val="auto"/>
                <w:szCs w:val="24"/>
                <w:u w:val="none"/>
              </w:rPr>
            </w:pPr>
            <w:r w:rsidRPr="00D215AA">
              <w:rPr>
                <w:rStyle w:val="Lienhypertexte"/>
                <w:color w:val="auto"/>
                <w:szCs w:val="24"/>
                <w:u w:val="none"/>
              </w:rPr>
              <w:t>Plage horaire</w:t>
            </w:r>
          </w:p>
        </w:tc>
        <w:tc>
          <w:tcPr>
            <w:tcW w:w="4531" w:type="dxa"/>
          </w:tcPr>
          <w:p w14:paraId="37F64117" w14:textId="3AE90791" w:rsidR="00D215AA" w:rsidRPr="00D215AA" w:rsidRDefault="00D215AA" w:rsidP="00CB4B77">
            <w:pPr>
              <w:jc w:val="center"/>
              <w:rPr>
                <w:rStyle w:val="Lienhypertexte"/>
                <w:color w:val="auto"/>
                <w:szCs w:val="24"/>
                <w:u w:val="none"/>
              </w:rPr>
            </w:pPr>
            <w:proofErr w:type="gramStart"/>
            <w:r w:rsidRPr="00D215AA">
              <w:rPr>
                <w:rStyle w:val="Lienhypertexte"/>
                <w:color w:val="auto"/>
                <w:szCs w:val="24"/>
                <w:u w:val="none"/>
              </w:rPr>
              <w:t>0</w:t>
            </w:r>
            <w:r>
              <w:rPr>
                <w:rStyle w:val="Lienhypertexte"/>
                <w:color w:val="auto"/>
                <w:szCs w:val="24"/>
                <w:u w:val="none"/>
              </w:rPr>
              <w:t>7</w:t>
            </w:r>
            <w:r w:rsidRPr="00D215AA">
              <w:rPr>
                <w:rStyle w:val="Lienhypertexte"/>
                <w:color w:val="auto"/>
                <w:szCs w:val="24"/>
                <w:u w:val="none"/>
              </w:rPr>
              <w:t>:</w:t>
            </w:r>
            <w:proofErr w:type="gramEnd"/>
            <w:r w:rsidRPr="00D215AA">
              <w:rPr>
                <w:rStyle w:val="Lienhypertexte"/>
                <w:color w:val="auto"/>
                <w:szCs w:val="24"/>
                <w:u w:val="none"/>
              </w:rPr>
              <w:t xml:space="preserve">00 – </w:t>
            </w:r>
            <w:r>
              <w:rPr>
                <w:rStyle w:val="Lienhypertexte"/>
                <w:color w:val="auto"/>
                <w:szCs w:val="24"/>
                <w:u w:val="none"/>
              </w:rPr>
              <w:t>19</w:t>
            </w:r>
            <w:r w:rsidRPr="00D215AA">
              <w:rPr>
                <w:rStyle w:val="Lienhypertexte"/>
                <w:color w:val="auto"/>
                <w:szCs w:val="24"/>
                <w:u w:val="none"/>
              </w:rPr>
              <w:t>:00</w:t>
            </w:r>
          </w:p>
        </w:tc>
      </w:tr>
    </w:tbl>
    <w:p w14:paraId="56FB02F0" w14:textId="77777777" w:rsidR="009021B6" w:rsidRPr="009021B6" w:rsidRDefault="009021B6" w:rsidP="009021B6">
      <w:pPr>
        <w:rPr>
          <w:szCs w:val="24"/>
        </w:rPr>
      </w:pPr>
    </w:p>
    <w:p w14:paraId="76ACA4E0" w14:textId="77777777" w:rsidR="009021B6" w:rsidRPr="009021B6" w:rsidRDefault="009021B6" w:rsidP="009021B6">
      <w:pPr>
        <w:rPr>
          <w:szCs w:val="24"/>
        </w:rPr>
      </w:pPr>
      <w:r w:rsidRPr="009021B6">
        <w:rPr>
          <w:szCs w:val="24"/>
        </w:rPr>
        <w:t>Par exception, les paramètres par défaut des cartes DU et acheteur de proximité pourront faire l’objet d’une évolution.</w:t>
      </w:r>
    </w:p>
    <w:p w14:paraId="583E1099" w14:textId="77777777" w:rsidR="009021B6" w:rsidRPr="009021B6" w:rsidRDefault="009021B6" w:rsidP="009021B6">
      <w:pPr>
        <w:rPr>
          <w:szCs w:val="24"/>
        </w:rPr>
      </w:pPr>
    </w:p>
    <w:p w14:paraId="600F94B9" w14:textId="37EE360A" w:rsidR="009021B6" w:rsidRPr="009021B6" w:rsidRDefault="001E6FC7" w:rsidP="009021B6">
      <w:pPr>
        <w:rPr>
          <w:szCs w:val="24"/>
        </w:rPr>
      </w:pPr>
      <w:r>
        <w:rPr>
          <w:szCs w:val="24"/>
        </w:rPr>
        <w:t>L</w:t>
      </w:r>
      <w:r w:rsidRPr="001E6FC7">
        <w:rPr>
          <w:szCs w:val="24"/>
        </w:rPr>
        <w:t xml:space="preserve">es cartes achat </w:t>
      </w:r>
      <w:r w:rsidRPr="009021B6">
        <w:rPr>
          <w:szCs w:val="24"/>
        </w:rPr>
        <w:t xml:space="preserve">DU et acheteur de proximité </w:t>
      </w:r>
      <w:r w:rsidRPr="001E6FC7">
        <w:rPr>
          <w:szCs w:val="24"/>
        </w:rPr>
        <w:t>ont des autorisations larges ou restreintes. Cependant, certains agents ont des besoins plus spécifiques</w:t>
      </w:r>
      <w:r>
        <w:rPr>
          <w:szCs w:val="24"/>
        </w:rPr>
        <w:t xml:space="preserve"> et pour</w:t>
      </w:r>
      <w:r w:rsidRPr="001E6FC7">
        <w:rPr>
          <w:szCs w:val="24"/>
        </w:rPr>
        <w:t xml:space="preserve"> y répondre, </w:t>
      </w:r>
      <w:r>
        <w:rPr>
          <w:szCs w:val="24"/>
        </w:rPr>
        <w:t>l</w:t>
      </w:r>
      <w:r w:rsidRPr="009021B6">
        <w:rPr>
          <w:szCs w:val="24"/>
        </w:rPr>
        <w:t>e</w:t>
      </w:r>
      <w:r>
        <w:rPr>
          <w:szCs w:val="24"/>
        </w:rPr>
        <w:t>s</w:t>
      </w:r>
      <w:r w:rsidRPr="009021B6">
        <w:rPr>
          <w:szCs w:val="24"/>
        </w:rPr>
        <w:t xml:space="preserve"> </w:t>
      </w:r>
      <w:r w:rsidR="00767BA0">
        <w:rPr>
          <w:szCs w:val="24"/>
        </w:rPr>
        <w:t>gestionnaires de parc</w:t>
      </w:r>
      <w:r w:rsidRPr="009021B6">
        <w:rPr>
          <w:szCs w:val="24"/>
        </w:rPr>
        <w:t xml:space="preserve"> peu</w:t>
      </w:r>
      <w:r>
        <w:rPr>
          <w:szCs w:val="24"/>
        </w:rPr>
        <w:t>ven</w:t>
      </w:r>
      <w:r w:rsidRPr="009021B6">
        <w:rPr>
          <w:szCs w:val="24"/>
        </w:rPr>
        <w:t xml:space="preserve">t modifier </w:t>
      </w:r>
      <w:r>
        <w:rPr>
          <w:szCs w:val="24"/>
        </w:rPr>
        <w:t>un ou plusieurs</w:t>
      </w:r>
      <w:r w:rsidRPr="009021B6">
        <w:rPr>
          <w:szCs w:val="24"/>
        </w:rPr>
        <w:t xml:space="preserve"> param</w:t>
      </w:r>
      <w:r w:rsidR="00EE05AA">
        <w:rPr>
          <w:szCs w:val="24"/>
        </w:rPr>
        <w:t>è</w:t>
      </w:r>
      <w:r w:rsidRPr="009021B6">
        <w:rPr>
          <w:szCs w:val="24"/>
        </w:rPr>
        <w:t xml:space="preserve">tres </w:t>
      </w:r>
      <w:r>
        <w:rPr>
          <w:szCs w:val="24"/>
        </w:rPr>
        <w:t xml:space="preserve">d’une carte DU ou acheteur de proximité, </w:t>
      </w:r>
      <w:r w:rsidR="009021B6" w:rsidRPr="009021B6">
        <w:rPr>
          <w:szCs w:val="24"/>
        </w:rPr>
        <w:t xml:space="preserve">la carte devient </w:t>
      </w:r>
      <w:r>
        <w:rPr>
          <w:szCs w:val="24"/>
        </w:rPr>
        <w:t xml:space="preserve">alors </w:t>
      </w:r>
      <w:r w:rsidR="009021B6" w:rsidRPr="009021B6">
        <w:rPr>
          <w:szCs w:val="24"/>
        </w:rPr>
        <w:t>une « </w:t>
      </w:r>
      <w:r w:rsidR="009021B6" w:rsidRPr="009021B6">
        <w:rPr>
          <w:b/>
          <w:szCs w:val="24"/>
        </w:rPr>
        <w:t>carte personnalisée</w:t>
      </w:r>
      <w:r w:rsidR="009021B6" w:rsidRPr="009021B6">
        <w:rPr>
          <w:szCs w:val="24"/>
        </w:rPr>
        <w:t> ».</w:t>
      </w:r>
    </w:p>
    <w:p w14:paraId="08669372" w14:textId="0B27B96F" w:rsidR="00A25875" w:rsidRDefault="00A25875" w:rsidP="00A25875"/>
    <w:p w14:paraId="0E018B54" w14:textId="551DB431" w:rsidR="001E6FC7" w:rsidRDefault="001E6FC7" w:rsidP="00011CED">
      <w:pPr>
        <w:pStyle w:val="Titre3"/>
      </w:pPr>
      <w:bookmarkStart w:id="13" w:name="_Toc201856025"/>
      <w:r>
        <w:t>4.1.2 Règles d’utilisation</w:t>
      </w:r>
      <w:bookmarkEnd w:id="13"/>
    </w:p>
    <w:p w14:paraId="01E9AB27" w14:textId="5B58417C" w:rsidR="00825EA4" w:rsidRPr="00825EA4" w:rsidRDefault="00825EA4" w:rsidP="00825EA4">
      <w:pPr>
        <w:rPr>
          <w:rFonts w:cs="Calibri"/>
          <w:szCs w:val="24"/>
        </w:rPr>
      </w:pPr>
      <w:r w:rsidRPr="00B679AF">
        <w:rPr>
          <w:b/>
          <w:bCs/>
        </w:rPr>
        <w:t xml:space="preserve">Sont </w:t>
      </w:r>
      <w:r w:rsidRPr="00825EA4">
        <w:rPr>
          <w:b/>
          <w:bCs/>
        </w:rPr>
        <w:t>exclus</w:t>
      </w:r>
      <w:r w:rsidRPr="00B679AF">
        <w:rPr>
          <w:b/>
          <w:bCs/>
        </w:rPr>
        <w:t xml:space="preserve"> du périmètre d’utilisation de la carte achat de niveau 1</w:t>
      </w:r>
      <w:r>
        <w:rPr>
          <w:b/>
          <w:bCs/>
        </w:rPr>
        <w:t>,</w:t>
      </w:r>
      <w:r w:rsidRPr="00B679AF">
        <w:t xml:space="preserve"> </w:t>
      </w:r>
      <w:r w:rsidRPr="00825EA4">
        <w:rPr>
          <w:b/>
        </w:rPr>
        <w:t>q</w:t>
      </w:r>
      <w:r w:rsidRPr="00825EA4">
        <w:rPr>
          <w:rFonts w:cs="Calibri"/>
          <w:b/>
          <w:szCs w:val="24"/>
        </w:rPr>
        <w:t>uel que soit le type de carte</w:t>
      </w:r>
      <w:r>
        <w:rPr>
          <w:rFonts w:cs="Calibri"/>
          <w:b/>
          <w:szCs w:val="24"/>
        </w:rPr>
        <w:t xml:space="preserve"> </w:t>
      </w:r>
      <w:r w:rsidRPr="00825EA4">
        <w:rPr>
          <w:rFonts w:cs="Calibri"/>
          <w:szCs w:val="24"/>
        </w:rPr>
        <w:t>:</w:t>
      </w:r>
    </w:p>
    <w:p w14:paraId="7C57A2D9" w14:textId="77777777" w:rsidR="00825EA4" w:rsidRPr="00825EA4" w:rsidRDefault="00825EA4" w:rsidP="00182679">
      <w:pPr>
        <w:numPr>
          <w:ilvl w:val="0"/>
          <w:numId w:val="18"/>
        </w:numPr>
        <w:rPr>
          <w:rFonts w:cs="Calibri"/>
          <w:szCs w:val="24"/>
        </w:rPr>
      </w:pPr>
      <w:proofErr w:type="gramStart"/>
      <w:r w:rsidRPr="00825EA4">
        <w:rPr>
          <w:rFonts w:cs="Calibri"/>
          <w:szCs w:val="24"/>
        </w:rPr>
        <w:t>le</w:t>
      </w:r>
      <w:proofErr w:type="gramEnd"/>
      <w:r w:rsidRPr="00825EA4">
        <w:rPr>
          <w:rFonts w:cs="Calibri"/>
          <w:szCs w:val="24"/>
        </w:rPr>
        <w:t xml:space="preserve"> retrait d’espèces ;</w:t>
      </w:r>
    </w:p>
    <w:p w14:paraId="490F5B11" w14:textId="020194F0" w:rsidR="00825EA4" w:rsidRPr="00825EA4" w:rsidRDefault="00825EA4" w:rsidP="00182679">
      <w:pPr>
        <w:numPr>
          <w:ilvl w:val="0"/>
          <w:numId w:val="18"/>
        </w:numPr>
        <w:rPr>
          <w:rFonts w:cs="Calibri"/>
          <w:szCs w:val="24"/>
        </w:rPr>
      </w:pPr>
      <w:proofErr w:type="gramStart"/>
      <w:r w:rsidRPr="00825EA4">
        <w:rPr>
          <w:rFonts w:cs="Calibri"/>
          <w:szCs w:val="24"/>
        </w:rPr>
        <w:t>les</w:t>
      </w:r>
      <w:proofErr w:type="gramEnd"/>
      <w:r w:rsidRPr="00825EA4">
        <w:rPr>
          <w:rFonts w:cs="Calibri"/>
          <w:szCs w:val="24"/>
        </w:rPr>
        <w:t xml:space="preserve"> frais de réception</w:t>
      </w:r>
      <w:r>
        <w:rPr>
          <w:rFonts w:cs="Calibri"/>
          <w:szCs w:val="24"/>
        </w:rPr>
        <w:t xml:space="preserve"> </w:t>
      </w:r>
      <w:r w:rsidRPr="00825EA4">
        <w:rPr>
          <w:rFonts w:cs="Calibri"/>
          <w:szCs w:val="24"/>
        </w:rPr>
        <w:t>;</w:t>
      </w:r>
    </w:p>
    <w:p w14:paraId="6D256BDF" w14:textId="77777777" w:rsidR="00825EA4" w:rsidRPr="00825EA4" w:rsidRDefault="00825EA4" w:rsidP="00182679">
      <w:pPr>
        <w:numPr>
          <w:ilvl w:val="0"/>
          <w:numId w:val="18"/>
        </w:numPr>
        <w:rPr>
          <w:rFonts w:cs="Calibri"/>
          <w:szCs w:val="24"/>
        </w:rPr>
      </w:pPr>
      <w:proofErr w:type="gramStart"/>
      <w:r w:rsidRPr="00825EA4">
        <w:rPr>
          <w:rFonts w:cs="Calibri"/>
          <w:szCs w:val="24"/>
        </w:rPr>
        <w:t>les</w:t>
      </w:r>
      <w:proofErr w:type="gramEnd"/>
      <w:r w:rsidRPr="00825EA4">
        <w:rPr>
          <w:rFonts w:cs="Calibri"/>
          <w:szCs w:val="24"/>
        </w:rPr>
        <w:t xml:space="preserve"> achats stockés ;</w:t>
      </w:r>
    </w:p>
    <w:p w14:paraId="4FA83BE7" w14:textId="77777777" w:rsidR="00825EA4" w:rsidRPr="00825EA4" w:rsidRDefault="00825EA4" w:rsidP="00182679">
      <w:pPr>
        <w:numPr>
          <w:ilvl w:val="0"/>
          <w:numId w:val="18"/>
        </w:numPr>
        <w:rPr>
          <w:rFonts w:cs="Calibri"/>
          <w:szCs w:val="24"/>
        </w:rPr>
      </w:pPr>
      <w:proofErr w:type="gramStart"/>
      <w:r w:rsidRPr="00825EA4">
        <w:rPr>
          <w:rFonts w:cs="Calibri"/>
          <w:szCs w:val="24"/>
        </w:rPr>
        <w:t>les</w:t>
      </w:r>
      <w:proofErr w:type="gramEnd"/>
      <w:r w:rsidRPr="00825EA4">
        <w:rPr>
          <w:rFonts w:cs="Calibri"/>
          <w:szCs w:val="24"/>
        </w:rPr>
        <w:t xml:space="preserve"> frais d’hébergement payés pour les chambres d’hôtels ainsi que de toute autre forme alternative d’hébergement (y compris location de salles) ;</w:t>
      </w:r>
    </w:p>
    <w:p w14:paraId="040EEA5C" w14:textId="77777777" w:rsidR="00825EA4" w:rsidRPr="00825EA4" w:rsidRDefault="00825EA4" w:rsidP="00182679">
      <w:pPr>
        <w:numPr>
          <w:ilvl w:val="0"/>
          <w:numId w:val="18"/>
        </w:numPr>
        <w:rPr>
          <w:rFonts w:cs="Calibri"/>
          <w:szCs w:val="24"/>
        </w:rPr>
      </w:pPr>
      <w:proofErr w:type="gramStart"/>
      <w:r w:rsidRPr="00825EA4">
        <w:rPr>
          <w:rFonts w:cs="Calibri"/>
          <w:szCs w:val="24"/>
        </w:rPr>
        <w:t>les</w:t>
      </w:r>
      <w:proofErr w:type="gramEnd"/>
      <w:r w:rsidRPr="00825EA4">
        <w:rPr>
          <w:rFonts w:cs="Calibri"/>
          <w:szCs w:val="24"/>
        </w:rPr>
        <w:t xml:space="preserve"> frais de déplacement quel que soit le mode de transport utilisé ;</w:t>
      </w:r>
    </w:p>
    <w:p w14:paraId="4B416BF1" w14:textId="77777777" w:rsidR="00825EA4" w:rsidRPr="00825EA4" w:rsidRDefault="00825EA4" w:rsidP="00182679">
      <w:pPr>
        <w:numPr>
          <w:ilvl w:val="0"/>
          <w:numId w:val="18"/>
        </w:numPr>
        <w:rPr>
          <w:rFonts w:cs="Calibri"/>
          <w:szCs w:val="24"/>
        </w:rPr>
      </w:pPr>
      <w:proofErr w:type="gramStart"/>
      <w:r w:rsidRPr="00825EA4">
        <w:rPr>
          <w:rFonts w:cs="Calibri"/>
          <w:szCs w:val="24"/>
        </w:rPr>
        <w:t>l’achat</w:t>
      </w:r>
      <w:proofErr w:type="gramEnd"/>
      <w:r w:rsidRPr="00825EA4">
        <w:rPr>
          <w:rFonts w:cs="Calibri"/>
          <w:szCs w:val="24"/>
        </w:rPr>
        <w:t xml:space="preserve"> de matériels supérieur au seuil d’immobilisation fixé à INRAE (actuellement 2000 € HT) ;</w:t>
      </w:r>
    </w:p>
    <w:p w14:paraId="27D6CFF3" w14:textId="77777777" w:rsidR="00825EA4" w:rsidRPr="00825EA4" w:rsidRDefault="00825EA4" w:rsidP="00182679">
      <w:pPr>
        <w:numPr>
          <w:ilvl w:val="0"/>
          <w:numId w:val="18"/>
        </w:numPr>
        <w:rPr>
          <w:rFonts w:cs="Calibri"/>
          <w:szCs w:val="28"/>
        </w:rPr>
      </w:pPr>
      <w:proofErr w:type="gramStart"/>
      <w:r w:rsidRPr="00825EA4">
        <w:rPr>
          <w:rFonts w:cs="Calibri"/>
          <w:szCs w:val="24"/>
        </w:rPr>
        <w:t>les</w:t>
      </w:r>
      <w:proofErr w:type="gramEnd"/>
      <w:r w:rsidRPr="00825EA4">
        <w:rPr>
          <w:rFonts w:cs="Calibri"/>
          <w:szCs w:val="24"/>
        </w:rPr>
        <w:t xml:space="preserve"> achats déjà couverts par des marchés nationaux ou locaux ;</w:t>
      </w:r>
    </w:p>
    <w:p w14:paraId="76F4571E" w14:textId="77777777" w:rsidR="00825EA4" w:rsidRPr="00825EA4" w:rsidRDefault="00825EA4" w:rsidP="00182679">
      <w:pPr>
        <w:numPr>
          <w:ilvl w:val="0"/>
          <w:numId w:val="18"/>
        </w:numPr>
        <w:rPr>
          <w:rFonts w:cs="Calibri"/>
          <w:szCs w:val="28"/>
        </w:rPr>
      </w:pPr>
      <w:proofErr w:type="gramStart"/>
      <w:r w:rsidRPr="00825EA4">
        <w:rPr>
          <w:rFonts w:cs="Calibri"/>
          <w:szCs w:val="24"/>
        </w:rPr>
        <w:t>des</w:t>
      </w:r>
      <w:proofErr w:type="gramEnd"/>
      <w:r w:rsidRPr="00825EA4">
        <w:rPr>
          <w:rFonts w:cs="Calibri"/>
          <w:szCs w:val="24"/>
        </w:rPr>
        <w:t xml:space="preserve"> achats autres que pour le compte de l’unité ;</w:t>
      </w:r>
    </w:p>
    <w:p w14:paraId="16BF22CC" w14:textId="77777777" w:rsidR="00825EA4" w:rsidRPr="00825EA4" w:rsidRDefault="00825EA4" w:rsidP="00182679">
      <w:pPr>
        <w:numPr>
          <w:ilvl w:val="0"/>
          <w:numId w:val="18"/>
        </w:numPr>
        <w:rPr>
          <w:rFonts w:cs="Calibri"/>
          <w:szCs w:val="28"/>
        </w:rPr>
      </w:pPr>
      <w:proofErr w:type="gramStart"/>
      <w:r w:rsidRPr="00825EA4">
        <w:rPr>
          <w:rFonts w:cs="Calibri"/>
          <w:szCs w:val="24"/>
        </w:rPr>
        <w:t>l’approvisionnement</w:t>
      </w:r>
      <w:proofErr w:type="gramEnd"/>
      <w:r w:rsidRPr="00825EA4">
        <w:rPr>
          <w:rFonts w:cs="Calibri"/>
          <w:szCs w:val="24"/>
        </w:rPr>
        <w:t xml:space="preserve"> des services de paiement en ligne tels que « </w:t>
      </w:r>
      <w:proofErr w:type="spellStart"/>
      <w:r w:rsidRPr="00825EA4">
        <w:rPr>
          <w:rFonts w:cs="Calibri"/>
          <w:szCs w:val="24"/>
        </w:rPr>
        <w:t>Paypal</w:t>
      </w:r>
      <w:proofErr w:type="spellEnd"/>
      <w:r w:rsidRPr="00825EA4">
        <w:rPr>
          <w:rFonts w:cs="Calibri"/>
          <w:szCs w:val="24"/>
        </w:rPr>
        <w:t> » ;</w:t>
      </w:r>
    </w:p>
    <w:p w14:paraId="3DA69A31" w14:textId="77777777" w:rsidR="00825EA4" w:rsidRPr="00825EA4" w:rsidRDefault="00825EA4" w:rsidP="00182679">
      <w:pPr>
        <w:numPr>
          <w:ilvl w:val="0"/>
          <w:numId w:val="18"/>
        </w:numPr>
        <w:rPr>
          <w:rFonts w:cs="Calibri"/>
          <w:szCs w:val="28"/>
        </w:rPr>
      </w:pPr>
      <w:proofErr w:type="gramStart"/>
      <w:r w:rsidRPr="00825EA4">
        <w:rPr>
          <w:rFonts w:cs="Calibri"/>
          <w:szCs w:val="28"/>
        </w:rPr>
        <w:t>le</w:t>
      </w:r>
      <w:proofErr w:type="gramEnd"/>
      <w:r w:rsidRPr="00825EA4">
        <w:rPr>
          <w:rFonts w:cs="Calibri"/>
          <w:szCs w:val="28"/>
        </w:rPr>
        <w:t xml:space="preserve"> versement d’avances ;</w:t>
      </w:r>
    </w:p>
    <w:p w14:paraId="3B76187A" w14:textId="77777777" w:rsidR="00825EA4" w:rsidRPr="00825EA4" w:rsidRDefault="00825EA4" w:rsidP="00182679">
      <w:pPr>
        <w:numPr>
          <w:ilvl w:val="0"/>
          <w:numId w:val="18"/>
        </w:numPr>
        <w:rPr>
          <w:rFonts w:cs="Calibri"/>
          <w:szCs w:val="28"/>
        </w:rPr>
      </w:pPr>
      <w:proofErr w:type="gramStart"/>
      <w:r w:rsidRPr="00825EA4">
        <w:rPr>
          <w:rFonts w:cs="Calibri"/>
          <w:szCs w:val="28"/>
        </w:rPr>
        <w:t>les</w:t>
      </w:r>
      <w:proofErr w:type="gramEnd"/>
      <w:r w:rsidRPr="00825EA4">
        <w:rPr>
          <w:rFonts w:cs="Calibri"/>
          <w:szCs w:val="28"/>
        </w:rPr>
        <w:t xml:space="preserve"> amendes, timbres fiscaux, cartes cadeaux, cagnottes en ligne ;</w:t>
      </w:r>
    </w:p>
    <w:p w14:paraId="3C95CF85" w14:textId="77777777" w:rsidR="00825EA4" w:rsidRPr="00825EA4" w:rsidRDefault="00825EA4" w:rsidP="00182679">
      <w:pPr>
        <w:numPr>
          <w:ilvl w:val="0"/>
          <w:numId w:val="18"/>
        </w:numPr>
        <w:rPr>
          <w:rFonts w:cs="Calibri"/>
          <w:szCs w:val="28"/>
        </w:rPr>
      </w:pPr>
      <w:proofErr w:type="gramStart"/>
      <w:r w:rsidRPr="00825EA4">
        <w:rPr>
          <w:rFonts w:cs="Calibri"/>
          <w:szCs w:val="28"/>
        </w:rPr>
        <w:t>les</w:t>
      </w:r>
      <w:proofErr w:type="gramEnd"/>
      <w:r w:rsidRPr="00825EA4">
        <w:rPr>
          <w:rFonts w:cs="Calibri"/>
          <w:szCs w:val="28"/>
        </w:rPr>
        <w:t xml:space="preserve"> comptes prépayés (type EUROGENTEC). </w:t>
      </w:r>
    </w:p>
    <w:p w14:paraId="5A46FAEE" w14:textId="77777777" w:rsidR="00825EA4" w:rsidRPr="00825EA4" w:rsidRDefault="00825EA4" w:rsidP="00825EA4">
      <w:pPr>
        <w:rPr>
          <w:rFonts w:cs="Calibri"/>
          <w:szCs w:val="28"/>
        </w:rPr>
      </w:pPr>
    </w:p>
    <w:p w14:paraId="70155F97" w14:textId="77777777" w:rsidR="00825EA4" w:rsidRPr="00825EA4" w:rsidRDefault="00825EA4" w:rsidP="00825EA4">
      <w:pPr>
        <w:rPr>
          <w:rFonts w:eastAsia="Times New Roman" w:cs="Calibri"/>
          <w:szCs w:val="20"/>
        </w:rPr>
      </w:pPr>
      <w:r w:rsidRPr="00825EA4">
        <w:rPr>
          <w:rFonts w:eastAsia="Times New Roman" w:cs="Calibri"/>
        </w:rPr>
        <w:t xml:space="preserve">A cette liste s’ajoutent </w:t>
      </w:r>
      <w:r w:rsidRPr="00825EA4">
        <w:rPr>
          <w:rFonts w:eastAsia="Times New Roman" w:cs="Calibri"/>
          <w:b/>
        </w:rPr>
        <w:t>pour la carte acheteur de proximité</w:t>
      </w:r>
      <w:r w:rsidRPr="00825EA4">
        <w:rPr>
          <w:rFonts w:eastAsia="Times New Roman" w:cs="Calibri"/>
        </w:rPr>
        <w:t xml:space="preserve"> : </w:t>
      </w:r>
    </w:p>
    <w:p w14:paraId="7F01099B" w14:textId="77777777" w:rsidR="00825EA4" w:rsidRPr="00825EA4" w:rsidRDefault="00825EA4" w:rsidP="00182679">
      <w:pPr>
        <w:numPr>
          <w:ilvl w:val="0"/>
          <w:numId w:val="19"/>
        </w:numPr>
        <w:rPr>
          <w:rFonts w:eastAsia="Calibri" w:cs="Calibri"/>
          <w:szCs w:val="24"/>
        </w:rPr>
      </w:pPr>
      <w:proofErr w:type="gramStart"/>
      <w:r w:rsidRPr="00825EA4">
        <w:rPr>
          <w:rFonts w:cs="Calibri"/>
          <w:szCs w:val="24"/>
        </w:rPr>
        <w:t>les</w:t>
      </w:r>
      <w:proofErr w:type="gramEnd"/>
      <w:r w:rsidRPr="00825EA4">
        <w:rPr>
          <w:rFonts w:cs="Calibri"/>
          <w:szCs w:val="24"/>
        </w:rPr>
        <w:t xml:space="preserve"> frais de repas et tout type de frais liés aux missions.</w:t>
      </w:r>
    </w:p>
    <w:p w14:paraId="65DA72EC" w14:textId="77777777" w:rsidR="00825EA4" w:rsidRPr="00825EA4" w:rsidRDefault="00825EA4" w:rsidP="00182679">
      <w:pPr>
        <w:numPr>
          <w:ilvl w:val="0"/>
          <w:numId w:val="19"/>
        </w:numPr>
        <w:rPr>
          <w:rFonts w:cs="Calibri"/>
          <w:szCs w:val="24"/>
        </w:rPr>
      </w:pPr>
      <w:proofErr w:type="gramStart"/>
      <w:r w:rsidRPr="00825EA4">
        <w:rPr>
          <w:rFonts w:cs="Calibri"/>
          <w:szCs w:val="24"/>
        </w:rPr>
        <w:t>tout</w:t>
      </w:r>
      <w:proofErr w:type="gramEnd"/>
      <w:r w:rsidRPr="00825EA4">
        <w:rPr>
          <w:rFonts w:cs="Calibri"/>
          <w:szCs w:val="24"/>
        </w:rPr>
        <w:t xml:space="preserve"> type de frais de réception et de représentation.</w:t>
      </w:r>
    </w:p>
    <w:p w14:paraId="69C88FEC" w14:textId="77777777" w:rsidR="00A25875" w:rsidRPr="00B679AF" w:rsidRDefault="00A25875" w:rsidP="00825EA4"/>
    <w:p w14:paraId="4E464D1D" w14:textId="77777777" w:rsidR="00A25875" w:rsidRDefault="00A25875" w:rsidP="00A25875">
      <w:r w:rsidRPr="00B679AF">
        <w:t>Il s’agit d’une politique interne à INRAE susceptible d’évoluer en cours d’exécution. Le titulaire de l’accord-cadre en sera informé le cas échéant.</w:t>
      </w:r>
    </w:p>
    <w:p w14:paraId="6648E97C" w14:textId="77777777" w:rsidR="00A25875" w:rsidRDefault="00A25875" w:rsidP="00A25875">
      <w:bookmarkStart w:id="14" w:name="_Hlk201591926"/>
    </w:p>
    <w:p w14:paraId="58D99FEE" w14:textId="7CF29D47" w:rsidR="00C04F68" w:rsidRPr="00C04F68" w:rsidRDefault="0012048E" w:rsidP="00011CED">
      <w:pPr>
        <w:pStyle w:val="Titre2"/>
        <w:numPr>
          <w:ilvl w:val="1"/>
          <w:numId w:val="1"/>
        </w:numPr>
      </w:pPr>
      <w:bookmarkStart w:id="15" w:name="_Toc201856026"/>
      <w:r>
        <w:lastRenderedPageBreak/>
        <w:t>Demande de</w:t>
      </w:r>
      <w:r w:rsidR="009131CE">
        <w:t xml:space="preserve"> cartes</w:t>
      </w:r>
      <w:bookmarkEnd w:id="15"/>
    </w:p>
    <w:p w14:paraId="1BB8AB8D" w14:textId="042C4B9C" w:rsidR="00A25875" w:rsidRPr="009131CE" w:rsidRDefault="002C7905" w:rsidP="00011CED">
      <w:pPr>
        <w:pStyle w:val="Titre3"/>
      </w:pPr>
      <w:bookmarkStart w:id="16" w:name="_Toc201856027"/>
      <w:r>
        <w:t xml:space="preserve">4.2.1 </w:t>
      </w:r>
      <w:r w:rsidR="0012048E">
        <w:t>Saisie d’une d</w:t>
      </w:r>
      <w:r w:rsidR="00A25875" w:rsidRPr="009131CE">
        <w:t>emande</w:t>
      </w:r>
      <w:bookmarkEnd w:id="16"/>
    </w:p>
    <w:p w14:paraId="169A023D" w14:textId="1A864415" w:rsidR="00A25875" w:rsidRDefault="007D410E" w:rsidP="00A25875">
      <w:r w:rsidRPr="007D410E">
        <w:t>La saisie d’une demande de carte est centralisée à INRAE dans l’outil B</w:t>
      </w:r>
      <w:r>
        <w:t>LUEWAY</w:t>
      </w:r>
      <w:r w:rsidRPr="007D410E">
        <w:t>.</w:t>
      </w:r>
    </w:p>
    <w:p w14:paraId="2BEE8A55" w14:textId="77777777" w:rsidR="007D410E" w:rsidRDefault="007D410E" w:rsidP="00A25875"/>
    <w:p w14:paraId="1F9E2E32" w14:textId="4AAADECC" w:rsidR="007D410E" w:rsidRDefault="007D410E" w:rsidP="00A25875">
      <w:r>
        <w:t xml:space="preserve">Les données de l’agent qui effectue une demande de carte dans BLUEWAY sont préremplies : </w:t>
      </w:r>
    </w:p>
    <w:p w14:paraId="0FD064FC" w14:textId="793DBB43" w:rsidR="007D410E" w:rsidRDefault="007D410E" w:rsidP="007D410E">
      <w:pPr>
        <w:jc w:val="center"/>
      </w:pPr>
      <w:r w:rsidRPr="007D410E">
        <w:rPr>
          <w:noProof/>
          <w:lang w:eastAsia="fr-FR"/>
        </w:rPr>
        <w:drawing>
          <wp:inline distT="0" distB="0" distL="0" distR="0" wp14:anchorId="593205DA" wp14:editId="7E3EB76B">
            <wp:extent cx="4457700" cy="1867628"/>
            <wp:effectExtent l="57150" t="57150" r="114300" b="113665"/>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36400" cy="1900601"/>
                    </a:xfrm>
                    <a:prstGeom prst="rect">
                      <a:avLst/>
                    </a:prstGeom>
                    <a:ln>
                      <a:solidFill>
                        <a:schemeClr val="tx1"/>
                      </a:solidFill>
                    </a:ln>
                    <a:effectLst>
                      <a:outerShdw blurRad="50800" dist="38100" dir="2700000" algn="tl" rotWithShape="0">
                        <a:prstClr val="black">
                          <a:alpha val="40000"/>
                        </a:prstClr>
                      </a:outerShdw>
                    </a:effectLst>
                  </pic:spPr>
                </pic:pic>
              </a:graphicData>
            </a:graphic>
          </wp:inline>
        </w:drawing>
      </w:r>
    </w:p>
    <w:p w14:paraId="5045F81E" w14:textId="51CBFA2B" w:rsidR="007D410E" w:rsidRDefault="007D410E" w:rsidP="00A25875"/>
    <w:p w14:paraId="19491778" w14:textId="52D9351B" w:rsidR="007D410E" w:rsidRDefault="007D410E" w:rsidP="00A25875">
      <w:r>
        <w:t xml:space="preserve">L’agent doit cocher le type de carte souhaité (Carte DU ou acheteur de proximité) et le cas échéant « carte personnalisée » : </w:t>
      </w:r>
    </w:p>
    <w:p w14:paraId="5ED0C6A1" w14:textId="7E8DAF38" w:rsidR="007D410E" w:rsidRDefault="007D410E" w:rsidP="007D410E">
      <w:pPr>
        <w:jc w:val="center"/>
      </w:pPr>
      <w:r w:rsidRPr="007D410E">
        <w:rPr>
          <w:noProof/>
          <w:lang w:eastAsia="fr-FR"/>
        </w:rPr>
        <w:drawing>
          <wp:inline distT="0" distB="0" distL="0" distR="0" wp14:anchorId="468F0437" wp14:editId="30193087">
            <wp:extent cx="5000625" cy="982693"/>
            <wp:effectExtent l="57150" t="57150" r="104775" b="122555"/>
            <wp:docPr id="42"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144992" cy="1011063"/>
                    </a:xfrm>
                    <a:prstGeom prst="rect">
                      <a:avLst/>
                    </a:prstGeom>
                    <a:ln>
                      <a:solidFill>
                        <a:schemeClr val="tx1"/>
                      </a:solidFill>
                    </a:ln>
                    <a:effectLst>
                      <a:outerShdw blurRad="50800" dist="38100" dir="2700000" algn="tl" rotWithShape="0">
                        <a:prstClr val="black">
                          <a:alpha val="40000"/>
                        </a:prstClr>
                      </a:outerShdw>
                    </a:effectLst>
                  </pic:spPr>
                </pic:pic>
              </a:graphicData>
            </a:graphic>
          </wp:inline>
        </w:drawing>
      </w:r>
    </w:p>
    <w:p w14:paraId="1C87FB72" w14:textId="77777777" w:rsidR="00963846" w:rsidRDefault="00963846" w:rsidP="007D410E">
      <w:pPr>
        <w:jc w:val="center"/>
      </w:pPr>
    </w:p>
    <w:p w14:paraId="6225C84B" w14:textId="2BD11F34" w:rsidR="007D410E" w:rsidRDefault="007D410E" w:rsidP="007D410E">
      <w:r>
        <w:t xml:space="preserve">S’il choisit une carte personnalisée, </w:t>
      </w:r>
      <w:r w:rsidR="00963846">
        <w:t xml:space="preserve">tous les paramètres du type de carte choisi sont modifiables : </w:t>
      </w:r>
    </w:p>
    <w:p w14:paraId="10A6DF44" w14:textId="6CCFF138" w:rsidR="00963846" w:rsidRDefault="00963846" w:rsidP="00963846">
      <w:pPr>
        <w:jc w:val="center"/>
      </w:pPr>
      <w:r w:rsidRPr="00963846">
        <w:rPr>
          <w:noProof/>
          <w:lang w:eastAsia="fr-FR"/>
        </w:rPr>
        <w:drawing>
          <wp:inline distT="0" distB="0" distL="0" distR="0" wp14:anchorId="0065D00F" wp14:editId="5CEB7357">
            <wp:extent cx="4252822" cy="3320006"/>
            <wp:effectExtent l="57150" t="57150" r="109855" b="109220"/>
            <wp:docPr id="45" name="Imag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262965" cy="3327925"/>
                    </a:xfrm>
                    <a:prstGeom prst="rect">
                      <a:avLst/>
                    </a:prstGeom>
                    <a:ln>
                      <a:solidFill>
                        <a:schemeClr val="tx1"/>
                      </a:solidFill>
                    </a:ln>
                    <a:effectLst>
                      <a:outerShdw blurRad="50800" dist="38100" dir="2700000" algn="tl" rotWithShape="0">
                        <a:prstClr val="black">
                          <a:alpha val="40000"/>
                        </a:prstClr>
                      </a:outerShdw>
                    </a:effectLst>
                  </pic:spPr>
                </pic:pic>
              </a:graphicData>
            </a:graphic>
          </wp:inline>
        </w:drawing>
      </w:r>
    </w:p>
    <w:p w14:paraId="721CA7FA" w14:textId="73FCF20B" w:rsidR="00963846" w:rsidRDefault="00963846" w:rsidP="00A25875">
      <w:r>
        <w:lastRenderedPageBreak/>
        <w:t xml:space="preserve">Enfin, l’agent </w:t>
      </w:r>
      <w:r w:rsidR="00290BC5">
        <w:t>renseigne</w:t>
      </w:r>
      <w:r>
        <w:t xml:space="preserve"> l’adresse de livraison de la carte : </w:t>
      </w:r>
    </w:p>
    <w:p w14:paraId="1742BC60" w14:textId="2CE86FEA" w:rsidR="00963846" w:rsidRDefault="00963846" w:rsidP="00963846">
      <w:pPr>
        <w:jc w:val="center"/>
      </w:pPr>
      <w:r w:rsidRPr="00963846">
        <w:rPr>
          <w:noProof/>
          <w:lang w:eastAsia="fr-FR"/>
        </w:rPr>
        <w:drawing>
          <wp:inline distT="0" distB="0" distL="0" distR="0" wp14:anchorId="4CD3E5BC" wp14:editId="78213483">
            <wp:extent cx="4744528" cy="1977461"/>
            <wp:effectExtent l="57150" t="57150" r="113665" b="118110"/>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776777" cy="1990902"/>
                    </a:xfrm>
                    <a:prstGeom prst="rect">
                      <a:avLst/>
                    </a:prstGeom>
                    <a:ln>
                      <a:solidFill>
                        <a:schemeClr val="tx1"/>
                      </a:solidFill>
                    </a:ln>
                    <a:effectLst>
                      <a:outerShdw blurRad="50800" dist="38100" dir="2700000" algn="tl" rotWithShape="0">
                        <a:prstClr val="black">
                          <a:alpha val="40000"/>
                        </a:prstClr>
                      </a:outerShdw>
                    </a:effectLst>
                  </pic:spPr>
                </pic:pic>
              </a:graphicData>
            </a:graphic>
          </wp:inline>
        </w:drawing>
      </w:r>
    </w:p>
    <w:p w14:paraId="6C1A3441" w14:textId="7C644068" w:rsidR="00963846" w:rsidRDefault="00963846" w:rsidP="00963846"/>
    <w:p w14:paraId="2D07BF5B" w14:textId="7FD5ABDA" w:rsidR="00963846" w:rsidRDefault="00963846" w:rsidP="00963846">
      <w:r>
        <w:t>Une fois le formulaire de demande de carte saisi, il est envoyé pour validation aux personnes habilitées.</w:t>
      </w:r>
    </w:p>
    <w:p w14:paraId="6383910D" w14:textId="77777777" w:rsidR="00963846" w:rsidRDefault="00963846" w:rsidP="00963846"/>
    <w:p w14:paraId="20894A35" w14:textId="7E3DF079" w:rsidR="00A25875" w:rsidRDefault="00963846" w:rsidP="00011CED">
      <w:pPr>
        <w:pStyle w:val="Titre3"/>
      </w:pPr>
      <w:bookmarkStart w:id="17" w:name="_Toc201856028"/>
      <w:r>
        <w:t xml:space="preserve">4.2.2 </w:t>
      </w:r>
      <w:r w:rsidR="00A25875" w:rsidRPr="002C2F68">
        <w:t>Transfert d</w:t>
      </w:r>
      <w:r w:rsidR="0012048E">
        <w:t xml:space="preserve">es </w:t>
      </w:r>
      <w:r w:rsidR="00A25875" w:rsidRPr="002C2F68">
        <w:t>demandes de cartes au titulaire</w:t>
      </w:r>
      <w:bookmarkEnd w:id="17"/>
    </w:p>
    <w:p w14:paraId="65407179" w14:textId="656C121A" w:rsidR="007D410E" w:rsidRDefault="007D410E" w:rsidP="007D410E">
      <w:r>
        <w:t xml:space="preserve">Une fois validée selon les règles internes INRAE, la demande de carte à créer </w:t>
      </w:r>
      <w:r w:rsidR="00963846">
        <w:t xml:space="preserve">est </w:t>
      </w:r>
      <w:r>
        <w:t xml:space="preserve">transmise au </w:t>
      </w:r>
      <w:r w:rsidR="00963846">
        <w:t xml:space="preserve">titulaire </w:t>
      </w:r>
      <w:r>
        <w:t>avec les informations suivantes :</w:t>
      </w:r>
    </w:p>
    <w:p w14:paraId="7CC6F84B" w14:textId="3317A136" w:rsidR="00963846" w:rsidRDefault="00963846" w:rsidP="00182679">
      <w:pPr>
        <w:pStyle w:val="Paragraphedeliste"/>
        <w:numPr>
          <w:ilvl w:val="0"/>
          <w:numId w:val="20"/>
        </w:numPr>
        <w:spacing w:before="120" w:after="120"/>
        <w:contextualSpacing/>
      </w:pPr>
      <w:proofErr w:type="gramStart"/>
      <w:r>
        <w:t>les</w:t>
      </w:r>
      <w:proofErr w:type="gramEnd"/>
      <w:r>
        <w:t xml:space="preserve"> c</w:t>
      </w:r>
      <w:r w:rsidR="007D410E">
        <w:t>oordonnées du porteur de carte (nom, prénom, email…)</w:t>
      </w:r>
      <w:r>
        <w:t> ;</w:t>
      </w:r>
    </w:p>
    <w:p w14:paraId="787DBBA3" w14:textId="77777777" w:rsidR="00963846" w:rsidRDefault="00963846" w:rsidP="00182679">
      <w:pPr>
        <w:pStyle w:val="Paragraphedeliste"/>
        <w:numPr>
          <w:ilvl w:val="0"/>
          <w:numId w:val="20"/>
        </w:numPr>
        <w:spacing w:before="120" w:after="120"/>
        <w:contextualSpacing/>
      </w:pPr>
      <w:proofErr w:type="gramStart"/>
      <w:r>
        <w:t>les</w:t>
      </w:r>
      <w:proofErr w:type="gramEnd"/>
      <w:r>
        <w:t xml:space="preserve"> i</w:t>
      </w:r>
      <w:r w:rsidR="007D410E">
        <w:t>nformations de la carte (type de carte, paramètres…)</w:t>
      </w:r>
      <w:r>
        <w:t> ;</w:t>
      </w:r>
    </w:p>
    <w:p w14:paraId="00CDB414" w14:textId="1F2DBAFF" w:rsidR="007D410E" w:rsidRDefault="00963846" w:rsidP="00182679">
      <w:pPr>
        <w:pStyle w:val="Paragraphedeliste"/>
        <w:numPr>
          <w:ilvl w:val="0"/>
          <w:numId w:val="20"/>
        </w:numPr>
        <w:spacing w:before="120" w:after="120"/>
        <w:contextualSpacing/>
      </w:pPr>
      <w:proofErr w:type="gramStart"/>
      <w:r>
        <w:t>l’a</w:t>
      </w:r>
      <w:r w:rsidR="007D410E">
        <w:t>dresse</w:t>
      </w:r>
      <w:proofErr w:type="gramEnd"/>
      <w:r w:rsidR="007D410E">
        <w:t xml:space="preserve"> de livraison de la carte</w:t>
      </w:r>
      <w:r>
        <w:t>.</w:t>
      </w:r>
    </w:p>
    <w:p w14:paraId="6E821FBB" w14:textId="78A17645" w:rsidR="007D410E" w:rsidRDefault="00963846" w:rsidP="007D410E">
      <w:r>
        <w:t>Ces</w:t>
      </w:r>
      <w:r w:rsidR="007D410E">
        <w:t xml:space="preserve"> informations </w:t>
      </w:r>
      <w:r>
        <w:t>sont transmises</w:t>
      </w:r>
      <w:r w:rsidR="007D410E">
        <w:t xml:space="preserve"> :</w:t>
      </w:r>
    </w:p>
    <w:p w14:paraId="43EFE49E" w14:textId="56307D50" w:rsidR="00963846" w:rsidRDefault="00963846" w:rsidP="00182679">
      <w:pPr>
        <w:pStyle w:val="Paragraphedeliste"/>
        <w:numPr>
          <w:ilvl w:val="0"/>
          <w:numId w:val="20"/>
        </w:numPr>
        <w:spacing w:before="120" w:after="120"/>
        <w:contextualSpacing/>
      </w:pPr>
      <w:proofErr w:type="gramStart"/>
      <w:r>
        <w:t>p</w:t>
      </w:r>
      <w:r w:rsidR="007D410E">
        <w:t>ar</w:t>
      </w:r>
      <w:proofErr w:type="gramEnd"/>
      <w:r w:rsidR="007D410E">
        <w:t xml:space="preserve"> mail</w:t>
      </w:r>
      <w:r>
        <w:t xml:space="preserve">, </w:t>
      </w:r>
      <w:r w:rsidR="007D410E">
        <w:t>dans le corps du message</w:t>
      </w:r>
      <w:r>
        <w:t> ;</w:t>
      </w:r>
    </w:p>
    <w:p w14:paraId="2E7E3D24" w14:textId="77777777" w:rsidR="00963846" w:rsidRDefault="00963846" w:rsidP="00182679">
      <w:pPr>
        <w:pStyle w:val="Paragraphedeliste"/>
        <w:numPr>
          <w:ilvl w:val="0"/>
          <w:numId w:val="20"/>
        </w:numPr>
        <w:spacing w:before="120" w:after="120"/>
        <w:contextualSpacing/>
      </w:pPr>
      <w:proofErr w:type="gramStart"/>
      <w:r>
        <w:t>o</w:t>
      </w:r>
      <w:r w:rsidR="007D410E">
        <w:t>u</w:t>
      </w:r>
      <w:proofErr w:type="gramEnd"/>
      <w:r w:rsidR="007D410E">
        <w:t xml:space="preserve"> par le biais d’une API (format du message à spécifier)</w:t>
      </w:r>
      <w:r>
        <w:t>.</w:t>
      </w:r>
    </w:p>
    <w:p w14:paraId="549661BA" w14:textId="3B2F5870" w:rsidR="007D410E" w:rsidRDefault="007D410E" w:rsidP="00963846">
      <w:pPr>
        <w:spacing w:before="120" w:after="120"/>
        <w:contextualSpacing/>
      </w:pPr>
      <w:r>
        <w:t xml:space="preserve">Le </w:t>
      </w:r>
      <w:r w:rsidR="00963846">
        <w:t>titulaire</w:t>
      </w:r>
      <w:r>
        <w:t xml:space="preserve"> traite ensuite la création de la carte et indique </w:t>
      </w:r>
      <w:r w:rsidR="00053CA3">
        <w:t xml:space="preserve">à </w:t>
      </w:r>
      <w:r>
        <w:t xml:space="preserve">INRAE que la demande a été prise en compte </w:t>
      </w:r>
      <w:r w:rsidR="00963846">
        <w:t xml:space="preserve">via un </w:t>
      </w:r>
      <w:r>
        <w:t xml:space="preserve">mail de réponse ou </w:t>
      </w:r>
      <w:r w:rsidR="00963846">
        <w:t xml:space="preserve">un </w:t>
      </w:r>
      <w:r>
        <w:t>code retour de l’API.</w:t>
      </w:r>
    </w:p>
    <w:p w14:paraId="1033422A" w14:textId="77777777" w:rsidR="007D410E" w:rsidRDefault="007D410E" w:rsidP="007D410E"/>
    <w:p w14:paraId="197DFB5C" w14:textId="35253E01" w:rsidR="007D410E" w:rsidRDefault="007D410E" w:rsidP="007D410E">
      <w:r>
        <w:t>Exemple de données transmises par mail</w:t>
      </w:r>
      <w:r w:rsidR="00963846">
        <w:t xml:space="preserve"> : </w:t>
      </w:r>
    </w:p>
    <w:p w14:paraId="1120B172" w14:textId="77777777" w:rsidR="007D410E" w:rsidRDefault="007D410E" w:rsidP="00963846">
      <w:pPr>
        <w:ind w:left="708"/>
      </w:pPr>
      <w:r>
        <w:t>Nom : Test</w:t>
      </w:r>
    </w:p>
    <w:p w14:paraId="2E441EA8" w14:textId="77777777" w:rsidR="007D410E" w:rsidRDefault="007D410E" w:rsidP="00963846">
      <w:pPr>
        <w:ind w:left="708"/>
      </w:pPr>
      <w:r>
        <w:t>Prénom : Jean</w:t>
      </w:r>
    </w:p>
    <w:p w14:paraId="0658EE5F" w14:textId="77777777" w:rsidR="007D410E" w:rsidRDefault="007D410E" w:rsidP="00963846">
      <w:pPr>
        <w:ind w:left="708"/>
      </w:pPr>
      <w:r>
        <w:t>Email : jean.test@inrae.fr</w:t>
      </w:r>
    </w:p>
    <w:p w14:paraId="1CBD7619" w14:textId="77777777" w:rsidR="007D410E" w:rsidRDefault="007D410E" w:rsidP="00963846">
      <w:pPr>
        <w:ind w:left="708"/>
      </w:pPr>
      <w:r>
        <w:t>Téléphone : +33614141414</w:t>
      </w:r>
    </w:p>
    <w:p w14:paraId="2B6870C7" w14:textId="77777777" w:rsidR="007D410E" w:rsidRDefault="007D410E" w:rsidP="00963846">
      <w:pPr>
        <w:ind w:left="708"/>
      </w:pPr>
      <w:r>
        <w:t>Département : 1178</w:t>
      </w:r>
    </w:p>
    <w:p w14:paraId="60BB5802" w14:textId="77777777" w:rsidR="007D410E" w:rsidRDefault="007D410E" w:rsidP="00963846">
      <w:pPr>
        <w:ind w:left="708"/>
      </w:pPr>
      <w:r>
        <w:t>Matricule : XXXX</w:t>
      </w:r>
    </w:p>
    <w:p w14:paraId="0E2C3D24" w14:textId="77777777" w:rsidR="007D410E" w:rsidRDefault="007D410E" w:rsidP="00963846">
      <w:pPr>
        <w:ind w:left="708"/>
      </w:pPr>
      <w:r>
        <w:t>Accès : User</w:t>
      </w:r>
    </w:p>
    <w:p w14:paraId="52323D95" w14:textId="77777777" w:rsidR="007D410E" w:rsidRDefault="007D410E" w:rsidP="00963846">
      <w:pPr>
        <w:ind w:left="708"/>
      </w:pPr>
      <w:r>
        <w:t>Manager : YYYY / Manager Alain</w:t>
      </w:r>
    </w:p>
    <w:p w14:paraId="6C715D1C" w14:textId="77777777" w:rsidR="007D410E" w:rsidRDefault="007D410E" w:rsidP="00963846">
      <w:pPr>
        <w:ind w:left="708"/>
      </w:pPr>
      <w:r>
        <w:t>Nom souhaité sur la carte : TEST</w:t>
      </w:r>
    </w:p>
    <w:p w14:paraId="540DEF29" w14:textId="77777777" w:rsidR="007D410E" w:rsidRDefault="007D410E" w:rsidP="00963846">
      <w:pPr>
        <w:ind w:left="708"/>
      </w:pPr>
      <w:r>
        <w:t xml:space="preserve">Adresse de livraison : </w:t>
      </w:r>
    </w:p>
    <w:p w14:paraId="359CD8A1" w14:textId="77777777" w:rsidR="007D410E" w:rsidRDefault="007D410E" w:rsidP="00963846">
      <w:pPr>
        <w:ind w:left="708"/>
      </w:pPr>
      <w:r>
        <w:t>INRAE</w:t>
      </w:r>
    </w:p>
    <w:p w14:paraId="5D2F5F12" w14:textId="77777777" w:rsidR="007D410E" w:rsidRDefault="007D410E" w:rsidP="00963846">
      <w:pPr>
        <w:ind w:left="708"/>
      </w:pPr>
      <w:r>
        <w:t>Centre de recherche Ile-de-France-Jouy-en-Josas-Antony</w:t>
      </w:r>
    </w:p>
    <w:p w14:paraId="7D5F136C" w14:textId="77777777" w:rsidR="007D410E" w:rsidRDefault="007D410E" w:rsidP="00963846">
      <w:pPr>
        <w:ind w:left="708"/>
      </w:pPr>
      <w:proofErr w:type="gramStart"/>
      <w:r>
        <w:t>1 ,</w:t>
      </w:r>
      <w:proofErr w:type="gramEnd"/>
      <w:r>
        <w:t xml:space="preserve"> RUE Pierre Gilles de Gennes</w:t>
      </w:r>
    </w:p>
    <w:p w14:paraId="437906ED" w14:textId="77777777" w:rsidR="007D410E" w:rsidRDefault="007D410E" w:rsidP="00963846">
      <w:pPr>
        <w:ind w:left="708"/>
      </w:pPr>
      <w:r>
        <w:t>CS 10030</w:t>
      </w:r>
    </w:p>
    <w:p w14:paraId="150B9322" w14:textId="6F42F6EF" w:rsidR="007D410E" w:rsidRDefault="007D410E" w:rsidP="00963846">
      <w:pPr>
        <w:ind w:left="708"/>
      </w:pPr>
      <w:r>
        <w:t>92761 ANTONY CEDEX, France</w:t>
      </w:r>
    </w:p>
    <w:p w14:paraId="78183B71" w14:textId="77777777" w:rsidR="007D410E" w:rsidRDefault="007D410E" w:rsidP="00963846">
      <w:pPr>
        <w:ind w:left="708"/>
      </w:pPr>
      <w:r>
        <w:t>Modèle d'utilisation : DU</w:t>
      </w:r>
    </w:p>
    <w:bookmarkEnd w:id="14"/>
    <w:p w14:paraId="54AD51D0" w14:textId="34F620E8" w:rsidR="007D410E" w:rsidRDefault="007D410E" w:rsidP="007D410E">
      <w:pPr>
        <w:rPr>
          <w:highlight w:val="yellow"/>
        </w:rPr>
      </w:pPr>
    </w:p>
    <w:p w14:paraId="61592EFC" w14:textId="24187427" w:rsidR="0055460F" w:rsidRDefault="0055460F" w:rsidP="007D410E">
      <w:r w:rsidRPr="0055460F">
        <w:t>INRAE se réserve le droit de changer d’outil</w:t>
      </w:r>
      <w:r>
        <w:t xml:space="preserve"> </w:t>
      </w:r>
      <w:r w:rsidR="0076670A">
        <w:t>pour les</w:t>
      </w:r>
      <w:r>
        <w:t xml:space="preserve"> demande</w:t>
      </w:r>
      <w:r w:rsidR="0076670A">
        <w:t>s</w:t>
      </w:r>
      <w:r>
        <w:t xml:space="preserve"> de cartes en cours de marché. </w:t>
      </w:r>
    </w:p>
    <w:p w14:paraId="46A27091" w14:textId="77777777" w:rsidR="0055460F" w:rsidRPr="00190772" w:rsidRDefault="0055460F" w:rsidP="007D410E">
      <w:pPr>
        <w:rPr>
          <w:highlight w:val="yellow"/>
        </w:rPr>
      </w:pPr>
    </w:p>
    <w:p w14:paraId="4D02B992" w14:textId="76241AE6" w:rsidR="00A25875" w:rsidRDefault="0076670A" w:rsidP="00011CED">
      <w:pPr>
        <w:pStyle w:val="Titre2"/>
        <w:numPr>
          <w:ilvl w:val="1"/>
          <w:numId w:val="1"/>
        </w:numPr>
      </w:pPr>
      <w:bookmarkStart w:id="18" w:name="_Toc201856029"/>
      <w:r>
        <w:t>Gestion des parcs de</w:t>
      </w:r>
      <w:r w:rsidR="00A25875" w:rsidRPr="00837E4F">
        <w:t xml:space="preserve"> cartes achat</w:t>
      </w:r>
      <w:bookmarkEnd w:id="18"/>
    </w:p>
    <w:p w14:paraId="7C95E2B0" w14:textId="77777777" w:rsidR="00A25875" w:rsidRPr="00B81E8A" w:rsidRDefault="00A25875" w:rsidP="00182679">
      <w:pPr>
        <w:pStyle w:val="Paragraphedeliste"/>
        <w:keepNext/>
        <w:keepLines/>
        <w:numPr>
          <w:ilvl w:val="0"/>
          <w:numId w:val="10"/>
        </w:numPr>
        <w:spacing w:before="240"/>
        <w:outlineLvl w:val="0"/>
        <w:rPr>
          <w:rFonts w:ascii="Raleway" w:eastAsiaTheme="majorEastAsia" w:hAnsi="Raleway" w:cstheme="majorBidi"/>
          <w:b/>
          <w:vanish/>
          <w:color w:val="00A3A6"/>
          <w:sz w:val="40"/>
          <w:szCs w:val="32"/>
          <w:lang w:eastAsia="en-US"/>
        </w:rPr>
      </w:pPr>
      <w:bookmarkStart w:id="19" w:name="_Toc199506385"/>
      <w:bookmarkStart w:id="20" w:name="_Toc201855248"/>
      <w:bookmarkStart w:id="21" w:name="_Toc201856030"/>
      <w:bookmarkEnd w:id="19"/>
      <w:bookmarkEnd w:id="20"/>
      <w:bookmarkEnd w:id="21"/>
    </w:p>
    <w:p w14:paraId="1D26732D" w14:textId="74C1A55E" w:rsidR="00A25875" w:rsidRPr="00C522BC" w:rsidRDefault="00C04F68" w:rsidP="00011CED">
      <w:pPr>
        <w:pStyle w:val="Titre3"/>
      </w:pPr>
      <w:bookmarkStart w:id="22" w:name="_Toc201856031"/>
      <w:r>
        <w:t xml:space="preserve">4.3.1 </w:t>
      </w:r>
      <w:r w:rsidR="00A25875" w:rsidRPr="00C522BC">
        <w:t xml:space="preserve">Création des </w:t>
      </w:r>
      <w:r w:rsidR="0076670A">
        <w:t>parcs de carte</w:t>
      </w:r>
      <w:bookmarkEnd w:id="22"/>
      <w:r w:rsidR="00A25875" w:rsidRPr="00C522BC">
        <w:t xml:space="preserve"> </w:t>
      </w:r>
    </w:p>
    <w:p w14:paraId="671D34ED" w14:textId="49B594B9" w:rsidR="00A25875" w:rsidRPr="000639E3" w:rsidRDefault="00A25875" w:rsidP="00A25875">
      <w:pPr>
        <w:spacing w:before="100" w:beforeAutospacing="1" w:after="100" w:afterAutospacing="1"/>
        <w:jc w:val="left"/>
      </w:pPr>
      <w:r w:rsidRPr="000639E3">
        <w:t xml:space="preserve">La notification prévisionnelle de l’accord-cadre est prévue pour </w:t>
      </w:r>
      <w:r w:rsidRPr="00C04F68">
        <w:t>fin octobre 2025.</w:t>
      </w:r>
    </w:p>
    <w:p w14:paraId="7CD96F39" w14:textId="112DCFF9" w:rsidR="00A25875" w:rsidRDefault="00A25875" w:rsidP="00277B0D">
      <w:pPr>
        <w:spacing w:before="100" w:beforeAutospacing="1" w:after="100" w:afterAutospacing="1"/>
      </w:pPr>
      <w:r w:rsidRPr="000639E3">
        <w:t xml:space="preserve">Durant la phase de pré-déploiement (comprise entre la notification et le démarrage de l’exécution), le titulaire </w:t>
      </w:r>
      <w:r w:rsidR="00277B0D">
        <w:t>s’engage à créer la structure de l’ensemble des p</w:t>
      </w:r>
      <w:r w:rsidR="0076670A">
        <w:t>arcs</w:t>
      </w:r>
      <w:r w:rsidR="00277B0D">
        <w:t xml:space="preserve"> de cartes achat </w:t>
      </w:r>
      <w:r w:rsidRPr="000639E3">
        <w:t>à compter de la notification de l’accord-cadre. 19 p</w:t>
      </w:r>
      <w:r w:rsidR="0076670A">
        <w:t>arc</w:t>
      </w:r>
      <w:r w:rsidRPr="000639E3">
        <w:t xml:space="preserve">s </w:t>
      </w:r>
      <w:r w:rsidR="00277B0D">
        <w:t>sont à</w:t>
      </w:r>
      <w:r w:rsidRPr="000639E3">
        <w:t xml:space="preserve"> cré</w:t>
      </w:r>
      <w:r w:rsidR="00277B0D">
        <w:t>er</w:t>
      </w:r>
      <w:r w:rsidRPr="000639E3">
        <w:t xml:space="preserve">, chacun correspondant à un </w:t>
      </w:r>
      <w:r w:rsidR="00F85FEB">
        <w:t>c</w:t>
      </w:r>
      <w:r w:rsidRPr="000639E3">
        <w:t xml:space="preserve">entre </w:t>
      </w:r>
      <w:r w:rsidRPr="00F85FEB">
        <w:t xml:space="preserve">INRAE (cf. </w:t>
      </w:r>
      <w:r w:rsidR="00F85FEB" w:rsidRPr="00F85FEB">
        <w:t>article 2.1.2</w:t>
      </w:r>
      <w:r w:rsidRPr="00F85FEB">
        <w:t>), comprenant</w:t>
      </w:r>
      <w:r w:rsidRPr="000639E3">
        <w:t xml:space="preserve"> des </w:t>
      </w:r>
      <w:r w:rsidRPr="00F85FEB">
        <w:t xml:space="preserve">unités (cf. </w:t>
      </w:r>
      <w:r w:rsidR="00F85FEB" w:rsidRPr="00F85FEB">
        <w:t>article 2</w:t>
      </w:r>
      <w:r w:rsidRPr="00F85FEB">
        <w:t>.1.3).</w:t>
      </w:r>
      <w:r w:rsidR="00277B0D">
        <w:t xml:space="preserve"> </w:t>
      </w:r>
      <w:r w:rsidRPr="000639E3">
        <w:t xml:space="preserve">Les centres de facturation </w:t>
      </w:r>
      <w:r w:rsidR="00277B0D">
        <w:t>correspondent</w:t>
      </w:r>
      <w:r w:rsidRPr="000639E3">
        <w:t xml:space="preserve"> aux agences comptables secondaires, conformément à </w:t>
      </w:r>
      <w:r w:rsidRPr="00F85FEB">
        <w:t xml:space="preserve">l’article </w:t>
      </w:r>
      <w:r w:rsidR="00F85FEB" w:rsidRPr="00F85FEB">
        <w:t>2</w:t>
      </w:r>
      <w:r w:rsidRPr="00F85FEB">
        <w:t>.1.4.</w:t>
      </w:r>
    </w:p>
    <w:p w14:paraId="3C8CE52E" w14:textId="77777777" w:rsidR="00A25875" w:rsidRPr="000639E3" w:rsidRDefault="00A25875" w:rsidP="00A25875">
      <w:pPr>
        <w:spacing w:before="100" w:beforeAutospacing="1" w:after="100" w:afterAutospacing="1"/>
        <w:jc w:val="center"/>
      </w:pPr>
      <w:r w:rsidRPr="000639E3">
        <w:rPr>
          <w:noProof/>
        </w:rPr>
        <w:drawing>
          <wp:inline distT="0" distB="0" distL="0" distR="0" wp14:anchorId="243D4B7E" wp14:editId="5E85F2F8">
            <wp:extent cx="4216617" cy="2673487"/>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216617" cy="2673487"/>
                    </a:xfrm>
                    <a:prstGeom prst="rect">
                      <a:avLst/>
                    </a:prstGeom>
                  </pic:spPr>
                </pic:pic>
              </a:graphicData>
            </a:graphic>
          </wp:inline>
        </w:drawing>
      </w:r>
    </w:p>
    <w:p w14:paraId="5AAC901B" w14:textId="1D1611CB" w:rsidR="00277B0D" w:rsidRDefault="00A25875" w:rsidP="00F85FEB">
      <w:pPr>
        <w:spacing w:before="100" w:beforeAutospacing="1" w:after="100" w:afterAutospacing="1"/>
      </w:pPr>
      <w:r w:rsidRPr="000639E3">
        <w:t xml:space="preserve">L’offre du titulaire doit préciser le nombre de suppléants pouvant être désignés auprès de chaque </w:t>
      </w:r>
      <w:r w:rsidR="00387D02">
        <w:t>gestionnaire de parc</w:t>
      </w:r>
      <w:r w:rsidRPr="000639E3">
        <w:t xml:space="preserve">. </w:t>
      </w:r>
    </w:p>
    <w:p w14:paraId="0440D8C7" w14:textId="5455D5D6" w:rsidR="00A25875" w:rsidRPr="000639E3" w:rsidRDefault="00277B0D" w:rsidP="00F85FEB">
      <w:pPr>
        <w:spacing w:before="100" w:beforeAutospacing="1" w:after="100" w:afterAutospacing="1"/>
      </w:pPr>
      <w:r>
        <w:t>Lors du pré-déploiement</w:t>
      </w:r>
      <w:r w:rsidR="00A25875" w:rsidRPr="000639E3">
        <w:t>, les référents nationaux transmettront au titulaire</w:t>
      </w:r>
      <w:r>
        <w:t xml:space="preserve"> les noms des </w:t>
      </w:r>
      <w:r w:rsidR="00387D02">
        <w:t>gestionnaires de parc</w:t>
      </w:r>
      <w:r>
        <w:t xml:space="preserve"> et de leurs suppléants, ainsi que</w:t>
      </w:r>
      <w:r w:rsidR="00A25875" w:rsidRPr="000639E3">
        <w:t xml:space="preserve"> les données nécessaires à la création </w:t>
      </w:r>
      <w:r>
        <w:t xml:space="preserve">« en masse » </w:t>
      </w:r>
      <w:r w:rsidR="00A25875" w:rsidRPr="000639E3">
        <w:t>des cartes existantes. Le titulaire devra en décrire les modalités techniques et les informations à fournir pour cette création.</w:t>
      </w:r>
    </w:p>
    <w:p w14:paraId="46C8ED36" w14:textId="2D0B190A" w:rsidR="00A25875" w:rsidRDefault="00A25875" w:rsidP="00A73AAF">
      <w:pPr>
        <w:spacing w:before="100" w:beforeAutospacing="1" w:after="100" w:afterAutospacing="1"/>
      </w:pPr>
      <w:r w:rsidRPr="000639E3">
        <w:t xml:space="preserve">Le </w:t>
      </w:r>
      <w:r w:rsidR="0076670A">
        <w:t>gestionnaire</w:t>
      </w:r>
      <w:r w:rsidRPr="000639E3">
        <w:t xml:space="preserve"> de p</w:t>
      </w:r>
      <w:r w:rsidR="0076670A">
        <w:t>arc</w:t>
      </w:r>
      <w:r w:rsidRPr="000639E3">
        <w:t xml:space="preserve">, ainsi que ses éventuels suppléants, </w:t>
      </w:r>
      <w:r w:rsidRPr="002C2F68">
        <w:t xml:space="preserve">seront </w:t>
      </w:r>
      <w:proofErr w:type="gramStart"/>
      <w:r w:rsidR="00F85FEB">
        <w:t xml:space="preserve">les </w:t>
      </w:r>
      <w:r w:rsidRPr="002C2F68">
        <w:t>seuls habilités</w:t>
      </w:r>
      <w:proofErr w:type="gramEnd"/>
      <w:r w:rsidRPr="002C2F68">
        <w:t xml:space="preserve"> à </w:t>
      </w:r>
      <w:r w:rsidRPr="000639E3">
        <w:t>réceptionner les cartes</w:t>
      </w:r>
      <w:r w:rsidR="00A73AAF" w:rsidRPr="00A73AAF">
        <w:t xml:space="preserve"> </w:t>
      </w:r>
      <w:r w:rsidR="00A73AAF" w:rsidRPr="002C2F68">
        <w:t>durant l’exécution de l’accord-cadre</w:t>
      </w:r>
      <w:r w:rsidRPr="000639E3">
        <w:t>. L’offre technique devra également détailler les modalités d’envoi et de réception des cartes.</w:t>
      </w:r>
    </w:p>
    <w:p w14:paraId="2540FCD2" w14:textId="7829B3BE" w:rsidR="00A25875" w:rsidRPr="000639E3" w:rsidRDefault="00B04CF7" w:rsidP="00277B0D">
      <w:pPr>
        <w:spacing w:before="100" w:beforeAutospacing="1" w:after="100" w:afterAutospacing="1"/>
      </w:pPr>
      <w:r>
        <w:t xml:space="preserve">Le titulaire précise dans son offre le délai minimum, à compter de la date de transmission par les référents nationaux du recensement des porteurs </w:t>
      </w:r>
      <w:r w:rsidRPr="00781E92">
        <w:t>disposant déjà d’une carte active</w:t>
      </w:r>
      <w:r>
        <w:t>, pour leur attribuer des nouvelles cartes.</w:t>
      </w:r>
    </w:p>
    <w:p w14:paraId="492FD3B6" w14:textId="0AC4E907" w:rsidR="00A25875" w:rsidRPr="000639E3" w:rsidRDefault="00F055CE" w:rsidP="00F055CE">
      <w:pPr>
        <w:spacing w:before="100" w:beforeAutospacing="1" w:after="100" w:afterAutospacing="1"/>
      </w:pPr>
      <w:r>
        <w:lastRenderedPageBreak/>
        <w:t>A la notification de l’accord-cadre, l</w:t>
      </w:r>
      <w:r w:rsidR="00A25875" w:rsidRPr="000639E3">
        <w:t>e titulaire désigne</w:t>
      </w:r>
      <w:r>
        <w:t xml:space="preserve"> </w:t>
      </w:r>
      <w:r w:rsidR="00A25875" w:rsidRPr="000639E3">
        <w:t xml:space="preserve">un interlocuteur chargé de </w:t>
      </w:r>
      <w:r>
        <w:t>coordonner l’ensemble</w:t>
      </w:r>
      <w:r w:rsidR="00A25875" w:rsidRPr="000639E3">
        <w:t xml:space="preserve"> des opérations</w:t>
      </w:r>
      <w:r>
        <w:t>.</w:t>
      </w:r>
      <w:r w:rsidR="00A25875" w:rsidRPr="000639E3">
        <w:t xml:space="preserve"> Celui-ci est notamment en lien avec les référents nationaux et établit un rétroplanning précis des actions à mener.</w:t>
      </w:r>
    </w:p>
    <w:p w14:paraId="4AD9DBA3" w14:textId="5BBADAC1" w:rsidR="00A25875" w:rsidRPr="00536539" w:rsidRDefault="00A25875" w:rsidP="00536539">
      <w:r w:rsidRPr="00536539">
        <w:t>La création de structure</w:t>
      </w:r>
      <w:r w:rsidR="00DD0AB0" w:rsidRPr="00536539">
        <w:t xml:space="preserve"> </w:t>
      </w:r>
      <w:r w:rsidRPr="00536539">
        <w:t>de p</w:t>
      </w:r>
      <w:r w:rsidR="00387D02">
        <w:t>arcs</w:t>
      </w:r>
      <w:r w:rsidRPr="00536539">
        <w:t xml:space="preserve"> </w:t>
      </w:r>
      <w:r w:rsidR="006D10AB" w:rsidRPr="00536539">
        <w:t>comprend au minimum</w:t>
      </w:r>
      <w:r w:rsidRPr="00536539">
        <w:t xml:space="preserve"> :</w:t>
      </w:r>
    </w:p>
    <w:p w14:paraId="22CBD2FC" w14:textId="46324FF3" w:rsidR="00A25875" w:rsidRPr="00536539" w:rsidRDefault="00536539" w:rsidP="00182679">
      <w:pPr>
        <w:numPr>
          <w:ilvl w:val="0"/>
          <w:numId w:val="21"/>
        </w:numPr>
        <w:spacing w:after="100" w:afterAutospacing="1"/>
      </w:pPr>
      <w:proofErr w:type="gramStart"/>
      <w:r w:rsidRPr="00536539">
        <w:t>l</w:t>
      </w:r>
      <w:r w:rsidR="00A25875" w:rsidRPr="00536539">
        <w:t>a</w:t>
      </w:r>
      <w:proofErr w:type="gramEnd"/>
      <w:r w:rsidR="00A25875" w:rsidRPr="00536539">
        <w:t xml:space="preserve"> création technique des p</w:t>
      </w:r>
      <w:r w:rsidR="00387D02">
        <w:t>arcs</w:t>
      </w:r>
      <w:r w:rsidRPr="00536539">
        <w:t> ;</w:t>
      </w:r>
    </w:p>
    <w:p w14:paraId="0069CE10" w14:textId="6F1D9B7E" w:rsidR="00A25875" w:rsidRPr="00536539" w:rsidRDefault="00536539" w:rsidP="00182679">
      <w:pPr>
        <w:numPr>
          <w:ilvl w:val="0"/>
          <w:numId w:val="21"/>
        </w:numPr>
        <w:spacing w:after="100" w:afterAutospacing="1"/>
      </w:pPr>
      <w:proofErr w:type="gramStart"/>
      <w:r w:rsidRPr="00536539">
        <w:t>l</w:t>
      </w:r>
      <w:r w:rsidR="00A25875" w:rsidRPr="00536539">
        <w:t>a</w:t>
      </w:r>
      <w:proofErr w:type="gramEnd"/>
      <w:r w:rsidR="00A25875" w:rsidRPr="00536539">
        <w:t xml:space="preserve"> création des comptes techniques associés ;</w:t>
      </w:r>
    </w:p>
    <w:p w14:paraId="7612FE59" w14:textId="6E50EA5B" w:rsidR="00A25875" w:rsidRPr="00536539" w:rsidRDefault="00536539" w:rsidP="00182679">
      <w:pPr>
        <w:numPr>
          <w:ilvl w:val="0"/>
          <w:numId w:val="21"/>
        </w:numPr>
        <w:spacing w:after="100" w:afterAutospacing="1"/>
      </w:pPr>
      <w:proofErr w:type="gramStart"/>
      <w:r w:rsidRPr="00536539">
        <w:t>l</w:t>
      </w:r>
      <w:r w:rsidR="00A25875" w:rsidRPr="00536539">
        <w:t>e</w:t>
      </w:r>
      <w:proofErr w:type="gramEnd"/>
      <w:r w:rsidR="00A25875" w:rsidRPr="00536539">
        <w:t xml:space="preserve"> paramétrage des cartes (ex. : plafonds par porteur, niveau d’utilisation, imputation budgétaire au niveau 1) ;</w:t>
      </w:r>
    </w:p>
    <w:p w14:paraId="512335DF" w14:textId="77777777" w:rsidR="00536539" w:rsidRDefault="00536539" w:rsidP="00182679">
      <w:pPr>
        <w:numPr>
          <w:ilvl w:val="0"/>
          <w:numId w:val="21"/>
        </w:numPr>
        <w:spacing w:after="100" w:afterAutospacing="1"/>
      </w:pPr>
      <w:proofErr w:type="gramStart"/>
      <w:r w:rsidRPr="00536539">
        <w:t>l</w:t>
      </w:r>
      <w:r w:rsidR="00A25875" w:rsidRPr="00536539">
        <w:t>a</w:t>
      </w:r>
      <w:proofErr w:type="gramEnd"/>
      <w:r w:rsidR="00A25875" w:rsidRPr="00536539">
        <w:t xml:space="preserve"> création et la délivrance des cartes achat ;</w:t>
      </w:r>
    </w:p>
    <w:p w14:paraId="14DB4276" w14:textId="0CD159C2" w:rsidR="00A25875" w:rsidRPr="00536539" w:rsidRDefault="00536539" w:rsidP="00182679">
      <w:pPr>
        <w:numPr>
          <w:ilvl w:val="0"/>
          <w:numId w:val="21"/>
        </w:numPr>
        <w:spacing w:after="100" w:afterAutospacing="1"/>
      </w:pPr>
      <w:proofErr w:type="gramStart"/>
      <w:r w:rsidRPr="00536539">
        <w:t>l</w:t>
      </w:r>
      <w:r w:rsidR="009C13DD">
        <w:t>e</w:t>
      </w:r>
      <w:proofErr w:type="gramEnd"/>
      <w:r w:rsidR="009C13DD">
        <w:t xml:space="preserve"> paramétrage des achats autorisés sur chaque type de carte (</w:t>
      </w:r>
      <w:r w:rsidR="00A25875" w:rsidRPr="00536539">
        <w:t>référencement des fournisseurs</w:t>
      </w:r>
      <w:r w:rsidR="009C13DD">
        <w:t>, catégories d’achat…).</w:t>
      </w:r>
    </w:p>
    <w:p w14:paraId="3A9177D8" w14:textId="1983CC97" w:rsidR="00A25875" w:rsidRDefault="00A25875" w:rsidP="00FF645C">
      <w:pPr>
        <w:spacing w:before="100" w:beforeAutospacing="1" w:after="100" w:afterAutospacing="1"/>
      </w:pPr>
      <w:r w:rsidRPr="000639E3">
        <w:t xml:space="preserve">L’offre technique du titulaire doit préciser les conditions dans lesquelles les </w:t>
      </w:r>
      <w:r w:rsidR="00387D02">
        <w:t>parc</w:t>
      </w:r>
      <w:r w:rsidRPr="000639E3">
        <w:t xml:space="preserve">s de cartes peuvent être regroupés en cours d’exécution, </w:t>
      </w:r>
      <w:r w:rsidR="00436703">
        <w:t>et/</w:t>
      </w:r>
      <w:r w:rsidRPr="000639E3">
        <w:t>ou de nouveaux p</w:t>
      </w:r>
      <w:r w:rsidR="00387D02">
        <w:t>arc</w:t>
      </w:r>
      <w:r w:rsidRPr="000639E3">
        <w:t>s créés.</w:t>
      </w:r>
    </w:p>
    <w:p w14:paraId="79AF5E2D" w14:textId="15317222" w:rsidR="00A25875" w:rsidRPr="006F0BD2" w:rsidRDefault="00F5532D" w:rsidP="00011CED">
      <w:pPr>
        <w:pStyle w:val="Titre3"/>
      </w:pPr>
      <w:bookmarkStart w:id="23" w:name="_Toc198652591"/>
      <w:bookmarkStart w:id="24" w:name="_Toc201856032"/>
      <w:r>
        <w:t xml:space="preserve">4.3.2 </w:t>
      </w:r>
      <w:r w:rsidR="00AF4DFC">
        <w:t>Opérations de création</w:t>
      </w:r>
      <w:r w:rsidR="00A25875" w:rsidRPr="00507704">
        <w:t>, modification, suspension et annulation de</w:t>
      </w:r>
      <w:r w:rsidR="00EB698F">
        <w:t>s</w:t>
      </w:r>
      <w:r w:rsidR="00A25875" w:rsidRPr="00507704">
        <w:t xml:space="preserve"> carte</w:t>
      </w:r>
      <w:r w:rsidR="00EB698F">
        <w:t>s</w:t>
      </w:r>
      <w:r w:rsidR="00A25875" w:rsidRPr="00507704">
        <w:t xml:space="preserve"> achat</w:t>
      </w:r>
      <w:bookmarkEnd w:id="23"/>
      <w:bookmarkEnd w:id="24"/>
    </w:p>
    <w:p w14:paraId="57BCD3D7" w14:textId="2290339C" w:rsidR="00A25875" w:rsidRDefault="00A25875" w:rsidP="00FF645C">
      <w:pPr>
        <w:spacing w:before="100" w:beforeAutospacing="1" w:after="100" w:afterAutospacing="1"/>
      </w:pPr>
      <w:r w:rsidRPr="000960D7">
        <w:t xml:space="preserve">Au cours de l’exécution de l’accord-cadre, le titulaire, informé d’une demande de création, devra l’honorer dans les délais indiqués dans son offre. Ceux-ci ne peuvent excéder 10 jours </w:t>
      </w:r>
      <w:r w:rsidR="00A53FBC">
        <w:t>ouvré</w:t>
      </w:r>
      <w:r w:rsidRPr="000960D7">
        <w:t>s à partir de la réception de la demande complète de carte, hors délais postal.</w:t>
      </w:r>
    </w:p>
    <w:p w14:paraId="67F778E0" w14:textId="6054F5A6" w:rsidR="00D175BC" w:rsidRDefault="00D175BC" w:rsidP="00D175BC">
      <w:pPr>
        <w:spacing w:before="100" w:beforeAutospacing="1" w:after="100" w:afterAutospacing="1"/>
      </w:pPr>
      <w:r>
        <w:t>Par ailleurs, à la demande d’INRAE, le titulaire pourra être amené à créer en masse des cartes et leurs paramétrages associés. Il précise dans son offre les modalités et les délais maximum pour réaliser cette opération.</w:t>
      </w:r>
    </w:p>
    <w:p w14:paraId="62BFB914" w14:textId="1677F2E1" w:rsidR="00FF645C" w:rsidRPr="000639E3" w:rsidRDefault="00FF645C" w:rsidP="00FF645C">
      <w:pPr>
        <w:spacing w:before="100" w:beforeAutospacing="1" w:after="100" w:afterAutospacing="1"/>
      </w:pPr>
      <w:r w:rsidRPr="000960D7">
        <w:t>Concernant le</w:t>
      </w:r>
      <w:r>
        <w:t>s</w:t>
      </w:r>
      <w:r w:rsidRPr="000960D7">
        <w:t xml:space="preserve"> renouvellement</w:t>
      </w:r>
      <w:r>
        <w:t>s</w:t>
      </w:r>
      <w:r w:rsidRPr="000960D7">
        <w:t xml:space="preserve"> de cartes, ceux-ci seront effectués de sorte à ce qu’aucune interruption de service </w:t>
      </w:r>
      <w:r w:rsidR="009C13DD">
        <w:t xml:space="preserve">ne </w:t>
      </w:r>
      <w:r w:rsidRPr="000960D7">
        <w:t>puisse avoir lieu.</w:t>
      </w:r>
    </w:p>
    <w:p w14:paraId="0217C3BD" w14:textId="2FFA247F" w:rsidR="00A25875" w:rsidRPr="000960D7" w:rsidRDefault="00F5532D" w:rsidP="00FF645C">
      <w:pPr>
        <w:spacing w:before="100" w:beforeAutospacing="1" w:after="100" w:afterAutospacing="1"/>
      </w:pPr>
      <w:r>
        <w:t>Le titulaire</w:t>
      </w:r>
      <w:r w:rsidR="00A25875" w:rsidRPr="000960D7">
        <w:t xml:space="preserve"> honorera</w:t>
      </w:r>
      <w:r>
        <w:t xml:space="preserve"> également</w:t>
      </w:r>
      <w:r w:rsidR="00A25875" w:rsidRPr="000960D7">
        <w:t xml:space="preserve"> les demandes de modification des paramétrages, de suspension temporaire, ou d’annulation d’une carte achat.</w:t>
      </w:r>
    </w:p>
    <w:p w14:paraId="64BCDAF6" w14:textId="5DEE5051" w:rsidR="00A25875" w:rsidRPr="000960D7" w:rsidRDefault="00A25875" w:rsidP="00FF645C">
      <w:pPr>
        <w:spacing w:before="100" w:beforeAutospacing="1" w:after="100" w:afterAutospacing="1"/>
      </w:pPr>
      <w:r w:rsidRPr="000960D7">
        <w:t xml:space="preserve">Le mode opératoire </w:t>
      </w:r>
      <w:r w:rsidR="009C13DD">
        <w:t xml:space="preserve">et les engagements de délais </w:t>
      </w:r>
      <w:r w:rsidRPr="000960D7">
        <w:t>afférent</w:t>
      </w:r>
      <w:r w:rsidR="009C13DD">
        <w:t>s</w:t>
      </w:r>
      <w:r w:rsidRPr="000960D7">
        <w:t xml:space="preserve"> à </w:t>
      </w:r>
      <w:r w:rsidR="009C13DD">
        <w:t xml:space="preserve">toutes </w:t>
      </w:r>
      <w:r w:rsidRPr="000960D7">
        <w:t>ces demandes est explicité dans l’offre technique du titulaire.</w:t>
      </w:r>
    </w:p>
    <w:p w14:paraId="0B841C88" w14:textId="614B7B52" w:rsidR="00A25875" w:rsidRPr="001E45A5" w:rsidRDefault="00EB698F" w:rsidP="00011CED">
      <w:pPr>
        <w:pStyle w:val="Titre3"/>
      </w:pPr>
      <w:bookmarkStart w:id="25" w:name="_Toc201856033"/>
      <w:r>
        <w:t xml:space="preserve">4.3.3 </w:t>
      </w:r>
      <w:r w:rsidR="00A25875" w:rsidRPr="001E45A5">
        <w:t>Paramétrage des cartes achat</w:t>
      </w:r>
      <w:bookmarkEnd w:id="25"/>
    </w:p>
    <w:p w14:paraId="664747B3" w14:textId="1E61C74F" w:rsidR="00A25875" w:rsidRPr="00507704" w:rsidRDefault="00D175BC" w:rsidP="00EB698F">
      <w:pPr>
        <w:spacing w:before="100" w:beforeAutospacing="1" w:after="100" w:afterAutospacing="1"/>
      </w:pPr>
      <w:r w:rsidRPr="00507704">
        <w:t xml:space="preserve">L’offre précise </w:t>
      </w:r>
      <w:r>
        <w:t>comment</w:t>
      </w:r>
      <w:r w:rsidRPr="00507704">
        <w:t xml:space="preserve"> les </w:t>
      </w:r>
      <w:r w:rsidR="00767BA0">
        <w:t>gestionnaires de parc</w:t>
      </w:r>
      <w:r w:rsidRPr="00507704">
        <w:t xml:space="preserve"> (et leurs suppléants) peuvent </w:t>
      </w:r>
      <w:r>
        <w:t>modifie</w:t>
      </w:r>
      <w:r w:rsidRPr="00507704">
        <w:t xml:space="preserve">r </w:t>
      </w:r>
      <w:r>
        <w:t xml:space="preserve">le paramétrage des cartes </w:t>
      </w:r>
      <w:r w:rsidRPr="00507704">
        <w:t xml:space="preserve">de façon autonome, ainsi que les délais </w:t>
      </w:r>
      <w:r>
        <w:t>de prise en compte de ces</w:t>
      </w:r>
      <w:r w:rsidRPr="00507704">
        <w:t xml:space="preserve"> modifications</w:t>
      </w:r>
      <w:r w:rsidR="00A25875" w:rsidRPr="00507704">
        <w:t>, e</w:t>
      </w:r>
      <w:r w:rsidR="00A25875">
        <w:t>t en particulier</w:t>
      </w:r>
      <w:r w:rsidR="00A25875" w:rsidRPr="00507704">
        <w:t xml:space="preserve"> :</w:t>
      </w:r>
    </w:p>
    <w:p w14:paraId="57968401" w14:textId="11552C84" w:rsidR="00A25875" w:rsidRPr="00507704" w:rsidRDefault="00EB698F" w:rsidP="00182679">
      <w:pPr>
        <w:numPr>
          <w:ilvl w:val="0"/>
          <w:numId w:val="22"/>
        </w:numPr>
        <w:spacing w:before="100" w:beforeAutospacing="1" w:after="100" w:afterAutospacing="1"/>
      </w:pPr>
      <w:proofErr w:type="gramStart"/>
      <w:r>
        <w:t>l</w:t>
      </w:r>
      <w:r w:rsidR="00A25875" w:rsidRPr="00507704">
        <w:t>e</w:t>
      </w:r>
      <w:proofErr w:type="gramEnd"/>
      <w:r w:rsidR="00A25875" w:rsidRPr="00507704">
        <w:t xml:space="preserve"> </w:t>
      </w:r>
      <w:r>
        <w:t xml:space="preserve">paramétrage des achats autorisés sur une carte via le </w:t>
      </w:r>
      <w:r w:rsidR="00A25875" w:rsidRPr="00507704">
        <w:t>référencement de fournisseurs</w:t>
      </w:r>
      <w:r>
        <w:t xml:space="preserve">, de catégories d’achat… </w:t>
      </w:r>
      <w:r w:rsidR="00A25875" w:rsidRPr="00507704">
        <w:t>;</w:t>
      </w:r>
    </w:p>
    <w:p w14:paraId="4452FC5F" w14:textId="1D0E2007" w:rsidR="00A25875" w:rsidRPr="00507704" w:rsidRDefault="00EB698F" w:rsidP="00182679">
      <w:pPr>
        <w:numPr>
          <w:ilvl w:val="0"/>
          <w:numId w:val="22"/>
        </w:numPr>
        <w:spacing w:before="100" w:beforeAutospacing="1" w:after="100" w:afterAutospacing="1"/>
      </w:pPr>
      <w:proofErr w:type="gramStart"/>
      <w:r>
        <w:t>l</w:t>
      </w:r>
      <w:r w:rsidR="00A25875" w:rsidRPr="00507704">
        <w:t>e</w:t>
      </w:r>
      <w:proofErr w:type="gramEnd"/>
      <w:r w:rsidR="00A25875" w:rsidRPr="00507704">
        <w:t xml:space="preserve"> paramétrage de l’autorisation d’utilisation </w:t>
      </w:r>
      <w:r>
        <w:t xml:space="preserve">de la carte en ou </w:t>
      </w:r>
      <w:r w:rsidR="00A25875" w:rsidRPr="00507704">
        <w:t>hors zone euro ;</w:t>
      </w:r>
    </w:p>
    <w:p w14:paraId="3EA89277" w14:textId="18BEE06C" w:rsidR="00A25875" w:rsidRPr="00507704" w:rsidRDefault="00EB698F" w:rsidP="00182679">
      <w:pPr>
        <w:numPr>
          <w:ilvl w:val="0"/>
          <w:numId w:val="22"/>
        </w:numPr>
        <w:spacing w:before="100" w:beforeAutospacing="1" w:after="100" w:afterAutospacing="1"/>
      </w:pPr>
      <w:proofErr w:type="gramStart"/>
      <w:r>
        <w:t>l</w:t>
      </w:r>
      <w:r w:rsidR="00A25875" w:rsidRPr="00507704">
        <w:t>e</w:t>
      </w:r>
      <w:proofErr w:type="gramEnd"/>
      <w:r w:rsidR="00A25875" w:rsidRPr="00507704">
        <w:t xml:space="preserve"> paramétrage de l’autorisation des paiements à distance ;</w:t>
      </w:r>
    </w:p>
    <w:p w14:paraId="6407C3C8" w14:textId="36565E77" w:rsidR="00A25875" w:rsidRPr="00507704" w:rsidRDefault="00EB698F" w:rsidP="00182679">
      <w:pPr>
        <w:numPr>
          <w:ilvl w:val="0"/>
          <w:numId w:val="22"/>
        </w:numPr>
        <w:spacing w:before="100" w:beforeAutospacing="1" w:after="100" w:afterAutospacing="1"/>
      </w:pPr>
      <w:proofErr w:type="gramStart"/>
      <w:r>
        <w:t>l</w:t>
      </w:r>
      <w:r w:rsidR="00A25875" w:rsidRPr="00507704">
        <w:t>a</w:t>
      </w:r>
      <w:proofErr w:type="gramEnd"/>
      <w:r w:rsidR="00A25875" w:rsidRPr="00507704">
        <w:t xml:space="preserve"> modification des coordonnées du porteur de carte ;</w:t>
      </w:r>
    </w:p>
    <w:p w14:paraId="18EEC6B8" w14:textId="12A5EEEC" w:rsidR="00A25875" w:rsidRPr="00507704" w:rsidRDefault="00EB698F" w:rsidP="00182679">
      <w:pPr>
        <w:numPr>
          <w:ilvl w:val="0"/>
          <w:numId w:val="22"/>
        </w:numPr>
        <w:spacing w:before="100" w:beforeAutospacing="1" w:after="100" w:afterAutospacing="1"/>
      </w:pPr>
      <w:proofErr w:type="gramStart"/>
      <w:r>
        <w:t>l</w:t>
      </w:r>
      <w:r w:rsidR="00A25875" w:rsidRPr="00507704">
        <w:t>e</w:t>
      </w:r>
      <w:proofErr w:type="gramEnd"/>
      <w:r w:rsidR="00A25875" w:rsidRPr="00507704">
        <w:t xml:space="preserve"> paramétrage des plafonds de dépenses</w:t>
      </w:r>
      <w:r>
        <w:t xml:space="preserve"> </w:t>
      </w:r>
      <w:r w:rsidR="009405D6">
        <w:t>ainsi que</w:t>
      </w:r>
      <w:r>
        <w:t xml:space="preserve"> des jours et heures d’utilisation </w:t>
      </w:r>
      <w:r w:rsidR="00A25875" w:rsidRPr="00507704">
        <w:t>;</w:t>
      </w:r>
    </w:p>
    <w:p w14:paraId="1B4A4C60" w14:textId="7BDA77FC" w:rsidR="00A25875" w:rsidRDefault="009405D6" w:rsidP="00182679">
      <w:pPr>
        <w:numPr>
          <w:ilvl w:val="0"/>
          <w:numId w:val="22"/>
        </w:numPr>
        <w:spacing w:before="100" w:beforeAutospacing="1" w:after="100" w:afterAutospacing="1"/>
      </w:pPr>
      <w:proofErr w:type="gramStart"/>
      <w:r>
        <w:t>l</w:t>
      </w:r>
      <w:r w:rsidR="00A25875" w:rsidRPr="00507704">
        <w:t>a</w:t>
      </w:r>
      <w:proofErr w:type="gramEnd"/>
      <w:r w:rsidR="00A25875" w:rsidRPr="00507704">
        <w:t xml:space="preserve"> modification du niveau d’architecture de gestion du p</w:t>
      </w:r>
      <w:r w:rsidR="00387D02">
        <w:t>arc</w:t>
      </w:r>
      <w:r w:rsidR="00A25875" w:rsidRPr="00507704">
        <w:t>, y compris la suppression des services ou porteurs inacti</w:t>
      </w:r>
      <w:r w:rsidR="00AE3167">
        <w:t>vés</w:t>
      </w:r>
      <w:r w:rsidR="00A25875" w:rsidRPr="00507704">
        <w:t>.</w:t>
      </w:r>
    </w:p>
    <w:p w14:paraId="66F32043" w14:textId="1AF314C2" w:rsidR="008F7817" w:rsidRPr="00507704" w:rsidRDefault="008F7817" w:rsidP="008F7817">
      <w:pPr>
        <w:spacing w:before="100" w:beforeAutospacing="1" w:after="100" w:afterAutospacing="1"/>
      </w:pPr>
      <w:r>
        <w:lastRenderedPageBreak/>
        <w:t xml:space="preserve">Le titulaire précise dans son offre selon quelles modalités des modifications de paramétrage en masse </w:t>
      </w:r>
      <w:proofErr w:type="gramStart"/>
      <w:r>
        <w:t>peuvent</w:t>
      </w:r>
      <w:proofErr w:type="gramEnd"/>
      <w:r>
        <w:t xml:space="preserve"> être effectuées.</w:t>
      </w:r>
    </w:p>
    <w:p w14:paraId="7530F228" w14:textId="627E6E35" w:rsidR="00A25875" w:rsidRPr="006F0BD2" w:rsidRDefault="00AE3167" w:rsidP="00011CED">
      <w:pPr>
        <w:pStyle w:val="Titre3"/>
      </w:pPr>
      <w:bookmarkStart w:id="26" w:name="_Toc201856034"/>
      <w:r>
        <w:t xml:space="preserve">4.3.4 </w:t>
      </w:r>
      <w:r w:rsidR="00A25875" w:rsidRPr="006F0BD2">
        <w:t>Code confidentiel</w:t>
      </w:r>
      <w:bookmarkEnd w:id="26"/>
    </w:p>
    <w:p w14:paraId="6FE9BB06" w14:textId="5F525FC9" w:rsidR="00E879FF" w:rsidRDefault="00A25875" w:rsidP="00E879FF">
      <w:pPr>
        <w:spacing w:before="100" w:beforeAutospacing="1" w:after="100" w:afterAutospacing="1"/>
      </w:pPr>
      <w:r w:rsidRPr="00BB26A0">
        <w:t>Le titulaire</w:t>
      </w:r>
      <w:r>
        <w:t xml:space="preserve"> précise dans son offre les modalités de transmission du code confidentiel au porteur de la carte achat.</w:t>
      </w:r>
      <w:r w:rsidRPr="00BB26A0">
        <w:t xml:space="preserve"> </w:t>
      </w:r>
      <w:bookmarkStart w:id="27" w:name="_Toc198652594"/>
    </w:p>
    <w:p w14:paraId="75E4112A" w14:textId="4AC4C8DE" w:rsidR="00A25875" w:rsidRPr="003D44B7" w:rsidRDefault="00E879FF" w:rsidP="00011CED">
      <w:pPr>
        <w:pStyle w:val="Titre3"/>
      </w:pPr>
      <w:bookmarkStart w:id="28" w:name="_Toc201856035"/>
      <w:r>
        <w:t xml:space="preserve">4.3.5 </w:t>
      </w:r>
      <w:r w:rsidR="00A25875" w:rsidRPr="00DC55D8">
        <w:t>Dispositions spécifiques</w:t>
      </w:r>
      <w:bookmarkEnd w:id="27"/>
      <w:bookmarkEnd w:id="28"/>
    </w:p>
    <w:p w14:paraId="497361D5" w14:textId="7BC1622F" w:rsidR="00A25875" w:rsidRPr="006F0BD2" w:rsidRDefault="00E879FF" w:rsidP="00E879FF">
      <w:pPr>
        <w:pStyle w:val="Titre4"/>
        <w:numPr>
          <w:ilvl w:val="0"/>
          <w:numId w:val="0"/>
        </w:numPr>
        <w:ind w:left="1286"/>
        <w:rPr>
          <w:rFonts w:ascii="Raleway" w:eastAsiaTheme="minorHAnsi" w:hAnsi="Raleway" w:cs="Times-Roman"/>
          <w:iCs w:val="0"/>
          <w:color w:val="00A3A6"/>
          <w:szCs w:val="24"/>
        </w:rPr>
      </w:pPr>
      <w:r>
        <w:rPr>
          <w:rFonts w:ascii="Raleway" w:eastAsiaTheme="minorHAnsi" w:hAnsi="Raleway" w:cs="Times-Roman"/>
          <w:iCs w:val="0"/>
          <w:color w:val="00A3A6"/>
          <w:szCs w:val="24"/>
        </w:rPr>
        <w:t xml:space="preserve">4.3.5.1 </w:t>
      </w:r>
      <w:r w:rsidR="00A25875" w:rsidRPr="006F0BD2">
        <w:rPr>
          <w:rFonts w:ascii="Raleway" w:eastAsiaTheme="minorHAnsi" w:hAnsi="Raleway" w:cs="Times-Roman"/>
          <w:iCs w:val="0"/>
          <w:color w:val="00A3A6"/>
          <w:szCs w:val="24"/>
        </w:rPr>
        <w:t>Paiement à distance</w:t>
      </w:r>
    </w:p>
    <w:p w14:paraId="6A7CFFAB" w14:textId="6FDAC0D1" w:rsidR="00A25875" w:rsidRDefault="00A25875" w:rsidP="00A25875">
      <w:pPr>
        <w:spacing w:before="100" w:beforeAutospacing="1" w:after="100" w:afterAutospacing="1"/>
      </w:pPr>
      <w:r>
        <w:t xml:space="preserve">Dans le cadre de paiement à distance nécessitant un code de validation, </w:t>
      </w:r>
      <w:r w:rsidR="00CC3D45">
        <w:t>le</w:t>
      </w:r>
      <w:r>
        <w:t xml:space="preserve"> titulaire précise </w:t>
      </w:r>
      <w:r w:rsidR="00CC3D45">
        <w:t>l</w:t>
      </w:r>
      <w:r>
        <w:t xml:space="preserve">es modalités d’envoi de </w:t>
      </w:r>
      <w:r w:rsidR="00CC3D45">
        <w:t xml:space="preserve">ce </w:t>
      </w:r>
      <w:r>
        <w:t>code</w:t>
      </w:r>
      <w:r w:rsidR="00CC3D45">
        <w:t xml:space="preserve">, par exemple : mail, SMS. </w:t>
      </w:r>
    </w:p>
    <w:p w14:paraId="58693469" w14:textId="6668B314" w:rsidR="00A25875" w:rsidRPr="00E879FF" w:rsidRDefault="00E879FF" w:rsidP="00E879FF">
      <w:pPr>
        <w:pStyle w:val="Titre4"/>
        <w:numPr>
          <w:ilvl w:val="0"/>
          <w:numId w:val="0"/>
        </w:numPr>
        <w:ind w:left="1286"/>
        <w:rPr>
          <w:rFonts w:ascii="Raleway" w:eastAsiaTheme="minorHAnsi" w:hAnsi="Raleway" w:cs="Times-Roman"/>
          <w:iCs w:val="0"/>
          <w:color w:val="00A3A6"/>
          <w:szCs w:val="24"/>
        </w:rPr>
      </w:pPr>
      <w:r>
        <w:rPr>
          <w:rFonts w:ascii="Raleway" w:eastAsiaTheme="minorHAnsi" w:hAnsi="Raleway" w:cs="Times-Roman"/>
          <w:iCs w:val="0"/>
          <w:color w:val="00A3A6"/>
          <w:szCs w:val="24"/>
        </w:rPr>
        <w:t xml:space="preserve">4.3.5.2 </w:t>
      </w:r>
      <w:r w:rsidR="00E30FDC">
        <w:rPr>
          <w:rFonts w:ascii="Raleway" w:eastAsiaTheme="minorHAnsi" w:hAnsi="Raleway" w:cs="Times-Roman"/>
          <w:iCs w:val="0"/>
          <w:color w:val="00A3A6"/>
          <w:szCs w:val="24"/>
        </w:rPr>
        <w:t>Réclamation en cas de commande non conforme</w:t>
      </w:r>
    </w:p>
    <w:p w14:paraId="570C928F" w14:textId="3664BE4B" w:rsidR="00A25875" w:rsidRDefault="00A25875" w:rsidP="00A25875">
      <w:pPr>
        <w:spacing w:before="100" w:beforeAutospacing="1" w:after="100" w:afterAutospacing="1"/>
        <w:rPr>
          <w:rStyle w:val="Accentuation"/>
          <w:i w:val="0"/>
        </w:rPr>
      </w:pPr>
      <w:r>
        <w:t xml:space="preserve">En cas de </w:t>
      </w:r>
      <w:r w:rsidR="00E30FDC">
        <w:t>l</w:t>
      </w:r>
      <w:r>
        <w:t xml:space="preserve">ivraison non conforme </w:t>
      </w:r>
      <w:r w:rsidR="00E30FDC">
        <w:t>à une</w:t>
      </w:r>
      <w:r>
        <w:t xml:space="preserve"> commande</w:t>
      </w:r>
      <w:r w:rsidR="00E30FDC">
        <w:t xml:space="preserve"> payée par carte</w:t>
      </w:r>
      <w:r>
        <w:t>, le titulaire précise dans son offre les modalités de reprise des avoirs crédités sur cartes achat par le fournisseur</w:t>
      </w:r>
      <w:r w:rsidR="00885D8C">
        <w:t xml:space="preserve"> concerné</w:t>
      </w:r>
      <w:r>
        <w:t xml:space="preserve"> </w:t>
      </w:r>
      <w:r w:rsidRPr="00E879FF">
        <w:rPr>
          <w:rStyle w:val="Accentuation"/>
          <w:i w:val="0"/>
        </w:rPr>
        <w:t xml:space="preserve">(délai, écriture sur le </w:t>
      </w:r>
      <w:r w:rsidR="00E879FF" w:rsidRPr="00E879FF">
        <w:rPr>
          <w:rStyle w:val="Accentuation"/>
          <w:i w:val="0"/>
        </w:rPr>
        <w:t>relevé</w:t>
      </w:r>
      <w:r w:rsidRPr="00E879FF">
        <w:rPr>
          <w:rStyle w:val="Accentuation"/>
          <w:i w:val="0"/>
        </w:rPr>
        <w:t xml:space="preserve"> et informations du fournisseur).</w:t>
      </w:r>
    </w:p>
    <w:p w14:paraId="667988CE" w14:textId="77777777" w:rsidR="008C2530" w:rsidRPr="006F0BD2" w:rsidRDefault="008C2530" w:rsidP="00011CED">
      <w:pPr>
        <w:pStyle w:val="Titre3"/>
      </w:pPr>
      <w:bookmarkStart w:id="29" w:name="_Toc201856036"/>
      <w:r>
        <w:rPr>
          <w:rStyle w:val="Accentuation"/>
          <w:i/>
        </w:rPr>
        <w:t xml:space="preserve">4.3.6 </w:t>
      </w:r>
      <w:r w:rsidRPr="00F71A2A">
        <w:t>Assurances</w:t>
      </w:r>
      <w:bookmarkEnd w:id="29"/>
    </w:p>
    <w:p w14:paraId="5F8228D7" w14:textId="69B97300" w:rsidR="008C2530" w:rsidRPr="00F71A2A" w:rsidRDefault="008C2530" w:rsidP="00001C6D">
      <w:pPr>
        <w:spacing w:before="100" w:beforeAutospacing="1" w:after="100" w:afterAutospacing="1"/>
      </w:pPr>
      <w:r w:rsidRPr="00F71A2A">
        <w:t>L’offre du titulaire précise les conditions générales et les conditions d’utilisation des assurances liées à la carte notamment en cas de fraude</w:t>
      </w:r>
      <w:r>
        <w:t>.</w:t>
      </w:r>
    </w:p>
    <w:p w14:paraId="4F1C7762" w14:textId="4CA9A524" w:rsidR="0012048E" w:rsidRDefault="003713F9" w:rsidP="00011CED">
      <w:pPr>
        <w:pStyle w:val="Titre2"/>
      </w:pPr>
      <w:bookmarkStart w:id="30" w:name="_Toc201856037"/>
      <w:bookmarkStart w:id="31" w:name="_Hlk201591372"/>
      <w:r>
        <w:t xml:space="preserve">4.4 Enrichissement </w:t>
      </w:r>
      <w:r w:rsidR="00A25875" w:rsidRPr="00781E92">
        <w:t xml:space="preserve">des informations </w:t>
      </w:r>
      <w:r w:rsidR="00A25875">
        <w:t>liées aux dépenses effectuées</w:t>
      </w:r>
      <w:r>
        <w:t xml:space="preserve"> par carte achat</w:t>
      </w:r>
      <w:bookmarkEnd w:id="30"/>
    </w:p>
    <w:p w14:paraId="0EF4B5B4" w14:textId="6453C962" w:rsidR="00950985" w:rsidRDefault="00F05E7D" w:rsidP="00F05E7D">
      <w:pPr>
        <w:rPr>
          <w:rFonts w:eastAsia="Times New Roman"/>
          <w:color w:val="000000"/>
          <w:szCs w:val="24"/>
        </w:rPr>
      </w:pPr>
      <w:r w:rsidRPr="00546A98">
        <w:rPr>
          <w:rFonts w:eastAsia="Times New Roman"/>
          <w:color w:val="000000"/>
          <w:szCs w:val="24"/>
        </w:rPr>
        <w:t xml:space="preserve">Le </w:t>
      </w:r>
      <w:r>
        <w:rPr>
          <w:rFonts w:eastAsia="Times New Roman"/>
          <w:color w:val="000000"/>
          <w:szCs w:val="24"/>
        </w:rPr>
        <w:t xml:space="preserve">titulaire </w:t>
      </w:r>
      <w:r w:rsidRPr="00546A98">
        <w:rPr>
          <w:rFonts w:eastAsia="Times New Roman"/>
          <w:color w:val="000000"/>
          <w:szCs w:val="24"/>
        </w:rPr>
        <w:t>doit</w:t>
      </w:r>
      <w:r>
        <w:rPr>
          <w:rFonts w:eastAsia="Times New Roman"/>
          <w:color w:val="000000"/>
          <w:szCs w:val="24"/>
        </w:rPr>
        <w:t xml:space="preserve"> </w:t>
      </w:r>
      <w:r w:rsidRPr="00546A98">
        <w:rPr>
          <w:rFonts w:eastAsia="Times New Roman"/>
          <w:color w:val="000000"/>
          <w:szCs w:val="24"/>
        </w:rPr>
        <w:t>être en capacité de</w:t>
      </w:r>
      <w:r w:rsidR="00950985">
        <w:rPr>
          <w:rFonts w:eastAsia="Times New Roman"/>
          <w:color w:val="000000"/>
          <w:szCs w:val="24"/>
        </w:rPr>
        <w:t> :</w:t>
      </w:r>
    </w:p>
    <w:p w14:paraId="64C2FB96" w14:textId="177BD244" w:rsidR="00950985" w:rsidRPr="00950985" w:rsidRDefault="00F05E7D" w:rsidP="00950985">
      <w:pPr>
        <w:pStyle w:val="Paragraphedeliste"/>
        <w:numPr>
          <w:ilvl w:val="0"/>
          <w:numId w:val="14"/>
        </w:numPr>
        <w:rPr>
          <w:color w:val="000000"/>
        </w:rPr>
      </w:pPr>
      <w:proofErr w:type="gramStart"/>
      <w:r w:rsidRPr="00950985">
        <w:rPr>
          <w:color w:val="000000"/>
        </w:rPr>
        <w:t>récupérer</w:t>
      </w:r>
      <w:proofErr w:type="gramEnd"/>
      <w:r w:rsidRPr="00950985">
        <w:rPr>
          <w:color w:val="000000"/>
        </w:rPr>
        <w:t xml:space="preserve"> automatiquement (ou recevoir via appels API) les données référentielles fournies par INRAE dans le cadre des champs personnalisés demandés </w:t>
      </w:r>
      <w:r w:rsidR="00950985">
        <w:rPr>
          <w:color w:val="000000"/>
        </w:rPr>
        <w:t xml:space="preserve">tels que </w:t>
      </w:r>
      <w:r w:rsidRPr="00950985">
        <w:rPr>
          <w:color w:val="000000"/>
        </w:rPr>
        <w:t>les numéros de commande d’achat</w:t>
      </w:r>
      <w:r w:rsidR="00E029E0" w:rsidRPr="00950985">
        <w:rPr>
          <w:color w:val="000000"/>
        </w:rPr>
        <w:t xml:space="preserve"> </w:t>
      </w:r>
      <w:r w:rsidR="00E029E0">
        <w:t>(actuellement 10 caractères numériques : 45XXXXXXXX)</w:t>
      </w:r>
      <w:r w:rsidR="00950985">
        <w:t> ;</w:t>
      </w:r>
    </w:p>
    <w:p w14:paraId="3668D685" w14:textId="669B11B8" w:rsidR="00F05E7D" w:rsidRPr="00950985" w:rsidRDefault="00F05E7D" w:rsidP="00F05E7D">
      <w:pPr>
        <w:pStyle w:val="Paragraphedeliste"/>
        <w:numPr>
          <w:ilvl w:val="0"/>
          <w:numId w:val="23"/>
        </w:numPr>
        <w:rPr>
          <w:color w:val="000000"/>
        </w:rPr>
      </w:pPr>
      <w:proofErr w:type="gramStart"/>
      <w:r w:rsidRPr="00950985">
        <w:rPr>
          <w:color w:val="000000"/>
        </w:rPr>
        <w:t>les</w:t>
      </w:r>
      <w:proofErr w:type="gramEnd"/>
      <w:r w:rsidRPr="00950985">
        <w:rPr>
          <w:color w:val="000000"/>
        </w:rPr>
        <w:t xml:space="preserve"> mettre à disposition des utilisateurs INRAE dans son outil afin de permettre l’enrichissement des transactions</w:t>
      </w:r>
      <w:r w:rsidR="00950985">
        <w:rPr>
          <w:color w:val="000000"/>
        </w:rPr>
        <w:t> ;</w:t>
      </w:r>
    </w:p>
    <w:p w14:paraId="2D366574" w14:textId="610873B7" w:rsidR="00F05E7D" w:rsidRPr="00950985" w:rsidRDefault="00950985" w:rsidP="00950985">
      <w:pPr>
        <w:pStyle w:val="Paragraphedeliste"/>
        <w:numPr>
          <w:ilvl w:val="0"/>
          <w:numId w:val="14"/>
        </w:numPr>
        <w:rPr>
          <w:color w:val="000000"/>
        </w:rPr>
      </w:pPr>
      <w:proofErr w:type="gramStart"/>
      <w:r>
        <w:t>n’afficher</w:t>
      </w:r>
      <w:proofErr w:type="gramEnd"/>
      <w:r>
        <w:t xml:space="preserve"> sur son portail que les commandes qui répondent aux règle</w:t>
      </w:r>
      <w:r w:rsidR="00FE09FF">
        <w:t>s</w:t>
      </w:r>
      <w:r>
        <w:t xml:space="preserve"> définies par INRAE.</w:t>
      </w:r>
    </w:p>
    <w:p w14:paraId="3FA6F648" w14:textId="77777777" w:rsidR="00950985" w:rsidRPr="00950985" w:rsidRDefault="00950985" w:rsidP="00950985">
      <w:pPr>
        <w:rPr>
          <w:color w:val="000000"/>
        </w:rPr>
      </w:pPr>
    </w:p>
    <w:p w14:paraId="4E75499D" w14:textId="4744F342" w:rsidR="005C68A3" w:rsidRPr="00546A98" w:rsidRDefault="00F05E7D" w:rsidP="005C68A3">
      <w:r>
        <w:t xml:space="preserve">Ainsi avant </w:t>
      </w:r>
      <w:r w:rsidR="005C68A3" w:rsidRPr="00546A98">
        <w:t>l’édition du relevé d’opération</w:t>
      </w:r>
      <w:r w:rsidR="005C68A3">
        <w:t>s</w:t>
      </w:r>
      <w:r w:rsidR="005C68A3" w:rsidRPr="00546A98">
        <w:t xml:space="preserve"> définitif mensuel</w:t>
      </w:r>
      <w:r>
        <w:t xml:space="preserve">, les utilisateurs INRAE doivent pouvoir enrichir les transactions dans l’outil du titulaire en renseignant : </w:t>
      </w:r>
    </w:p>
    <w:p w14:paraId="39BC454D" w14:textId="405E95A8" w:rsidR="00F05E7D" w:rsidRDefault="00F05E7D" w:rsidP="00182679">
      <w:pPr>
        <w:pStyle w:val="Paragraphedeliste"/>
        <w:numPr>
          <w:ilvl w:val="0"/>
          <w:numId w:val="20"/>
        </w:numPr>
        <w:spacing w:before="120" w:after="120"/>
        <w:contextualSpacing/>
      </w:pPr>
      <w:proofErr w:type="gramStart"/>
      <w:r>
        <w:t>les</w:t>
      </w:r>
      <w:proofErr w:type="gramEnd"/>
      <w:r>
        <w:t xml:space="preserve"> taux et montants de T</w:t>
      </w:r>
      <w:r w:rsidR="005C68A3" w:rsidRPr="00546A98">
        <w:t>VA</w:t>
      </w:r>
      <w:r>
        <w:t> ;</w:t>
      </w:r>
    </w:p>
    <w:p w14:paraId="07A03690" w14:textId="637DD10C" w:rsidR="00F05E7D" w:rsidRDefault="00F05E7D" w:rsidP="00182679">
      <w:pPr>
        <w:pStyle w:val="Paragraphedeliste"/>
        <w:numPr>
          <w:ilvl w:val="0"/>
          <w:numId w:val="20"/>
        </w:numPr>
        <w:spacing w:before="120" w:after="120"/>
        <w:contextualSpacing/>
      </w:pPr>
      <w:proofErr w:type="gramStart"/>
      <w:r>
        <w:t>les</w:t>
      </w:r>
      <w:proofErr w:type="gramEnd"/>
      <w:r>
        <w:t xml:space="preserve"> numéros d’engagement (numéros de commande d’achat mis à disposition par le titulaire) ;</w:t>
      </w:r>
    </w:p>
    <w:p w14:paraId="07A5FCC6" w14:textId="02CAAACB" w:rsidR="005C68A3" w:rsidRDefault="00F05E7D" w:rsidP="00182679">
      <w:pPr>
        <w:pStyle w:val="Paragraphedeliste"/>
        <w:numPr>
          <w:ilvl w:val="0"/>
          <w:numId w:val="20"/>
        </w:numPr>
        <w:spacing w:before="120" w:after="120"/>
        <w:contextualSpacing/>
      </w:pPr>
      <w:proofErr w:type="gramStart"/>
      <w:r>
        <w:t>d’autres</w:t>
      </w:r>
      <w:proofErr w:type="gramEnd"/>
      <w:r>
        <w:t xml:space="preserve"> éventuels champs personnalisés </w:t>
      </w:r>
      <w:r w:rsidR="005C68A3" w:rsidRPr="00546A98">
        <w:t>INRAE</w:t>
      </w:r>
      <w:r>
        <w:t>.</w:t>
      </w:r>
    </w:p>
    <w:p w14:paraId="3406D90E" w14:textId="01645EE5" w:rsidR="00F05E7D" w:rsidRDefault="00F05E7D" w:rsidP="00F05E7D">
      <w:pPr>
        <w:spacing w:before="120" w:after="120"/>
        <w:contextualSpacing/>
      </w:pPr>
      <w:r w:rsidRPr="00546A98">
        <w:t xml:space="preserve">Les informations saisies </w:t>
      </w:r>
      <w:r>
        <w:t>dans l’outil</w:t>
      </w:r>
      <w:r w:rsidRPr="00546A98">
        <w:t xml:space="preserve"> du titulaire devront être </w:t>
      </w:r>
      <w:r w:rsidR="00A57227">
        <w:t xml:space="preserve">affichées dans l’outil, lisibles par l’ensemble des utilisateurs et </w:t>
      </w:r>
      <w:r w:rsidRPr="00546A98">
        <w:t xml:space="preserve">retransmises dans le relevé </w:t>
      </w:r>
      <w:r>
        <w:t>envoyé</w:t>
      </w:r>
      <w:r w:rsidRPr="00546A98">
        <w:t xml:space="preserve"> de manière automatique.</w:t>
      </w:r>
    </w:p>
    <w:p w14:paraId="498F93FB" w14:textId="77777777" w:rsidR="00F05E7D" w:rsidRPr="00546A98" w:rsidRDefault="00F05E7D" w:rsidP="00F05E7D">
      <w:pPr>
        <w:spacing w:before="120" w:after="120"/>
        <w:contextualSpacing/>
      </w:pPr>
    </w:p>
    <w:p w14:paraId="05DEDE12" w14:textId="592CB856" w:rsidR="005C68A3" w:rsidRDefault="005C68A3" w:rsidP="005C68A3">
      <w:r w:rsidRPr="00546A98">
        <w:t xml:space="preserve">L’offre du titulaire décrit la méthode et les outils mis à disposition pour </w:t>
      </w:r>
      <w:r w:rsidR="00F05E7D">
        <w:t>la récupération automatique et l’enrichissement des données de transaction</w:t>
      </w:r>
      <w:r w:rsidRPr="00546A98">
        <w:t xml:space="preserve">. </w:t>
      </w:r>
    </w:p>
    <w:p w14:paraId="23A88F9D" w14:textId="149A41BF" w:rsidR="00CA509C" w:rsidRDefault="00CA509C" w:rsidP="005C68A3"/>
    <w:p w14:paraId="7CD8E957" w14:textId="3A8F2CF9" w:rsidR="00CA509C" w:rsidRDefault="00CA509C" w:rsidP="005C68A3">
      <w:r>
        <w:lastRenderedPageBreak/>
        <w:t>L’offre présentant un outil qui n’impose pas l’ajout de pièces est valorisée dans le cadre de l’analyse.</w:t>
      </w:r>
    </w:p>
    <w:p w14:paraId="4FAF763E" w14:textId="77777777" w:rsidR="00F05E7D" w:rsidRPr="00546A98" w:rsidRDefault="00F05E7D" w:rsidP="005C68A3"/>
    <w:p w14:paraId="291FCBFF" w14:textId="77777777" w:rsidR="004B6391" w:rsidRDefault="004B6391" w:rsidP="00011CED">
      <w:pPr>
        <w:pStyle w:val="Titre2"/>
      </w:pPr>
    </w:p>
    <w:p w14:paraId="59D130A2" w14:textId="74C4488A" w:rsidR="009C1BF7" w:rsidRPr="009C1BF7" w:rsidRDefault="003713F9" w:rsidP="00011CED">
      <w:pPr>
        <w:pStyle w:val="Titre2"/>
      </w:pPr>
      <w:bookmarkStart w:id="32" w:name="_Toc201856038"/>
      <w:r w:rsidRPr="003713F9">
        <w:t>4.5 Relevés d’opérations</w:t>
      </w:r>
      <w:bookmarkStart w:id="33" w:name="_Toc198652593"/>
      <w:bookmarkEnd w:id="32"/>
    </w:p>
    <w:p w14:paraId="0D7A5C75" w14:textId="4D0401BE" w:rsidR="008C2530" w:rsidRDefault="008C2530" w:rsidP="00011CED">
      <w:pPr>
        <w:pStyle w:val="Titre3"/>
      </w:pPr>
      <w:bookmarkStart w:id="34" w:name="_Toc201856039"/>
      <w:bookmarkEnd w:id="33"/>
      <w:r>
        <w:t xml:space="preserve">4.5.1 </w:t>
      </w:r>
      <w:r w:rsidR="00A47E0D">
        <w:t>Edition</w:t>
      </w:r>
      <w:r>
        <w:t xml:space="preserve"> des relevés</w:t>
      </w:r>
      <w:bookmarkEnd w:id="34"/>
      <w:r>
        <w:t xml:space="preserve"> </w:t>
      </w:r>
    </w:p>
    <w:p w14:paraId="1FAD710C" w14:textId="5F667DE1" w:rsidR="002271A8" w:rsidRDefault="001C2254" w:rsidP="008C2530">
      <w:r w:rsidRPr="00546A98">
        <w:t xml:space="preserve">Selon une périodicité mensuelle, à une date postérieure à la date d’arrêté comptable du </w:t>
      </w:r>
      <w:r w:rsidR="008029B3">
        <w:t>titul</w:t>
      </w:r>
      <w:r w:rsidRPr="00546A98">
        <w:t xml:space="preserve">aire mais définie par INRAE, </w:t>
      </w:r>
      <w:r w:rsidR="008029B3">
        <w:t xml:space="preserve">celui-ci </w:t>
      </w:r>
      <w:r w:rsidRPr="00546A98">
        <w:t xml:space="preserve">fournit </w:t>
      </w:r>
      <w:r w:rsidR="008029B3">
        <w:t xml:space="preserve">à l’institut </w:t>
      </w:r>
      <w:r w:rsidRPr="00546A98">
        <w:t>les relevés d</w:t>
      </w:r>
      <w:r w:rsidR="002271A8">
        <w:t>e paiements</w:t>
      </w:r>
      <w:r w:rsidR="008029B3">
        <w:t xml:space="preserve"> qu’il a </w:t>
      </w:r>
      <w:r w:rsidR="002271A8">
        <w:t>réalisé</w:t>
      </w:r>
      <w:r w:rsidRPr="00546A98">
        <w:t xml:space="preserve">s aux fournisseurs pendant la période concernée. </w:t>
      </w:r>
    </w:p>
    <w:p w14:paraId="55CB0707" w14:textId="77777777" w:rsidR="002271A8" w:rsidRDefault="002271A8" w:rsidP="008C2530"/>
    <w:p w14:paraId="312E22E6" w14:textId="51FD9D75" w:rsidR="00B05046" w:rsidRDefault="00B05046" w:rsidP="00B05046">
      <w:r>
        <w:t xml:space="preserve">Le titulaire génère un relevé par centre et le transmet au centre de </w:t>
      </w:r>
      <w:r w:rsidRPr="00546A98">
        <w:t>facturation</w:t>
      </w:r>
      <w:r>
        <w:t xml:space="preserve"> correspondant</w:t>
      </w:r>
      <w:r w:rsidRPr="00546A98">
        <w:t xml:space="preserve">. </w:t>
      </w:r>
    </w:p>
    <w:p w14:paraId="098E6B6C" w14:textId="77777777" w:rsidR="00B05046" w:rsidRDefault="00B05046" w:rsidP="00B05046"/>
    <w:p w14:paraId="404766B1" w14:textId="7E58DE2A" w:rsidR="002271A8" w:rsidRDefault="002271A8" w:rsidP="00011CED">
      <w:pPr>
        <w:pStyle w:val="Titre3"/>
      </w:pPr>
      <w:bookmarkStart w:id="35" w:name="_Toc201856040"/>
      <w:r>
        <w:t>4.5.2 Formats des relevés</w:t>
      </w:r>
      <w:bookmarkEnd w:id="35"/>
    </w:p>
    <w:p w14:paraId="55144B3F" w14:textId="74F5F4BC" w:rsidR="00C37659" w:rsidRDefault="00A25875" w:rsidP="002271A8">
      <w:r>
        <w:t xml:space="preserve">Le titulaire </w:t>
      </w:r>
      <w:r w:rsidR="002271A8">
        <w:t xml:space="preserve">met à disposition d’INRAE </w:t>
      </w:r>
      <w:r>
        <w:t>un relevé mensuel d’opérations</w:t>
      </w:r>
      <w:r w:rsidR="002271A8">
        <w:t xml:space="preserve"> </w:t>
      </w:r>
      <w:r>
        <w:t>par centre</w:t>
      </w:r>
      <w:r w:rsidR="002271A8">
        <w:t xml:space="preserve">, au minimum aux </w:t>
      </w:r>
      <w:r>
        <w:t>format</w:t>
      </w:r>
      <w:r w:rsidR="00C37659">
        <w:t>s</w:t>
      </w:r>
      <w:r>
        <w:t xml:space="preserve"> </w:t>
      </w:r>
      <w:proofErr w:type="spellStart"/>
      <w:r w:rsidR="00C37659">
        <w:t>pdf</w:t>
      </w:r>
      <w:proofErr w:type="spellEnd"/>
      <w:r w:rsidR="00C37659">
        <w:t xml:space="preserve"> et</w:t>
      </w:r>
      <w:r>
        <w:t xml:space="preserve"> csv</w:t>
      </w:r>
      <w:r w:rsidR="00C37659">
        <w:t>.</w:t>
      </w:r>
    </w:p>
    <w:p w14:paraId="1ABAB574" w14:textId="5692EB78" w:rsidR="002271A8" w:rsidRDefault="002271A8" w:rsidP="002271A8"/>
    <w:p w14:paraId="501B88BC" w14:textId="77777777" w:rsidR="00DB5272" w:rsidRDefault="00DB5272" w:rsidP="00DB5272">
      <w:r>
        <w:t xml:space="preserve">Afin d’en faciliter l’intégration dans les outils, les 2 relevés d’opérations doivent respecter la nomenclature définie par INRAE. </w:t>
      </w:r>
    </w:p>
    <w:p w14:paraId="5D603D46" w14:textId="77777777" w:rsidR="00DB5272" w:rsidRDefault="00DB5272" w:rsidP="002271A8"/>
    <w:p w14:paraId="7194ECAC" w14:textId="6041127F" w:rsidR="00C37659" w:rsidRDefault="00C37659" w:rsidP="002271A8">
      <w:r>
        <w:t xml:space="preserve">Le </w:t>
      </w:r>
      <w:r w:rsidR="002A2A10">
        <w:t>« </w:t>
      </w:r>
      <w:r w:rsidRPr="00A47E0D">
        <w:rPr>
          <w:b/>
        </w:rPr>
        <w:t xml:space="preserve">relevé </w:t>
      </w:r>
      <w:proofErr w:type="spellStart"/>
      <w:r w:rsidRPr="00A47E0D">
        <w:rPr>
          <w:b/>
        </w:rPr>
        <w:t>pdf</w:t>
      </w:r>
      <w:proofErr w:type="spellEnd"/>
      <w:r w:rsidR="002A2A10">
        <w:rPr>
          <w:b/>
        </w:rPr>
        <w:t> »</w:t>
      </w:r>
      <w:r>
        <w:t xml:space="preserve"> comporte au minimum les </w:t>
      </w:r>
      <w:r w:rsidR="00A25875">
        <w:t>informations suivantes</w:t>
      </w:r>
      <w:r>
        <w:t> :</w:t>
      </w:r>
    </w:p>
    <w:p w14:paraId="31A9E485" w14:textId="434A11FA" w:rsidR="00A25875" w:rsidRDefault="00A25875" w:rsidP="00182679">
      <w:pPr>
        <w:pStyle w:val="Paragraphedeliste"/>
        <w:numPr>
          <w:ilvl w:val="0"/>
          <w:numId w:val="14"/>
        </w:numPr>
      </w:pPr>
      <w:r>
        <w:t>En en-t</w:t>
      </w:r>
      <w:r w:rsidRPr="00C37659">
        <w:rPr>
          <w:rFonts w:cs="AvenirNext LT Pro Cn"/>
        </w:rPr>
        <w:t>ê</w:t>
      </w:r>
      <w:r>
        <w:t>te :</w:t>
      </w:r>
    </w:p>
    <w:p w14:paraId="5DB081DB" w14:textId="77777777" w:rsidR="00A25875" w:rsidRDefault="00A25875" w:rsidP="00182679">
      <w:pPr>
        <w:numPr>
          <w:ilvl w:val="0"/>
          <w:numId w:val="11"/>
        </w:numPr>
        <w:jc w:val="left"/>
      </w:pPr>
      <w:r>
        <w:t>Nom du titulaire ;</w:t>
      </w:r>
    </w:p>
    <w:p w14:paraId="57728998" w14:textId="77777777" w:rsidR="00A25875" w:rsidRDefault="00A25875" w:rsidP="00182679">
      <w:pPr>
        <w:numPr>
          <w:ilvl w:val="0"/>
          <w:numId w:val="11"/>
        </w:numPr>
        <w:jc w:val="left"/>
      </w:pPr>
      <w:r>
        <w:t>Coordonnées du titulaire ;</w:t>
      </w:r>
    </w:p>
    <w:p w14:paraId="601580A8" w14:textId="77777777" w:rsidR="00A25875" w:rsidRDefault="00A25875" w:rsidP="00182679">
      <w:pPr>
        <w:numPr>
          <w:ilvl w:val="0"/>
          <w:numId w:val="11"/>
        </w:numPr>
        <w:jc w:val="left"/>
      </w:pPr>
      <w:r>
        <w:t>Numéro de l’accord-cadre ;</w:t>
      </w:r>
    </w:p>
    <w:p w14:paraId="33F59136" w14:textId="77777777" w:rsidR="00A25875" w:rsidRDefault="00A25875" w:rsidP="00182679">
      <w:pPr>
        <w:numPr>
          <w:ilvl w:val="0"/>
          <w:numId w:val="11"/>
        </w:numPr>
        <w:jc w:val="left"/>
      </w:pPr>
      <w:r>
        <w:t>Code et nom du centre INRAE ;</w:t>
      </w:r>
    </w:p>
    <w:p w14:paraId="6ED098D6" w14:textId="77777777" w:rsidR="00A25875" w:rsidRDefault="00A25875" w:rsidP="00182679">
      <w:pPr>
        <w:numPr>
          <w:ilvl w:val="0"/>
          <w:numId w:val="11"/>
        </w:numPr>
        <w:jc w:val="left"/>
      </w:pPr>
      <w:r>
        <w:t>Adresse du centre INRAE ;</w:t>
      </w:r>
    </w:p>
    <w:p w14:paraId="538429E0" w14:textId="77777777" w:rsidR="00A25875" w:rsidRDefault="00A25875" w:rsidP="00182679">
      <w:pPr>
        <w:numPr>
          <w:ilvl w:val="0"/>
          <w:numId w:val="11"/>
        </w:numPr>
        <w:jc w:val="left"/>
      </w:pPr>
      <w:r>
        <w:t>Numéro du relevé ;</w:t>
      </w:r>
    </w:p>
    <w:p w14:paraId="10475204" w14:textId="2C2BD3C5" w:rsidR="00A25875" w:rsidRDefault="00A25875" w:rsidP="00182679">
      <w:pPr>
        <w:numPr>
          <w:ilvl w:val="0"/>
          <w:numId w:val="11"/>
        </w:numPr>
        <w:jc w:val="left"/>
      </w:pPr>
      <w:r>
        <w:t>Date du relevé.</w:t>
      </w:r>
    </w:p>
    <w:p w14:paraId="2867FAB8" w14:textId="77777777" w:rsidR="00C37659" w:rsidRDefault="00C37659" w:rsidP="00C37659">
      <w:pPr>
        <w:jc w:val="left"/>
      </w:pPr>
    </w:p>
    <w:p w14:paraId="1B221C8D" w14:textId="4EBD7DE1" w:rsidR="00A25875" w:rsidRDefault="00A25875" w:rsidP="00182679">
      <w:pPr>
        <w:pStyle w:val="Paragraphedeliste"/>
        <w:numPr>
          <w:ilvl w:val="0"/>
          <w:numId w:val="14"/>
        </w:numPr>
      </w:pPr>
      <w:r>
        <w:t>Sur chaque ligne de transaction :</w:t>
      </w:r>
    </w:p>
    <w:p w14:paraId="06AE1070" w14:textId="77777777" w:rsidR="00A25875" w:rsidRDefault="00A25875" w:rsidP="00182679">
      <w:pPr>
        <w:numPr>
          <w:ilvl w:val="0"/>
          <w:numId w:val="12"/>
        </w:numPr>
        <w:jc w:val="left"/>
      </w:pPr>
      <w:r>
        <w:t>Nom et prénom du porteur ;</w:t>
      </w:r>
    </w:p>
    <w:p w14:paraId="5EB9498A" w14:textId="77777777" w:rsidR="00A25875" w:rsidRDefault="00A25875" w:rsidP="00182679">
      <w:pPr>
        <w:numPr>
          <w:ilvl w:val="0"/>
          <w:numId w:val="12"/>
        </w:numPr>
        <w:jc w:val="left"/>
      </w:pPr>
      <w:r>
        <w:t>Numéro de l’unité ;</w:t>
      </w:r>
    </w:p>
    <w:p w14:paraId="05471D76" w14:textId="77777777" w:rsidR="00A25875" w:rsidRDefault="00A25875" w:rsidP="00182679">
      <w:pPr>
        <w:numPr>
          <w:ilvl w:val="0"/>
          <w:numId w:val="12"/>
        </w:numPr>
        <w:jc w:val="left"/>
      </w:pPr>
      <w:r>
        <w:t>Nom du fournisseur (commerçant) ;</w:t>
      </w:r>
    </w:p>
    <w:p w14:paraId="1441E1AE" w14:textId="77777777" w:rsidR="00A25875" w:rsidRDefault="00A25875" w:rsidP="00182679">
      <w:pPr>
        <w:numPr>
          <w:ilvl w:val="0"/>
          <w:numId w:val="12"/>
        </w:numPr>
        <w:jc w:val="left"/>
      </w:pPr>
      <w:r>
        <w:t>Identifiant du fournisseur (ex : SIRET, ...) ;</w:t>
      </w:r>
    </w:p>
    <w:p w14:paraId="3E7B9153" w14:textId="77777777" w:rsidR="00A25875" w:rsidRDefault="00A25875" w:rsidP="00182679">
      <w:pPr>
        <w:numPr>
          <w:ilvl w:val="0"/>
          <w:numId w:val="12"/>
        </w:numPr>
        <w:jc w:val="left"/>
      </w:pPr>
      <w:r>
        <w:t>Date de transaction ;</w:t>
      </w:r>
    </w:p>
    <w:p w14:paraId="1A508504" w14:textId="07DEA9AF" w:rsidR="00A25875" w:rsidRDefault="00A25875" w:rsidP="00182679">
      <w:pPr>
        <w:numPr>
          <w:ilvl w:val="0"/>
          <w:numId w:val="12"/>
        </w:numPr>
        <w:jc w:val="left"/>
      </w:pPr>
      <w:r>
        <w:t>Montant €TTC.</w:t>
      </w:r>
    </w:p>
    <w:p w14:paraId="042040AC" w14:textId="79F463A1" w:rsidR="002271A8" w:rsidRDefault="002271A8" w:rsidP="002271A8">
      <w:pPr>
        <w:jc w:val="left"/>
      </w:pPr>
    </w:p>
    <w:p w14:paraId="2F9F03D6" w14:textId="77777777" w:rsidR="00A47E0D" w:rsidRDefault="00A47E0D" w:rsidP="002271A8">
      <w:pPr>
        <w:jc w:val="left"/>
      </w:pPr>
    </w:p>
    <w:p w14:paraId="78AB9B72" w14:textId="340EC232" w:rsidR="002271A8" w:rsidRDefault="002271A8" w:rsidP="00A47E0D">
      <w:r>
        <w:t xml:space="preserve">Le </w:t>
      </w:r>
      <w:r w:rsidR="002A2A10">
        <w:t>« </w:t>
      </w:r>
      <w:r w:rsidRPr="00A47E0D">
        <w:rPr>
          <w:b/>
        </w:rPr>
        <w:t>relevé csv</w:t>
      </w:r>
      <w:r w:rsidR="002A2A10">
        <w:rPr>
          <w:b/>
        </w:rPr>
        <w:t> »</w:t>
      </w:r>
      <w:r>
        <w:t xml:space="preserve"> est au format csv avec séparateur point-virgule et sans séparateur de millier.</w:t>
      </w:r>
    </w:p>
    <w:p w14:paraId="296CF690" w14:textId="77777777" w:rsidR="00A47E0D" w:rsidRDefault="00A47E0D" w:rsidP="00A47E0D"/>
    <w:p w14:paraId="0BC5D4F2" w14:textId="0262F566" w:rsidR="002271A8" w:rsidRDefault="002271A8" w:rsidP="00A47E0D">
      <w:r>
        <w:t xml:space="preserve">La règle de nommage du fichier csv est la suivante : </w:t>
      </w:r>
      <w:r w:rsidRPr="00546A98">
        <w:t xml:space="preserve">[initiales sur 2 caractères du titulaire + numéro du centre sur 2 </w:t>
      </w:r>
      <w:proofErr w:type="gramStart"/>
      <w:r w:rsidRPr="00546A98">
        <w:t>caractères]_</w:t>
      </w:r>
      <w:proofErr w:type="gramEnd"/>
      <w:r w:rsidRPr="00546A98">
        <w:t>[date du relevé sur 6 caractères, format JJMMAA]_[horodatage sur 4 caractères]</w:t>
      </w:r>
      <w:r w:rsidR="00A47E0D">
        <w:t>.</w:t>
      </w:r>
    </w:p>
    <w:p w14:paraId="1478A3D4" w14:textId="43E1C4D6" w:rsidR="00A47E0D" w:rsidRDefault="00A47E0D" w:rsidP="00A47E0D"/>
    <w:p w14:paraId="47491F5B" w14:textId="553150E7" w:rsidR="004B6391" w:rsidRDefault="004B6391" w:rsidP="00A47E0D"/>
    <w:p w14:paraId="5FF9844F" w14:textId="0255B51A" w:rsidR="004B6391" w:rsidRDefault="004B6391" w:rsidP="00A47E0D"/>
    <w:p w14:paraId="2D11573A" w14:textId="77777777" w:rsidR="004B6391" w:rsidRDefault="004B6391" w:rsidP="00A47E0D"/>
    <w:p w14:paraId="2756EB70" w14:textId="543BC81B" w:rsidR="00A47E0D" w:rsidRDefault="00A47E0D" w:rsidP="00A47E0D">
      <w:r>
        <w:t xml:space="preserve">Les colonnes attendues sont les suivantes : </w:t>
      </w:r>
    </w:p>
    <w:tbl>
      <w:tblPr>
        <w:tblpPr w:leftFromText="141" w:rightFromText="141" w:vertAnchor="text" w:tblpXSpec="center" w:tblpY="196"/>
        <w:tblW w:w="7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00"/>
        <w:gridCol w:w="3940"/>
      </w:tblGrid>
      <w:tr w:rsidR="00A47E0D" w:rsidRPr="00A47E0D" w14:paraId="2CD5FB5F" w14:textId="77777777" w:rsidTr="00A47E0D">
        <w:trPr>
          <w:trHeight w:val="300"/>
        </w:trPr>
        <w:tc>
          <w:tcPr>
            <w:tcW w:w="3400" w:type="dxa"/>
            <w:shd w:val="clear" w:color="auto" w:fill="00A3A6"/>
            <w:noWrap/>
            <w:tcMar>
              <w:top w:w="0" w:type="dxa"/>
              <w:left w:w="70" w:type="dxa"/>
              <w:bottom w:w="0" w:type="dxa"/>
              <w:right w:w="70" w:type="dxa"/>
            </w:tcMar>
            <w:vAlign w:val="bottom"/>
            <w:hideMark/>
          </w:tcPr>
          <w:p w14:paraId="064649E2" w14:textId="77777777" w:rsidR="00A47E0D" w:rsidRPr="00A47E0D" w:rsidRDefault="00A47E0D" w:rsidP="00A47E0D">
            <w:pPr>
              <w:spacing w:before="120" w:after="120"/>
              <w:jc w:val="center"/>
              <w:rPr>
                <w:b/>
                <w:bCs/>
                <w:color w:val="FFFFFF" w:themeColor="background1"/>
                <w:szCs w:val="24"/>
                <w:lang w:eastAsia="fr-FR"/>
              </w:rPr>
            </w:pPr>
            <w:r w:rsidRPr="00A47E0D">
              <w:rPr>
                <w:b/>
                <w:bCs/>
                <w:color w:val="FFFFFF" w:themeColor="background1"/>
                <w:szCs w:val="24"/>
                <w:lang w:eastAsia="fr-FR"/>
              </w:rPr>
              <w:t>Intitulé</w:t>
            </w:r>
          </w:p>
        </w:tc>
        <w:tc>
          <w:tcPr>
            <w:tcW w:w="3940" w:type="dxa"/>
            <w:shd w:val="clear" w:color="auto" w:fill="00A3A6"/>
            <w:noWrap/>
            <w:tcMar>
              <w:top w:w="0" w:type="dxa"/>
              <w:left w:w="70" w:type="dxa"/>
              <w:bottom w:w="0" w:type="dxa"/>
              <w:right w:w="70" w:type="dxa"/>
            </w:tcMar>
            <w:vAlign w:val="bottom"/>
            <w:hideMark/>
          </w:tcPr>
          <w:p w14:paraId="518D17C7" w14:textId="77777777" w:rsidR="00A47E0D" w:rsidRPr="00A47E0D" w:rsidRDefault="00A47E0D" w:rsidP="00A47E0D">
            <w:pPr>
              <w:spacing w:before="120" w:after="120"/>
              <w:jc w:val="center"/>
              <w:rPr>
                <w:b/>
                <w:bCs/>
                <w:color w:val="FFFFFF" w:themeColor="background1"/>
                <w:szCs w:val="24"/>
                <w:lang w:eastAsia="fr-FR"/>
              </w:rPr>
            </w:pPr>
            <w:r w:rsidRPr="00A47E0D">
              <w:rPr>
                <w:b/>
                <w:bCs/>
                <w:color w:val="FFFFFF" w:themeColor="background1"/>
                <w:szCs w:val="24"/>
                <w:lang w:eastAsia="fr-FR"/>
              </w:rPr>
              <w:t>Description</w:t>
            </w:r>
          </w:p>
        </w:tc>
      </w:tr>
      <w:tr w:rsidR="00A47E0D" w:rsidRPr="00A47E0D" w14:paraId="5F26BF6E" w14:textId="77777777" w:rsidTr="00A47E0D">
        <w:trPr>
          <w:trHeight w:val="300"/>
        </w:trPr>
        <w:tc>
          <w:tcPr>
            <w:tcW w:w="3400" w:type="dxa"/>
            <w:noWrap/>
            <w:tcMar>
              <w:top w:w="0" w:type="dxa"/>
              <w:left w:w="70" w:type="dxa"/>
              <w:bottom w:w="0" w:type="dxa"/>
              <w:right w:w="70" w:type="dxa"/>
            </w:tcMar>
            <w:vAlign w:val="bottom"/>
            <w:hideMark/>
          </w:tcPr>
          <w:p w14:paraId="28192954" w14:textId="77777777" w:rsidR="00A47E0D" w:rsidRPr="00A47E0D" w:rsidRDefault="00A47E0D" w:rsidP="00A47E0D">
            <w:pPr>
              <w:spacing w:before="120" w:after="120"/>
              <w:rPr>
                <w:color w:val="000000"/>
                <w:szCs w:val="24"/>
                <w:lang w:eastAsia="fr-FR"/>
              </w:rPr>
            </w:pPr>
            <w:r w:rsidRPr="00A47E0D">
              <w:rPr>
                <w:color w:val="000000"/>
                <w:szCs w:val="24"/>
                <w:lang w:eastAsia="fr-FR"/>
              </w:rPr>
              <w:t>Identifiant émetteur carte</w:t>
            </w:r>
          </w:p>
        </w:tc>
        <w:tc>
          <w:tcPr>
            <w:tcW w:w="3940" w:type="dxa"/>
            <w:noWrap/>
            <w:tcMar>
              <w:top w:w="0" w:type="dxa"/>
              <w:left w:w="70" w:type="dxa"/>
              <w:bottom w:w="0" w:type="dxa"/>
              <w:right w:w="70" w:type="dxa"/>
            </w:tcMar>
            <w:vAlign w:val="bottom"/>
            <w:hideMark/>
          </w:tcPr>
          <w:p w14:paraId="68534FBC" w14:textId="77777777" w:rsidR="00A47E0D" w:rsidRPr="00A47E0D" w:rsidRDefault="00A47E0D" w:rsidP="00A47E0D">
            <w:pPr>
              <w:spacing w:before="120" w:after="120"/>
              <w:rPr>
                <w:color w:val="000000"/>
                <w:szCs w:val="24"/>
                <w:lang w:eastAsia="fr-FR"/>
              </w:rPr>
            </w:pPr>
            <w:r w:rsidRPr="00A47E0D">
              <w:rPr>
                <w:color w:val="000000"/>
                <w:szCs w:val="24"/>
                <w:lang w:eastAsia="fr-FR"/>
              </w:rPr>
              <w:t>Champ fixe fourni par INRAE</w:t>
            </w:r>
          </w:p>
        </w:tc>
      </w:tr>
      <w:tr w:rsidR="00A47E0D" w:rsidRPr="00A47E0D" w14:paraId="43758264" w14:textId="77777777" w:rsidTr="00A47E0D">
        <w:trPr>
          <w:trHeight w:val="300"/>
        </w:trPr>
        <w:tc>
          <w:tcPr>
            <w:tcW w:w="3400" w:type="dxa"/>
            <w:noWrap/>
            <w:tcMar>
              <w:top w:w="0" w:type="dxa"/>
              <w:left w:w="70" w:type="dxa"/>
              <w:bottom w:w="0" w:type="dxa"/>
              <w:right w:w="70" w:type="dxa"/>
            </w:tcMar>
            <w:vAlign w:val="bottom"/>
            <w:hideMark/>
          </w:tcPr>
          <w:p w14:paraId="6C8ABA85" w14:textId="77777777" w:rsidR="00A47E0D" w:rsidRPr="00A47E0D" w:rsidRDefault="00A47E0D" w:rsidP="00A47E0D">
            <w:pPr>
              <w:spacing w:before="120" w:after="120"/>
              <w:rPr>
                <w:color w:val="000000"/>
                <w:szCs w:val="24"/>
                <w:lang w:eastAsia="fr-FR"/>
              </w:rPr>
            </w:pPr>
            <w:r w:rsidRPr="00A47E0D">
              <w:rPr>
                <w:color w:val="000000"/>
                <w:szCs w:val="24"/>
                <w:lang w:eastAsia="fr-FR"/>
              </w:rPr>
              <w:t>Nom émetteur carte</w:t>
            </w:r>
          </w:p>
        </w:tc>
        <w:tc>
          <w:tcPr>
            <w:tcW w:w="3940" w:type="dxa"/>
            <w:noWrap/>
            <w:tcMar>
              <w:top w:w="0" w:type="dxa"/>
              <w:left w:w="70" w:type="dxa"/>
              <w:bottom w:w="0" w:type="dxa"/>
              <w:right w:w="70" w:type="dxa"/>
            </w:tcMar>
            <w:vAlign w:val="bottom"/>
            <w:hideMark/>
          </w:tcPr>
          <w:p w14:paraId="21227F2C" w14:textId="77777777" w:rsidR="00A47E0D" w:rsidRPr="00A47E0D" w:rsidRDefault="00A47E0D" w:rsidP="00A47E0D">
            <w:pPr>
              <w:spacing w:before="120" w:after="120"/>
              <w:rPr>
                <w:color w:val="000000"/>
                <w:szCs w:val="24"/>
                <w:lang w:eastAsia="fr-FR"/>
              </w:rPr>
            </w:pPr>
            <w:r w:rsidRPr="00A47E0D">
              <w:rPr>
                <w:color w:val="000000"/>
                <w:szCs w:val="24"/>
                <w:lang w:eastAsia="fr-FR"/>
              </w:rPr>
              <w:t> </w:t>
            </w:r>
          </w:p>
        </w:tc>
      </w:tr>
      <w:tr w:rsidR="00A47E0D" w:rsidRPr="00A47E0D" w14:paraId="6651E9D7" w14:textId="77777777" w:rsidTr="00A47E0D">
        <w:trPr>
          <w:trHeight w:val="300"/>
        </w:trPr>
        <w:tc>
          <w:tcPr>
            <w:tcW w:w="3400" w:type="dxa"/>
            <w:noWrap/>
            <w:tcMar>
              <w:top w:w="0" w:type="dxa"/>
              <w:left w:w="70" w:type="dxa"/>
              <w:bottom w:w="0" w:type="dxa"/>
              <w:right w:w="70" w:type="dxa"/>
            </w:tcMar>
            <w:vAlign w:val="bottom"/>
            <w:hideMark/>
          </w:tcPr>
          <w:p w14:paraId="0E181424" w14:textId="77777777" w:rsidR="00A47E0D" w:rsidRPr="00A47E0D" w:rsidRDefault="00A47E0D" w:rsidP="00A47E0D">
            <w:pPr>
              <w:spacing w:before="120" w:after="120"/>
              <w:rPr>
                <w:color w:val="000000"/>
                <w:szCs w:val="24"/>
                <w:lang w:eastAsia="fr-FR"/>
              </w:rPr>
            </w:pPr>
            <w:r w:rsidRPr="00A47E0D">
              <w:rPr>
                <w:color w:val="000000"/>
                <w:szCs w:val="24"/>
                <w:lang w:eastAsia="fr-FR"/>
              </w:rPr>
              <w:t>Date de la transaction</w:t>
            </w:r>
          </w:p>
        </w:tc>
        <w:tc>
          <w:tcPr>
            <w:tcW w:w="3940" w:type="dxa"/>
            <w:noWrap/>
            <w:tcMar>
              <w:top w:w="0" w:type="dxa"/>
              <w:left w:w="70" w:type="dxa"/>
              <w:bottom w:w="0" w:type="dxa"/>
              <w:right w:w="70" w:type="dxa"/>
            </w:tcMar>
            <w:vAlign w:val="bottom"/>
            <w:hideMark/>
          </w:tcPr>
          <w:p w14:paraId="4CC96C70" w14:textId="77777777" w:rsidR="00A47E0D" w:rsidRPr="00A47E0D" w:rsidRDefault="00A47E0D" w:rsidP="00A47E0D">
            <w:pPr>
              <w:spacing w:before="120" w:after="120"/>
              <w:rPr>
                <w:color w:val="000000"/>
                <w:szCs w:val="24"/>
                <w:lang w:eastAsia="fr-FR"/>
              </w:rPr>
            </w:pPr>
            <w:r w:rsidRPr="00A47E0D">
              <w:rPr>
                <w:color w:val="000000"/>
                <w:szCs w:val="24"/>
                <w:lang w:eastAsia="fr-FR"/>
              </w:rPr>
              <w:t>JJ/MM/AAAA</w:t>
            </w:r>
          </w:p>
        </w:tc>
      </w:tr>
      <w:tr w:rsidR="00A47E0D" w:rsidRPr="00A47E0D" w14:paraId="7AE85ADA" w14:textId="77777777" w:rsidTr="00A47E0D">
        <w:trPr>
          <w:trHeight w:val="300"/>
        </w:trPr>
        <w:tc>
          <w:tcPr>
            <w:tcW w:w="3400" w:type="dxa"/>
            <w:noWrap/>
            <w:tcMar>
              <w:top w:w="0" w:type="dxa"/>
              <w:left w:w="70" w:type="dxa"/>
              <w:bottom w:w="0" w:type="dxa"/>
              <w:right w:w="70" w:type="dxa"/>
            </w:tcMar>
            <w:vAlign w:val="bottom"/>
            <w:hideMark/>
          </w:tcPr>
          <w:p w14:paraId="6F84BF2F" w14:textId="77777777" w:rsidR="00A47E0D" w:rsidRPr="00A47E0D" w:rsidRDefault="00A47E0D" w:rsidP="00A47E0D">
            <w:pPr>
              <w:spacing w:before="120" w:after="120"/>
              <w:rPr>
                <w:color w:val="000000"/>
                <w:szCs w:val="24"/>
                <w:lang w:eastAsia="fr-FR"/>
              </w:rPr>
            </w:pPr>
            <w:r w:rsidRPr="00A47E0D">
              <w:rPr>
                <w:color w:val="000000"/>
                <w:szCs w:val="24"/>
                <w:lang w:eastAsia="fr-FR"/>
              </w:rPr>
              <w:t>Date du relevé</w:t>
            </w:r>
          </w:p>
        </w:tc>
        <w:tc>
          <w:tcPr>
            <w:tcW w:w="3940" w:type="dxa"/>
            <w:noWrap/>
            <w:tcMar>
              <w:top w:w="0" w:type="dxa"/>
              <w:left w:w="70" w:type="dxa"/>
              <w:bottom w:w="0" w:type="dxa"/>
              <w:right w:w="70" w:type="dxa"/>
            </w:tcMar>
            <w:vAlign w:val="bottom"/>
            <w:hideMark/>
          </w:tcPr>
          <w:p w14:paraId="52A7655C" w14:textId="77777777" w:rsidR="00A47E0D" w:rsidRPr="00A47E0D" w:rsidRDefault="00A47E0D" w:rsidP="00A47E0D">
            <w:pPr>
              <w:spacing w:before="120" w:after="120"/>
              <w:rPr>
                <w:color w:val="000000"/>
                <w:szCs w:val="24"/>
                <w:lang w:eastAsia="fr-FR"/>
              </w:rPr>
            </w:pPr>
            <w:proofErr w:type="gramStart"/>
            <w:r w:rsidRPr="00A47E0D">
              <w:rPr>
                <w:color w:val="000000"/>
                <w:szCs w:val="24"/>
                <w:lang w:eastAsia="fr-FR"/>
              </w:rPr>
              <w:t>dernier</w:t>
            </w:r>
            <w:proofErr w:type="gramEnd"/>
            <w:r w:rsidRPr="00A47E0D">
              <w:rPr>
                <w:color w:val="000000"/>
                <w:szCs w:val="24"/>
                <w:lang w:eastAsia="fr-FR"/>
              </w:rPr>
              <w:t xml:space="preserve"> jour du mois - JJ/MM/AAAA</w:t>
            </w:r>
          </w:p>
        </w:tc>
      </w:tr>
      <w:tr w:rsidR="00A47E0D" w:rsidRPr="00A47E0D" w14:paraId="78058A7E" w14:textId="77777777" w:rsidTr="00A47E0D">
        <w:trPr>
          <w:trHeight w:val="300"/>
        </w:trPr>
        <w:tc>
          <w:tcPr>
            <w:tcW w:w="3400" w:type="dxa"/>
            <w:noWrap/>
            <w:tcMar>
              <w:top w:w="0" w:type="dxa"/>
              <w:left w:w="70" w:type="dxa"/>
              <w:bottom w:w="0" w:type="dxa"/>
              <w:right w:w="70" w:type="dxa"/>
            </w:tcMar>
            <w:vAlign w:val="bottom"/>
            <w:hideMark/>
          </w:tcPr>
          <w:p w14:paraId="3EF254A2" w14:textId="77777777" w:rsidR="00A47E0D" w:rsidRPr="00A47E0D" w:rsidRDefault="00A47E0D" w:rsidP="00A47E0D">
            <w:pPr>
              <w:spacing w:before="120" w:after="120"/>
              <w:rPr>
                <w:color w:val="000000"/>
                <w:szCs w:val="24"/>
                <w:lang w:eastAsia="fr-FR"/>
              </w:rPr>
            </w:pPr>
            <w:r w:rsidRPr="00A47E0D">
              <w:rPr>
                <w:color w:val="000000"/>
                <w:szCs w:val="24"/>
                <w:lang w:eastAsia="fr-FR"/>
              </w:rPr>
              <w:t>Montant TTC</w:t>
            </w:r>
          </w:p>
        </w:tc>
        <w:tc>
          <w:tcPr>
            <w:tcW w:w="3940" w:type="dxa"/>
            <w:noWrap/>
            <w:tcMar>
              <w:top w:w="0" w:type="dxa"/>
              <w:left w:w="70" w:type="dxa"/>
              <w:bottom w:w="0" w:type="dxa"/>
              <w:right w:w="70" w:type="dxa"/>
            </w:tcMar>
            <w:vAlign w:val="bottom"/>
            <w:hideMark/>
          </w:tcPr>
          <w:p w14:paraId="71A59301" w14:textId="77777777" w:rsidR="00A47E0D" w:rsidRPr="00A47E0D" w:rsidRDefault="00A47E0D" w:rsidP="00A47E0D">
            <w:pPr>
              <w:spacing w:before="120" w:after="120"/>
              <w:rPr>
                <w:color w:val="000000"/>
                <w:szCs w:val="24"/>
                <w:lang w:eastAsia="fr-FR"/>
              </w:rPr>
            </w:pPr>
            <w:proofErr w:type="gramStart"/>
            <w:r w:rsidRPr="00A47E0D">
              <w:rPr>
                <w:color w:val="000000"/>
                <w:szCs w:val="24"/>
                <w:lang w:eastAsia="fr-FR"/>
              </w:rPr>
              <w:t>en</w:t>
            </w:r>
            <w:proofErr w:type="gramEnd"/>
            <w:r w:rsidRPr="00A47E0D">
              <w:rPr>
                <w:color w:val="000000"/>
                <w:szCs w:val="24"/>
                <w:lang w:eastAsia="fr-FR"/>
              </w:rPr>
              <w:t xml:space="preserve"> positif si facture, en négatif si avoir</w:t>
            </w:r>
          </w:p>
        </w:tc>
      </w:tr>
      <w:tr w:rsidR="00A47E0D" w:rsidRPr="00A47E0D" w14:paraId="54BC22C5" w14:textId="77777777" w:rsidTr="00A47E0D">
        <w:trPr>
          <w:trHeight w:val="300"/>
        </w:trPr>
        <w:tc>
          <w:tcPr>
            <w:tcW w:w="3400" w:type="dxa"/>
            <w:noWrap/>
            <w:tcMar>
              <w:top w:w="0" w:type="dxa"/>
              <w:left w:w="70" w:type="dxa"/>
              <w:bottom w:w="0" w:type="dxa"/>
              <w:right w:w="70" w:type="dxa"/>
            </w:tcMar>
            <w:vAlign w:val="bottom"/>
            <w:hideMark/>
          </w:tcPr>
          <w:p w14:paraId="079EEACE" w14:textId="77777777" w:rsidR="00A47E0D" w:rsidRPr="00A47E0D" w:rsidRDefault="00A47E0D" w:rsidP="00A47E0D">
            <w:pPr>
              <w:spacing w:before="120" w:after="120"/>
              <w:rPr>
                <w:color w:val="000000"/>
                <w:szCs w:val="24"/>
                <w:lang w:eastAsia="fr-FR"/>
              </w:rPr>
            </w:pPr>
            <w:r w:rsidRPr="00A47E0D">
              <w:rPr>
                <w:color w:val="000000"/>
                <w:szCs w:val="24"/>
                <w:lang w:eastAsia="fr-FR"/>
              </w:rPr>
              <w:t xml:space="preserve">Numéro Unité INRAE </w:t>
            </w:r>
          </w:p>
        </w:tc>
        <w:tc>
          <w:tcPr>
            <w:tcW w:w="3940" w:type="dxa"/>
            <w:noWrap/>
            <w:tcMar>
              <w:top w:w="0" w:type="dxa"/>
              <w:left w:w="70" w:type="dxa"/>
              <w:bottom w:w="0" w:type="dxa"/>
              <w:right w:w="70" w:type="dxa"/>
            </w:tcMar>
            <w:vAlign w:val="bottom"/>
            <w:hideMark/>
          </w:tcPr>
          <w:p w14:paraId="76A28B04" w14:textId="34674CA7" w:rsidR="00A47E0D" w:rsidRPr="00A47E0D" w:rsidRDefault="00A47E0D" w:rsidP="00A47E0D">
            <w:pPr>
              <w:spacing w:before="120" w:after="120"/>
              <w:rPr>
                <w:color w:val="000000"/>
                <w:szCs w:val="24"/>
                <w:lang w:eastAsia="fr-FR"/>
              </w:rPr>
            </w:pPr>
            <w:r w:rsidRPr="00A47E0D">
              <w:rPr>
                <w:color w:val="000000"/>
                <w:szCs w:val="24"/>
                <w:lang w:eastAsia="fr-FR"/>
              </w:rPr>
              <w:t>Sur 4 caractères</w:t>
            </w:r>
          </w:p>
        </w:tc>
      </w:tr>
      <w:tr w:rsidR="00A47E0D" w:rsidRPr="00A47E0D" w14:paraId="3D601609" w14:textId="77777777" w:rsidTr="00A47E0D">
        <w:trPr>
          <w:trHeight w:val="300"/>
        </w:trPr>
        <w:tc>
          <w:tcPr>
            <w:tcW w:w="3400" w:type="dxa"/>
            <w:noWrap/>
            <w:tcMar>
              <w:top w:w="0" w:type="dxa"/>
              <w:left w:w="70" w:type="dxa"/>
              <w:bottom w:w="0" w:type="dxa"/>
              <w:right w:w="70" w:type="dxa"/>
            </w:tcMar>
            <w:vAlign w:val="bottom"/>
            <w:hideMark/>
          </w:tcPr>
          <w:p w14:paraId="508EC565" w14:textId="77777777" w:rsidR="00A47E0D" w:rsidRPr="00A47E0D" w:rsidRDefault="00A47E0D" w:rsidP="00A47E0D">
            <w:pPr>
              <w:spacing w:before="120" w:after="120"/>
              <w:rPr>
                <w:color w:val="000000"/>
                <w:szCs w:val="24"/>
                <w:lang w:eastAsia="fr-FR"/>
              </w:rPr>
            </w:pPr>
            <w:r w:rsidRPr="00A47E0D">
              <w:rPr>
                <w:color w:val="000000"/>
                <w:szCs w:val="24"/>
                <w:lang w:eastAsia="fr-FR"/>
              </w:rPr>
              <w:t>Code iso pays de la transaction</w:t>
            </w:r>
          </w:p>
        </w:tc>
        <w:tc>
          <w:tcPr>
            <w:tcW w:w="3940" w:type="dxa"/>
            <w:noWrap/>
            <w:tcMar>
              <w:top w:w="0" w:type="dxa"/>
              <w:left w:w="70" w:type="dxa"/>
              <w:bottom w:w="0" w:type="dxa"/>
              <w:right w:w="70" w:type="dxa"/>
            </w:tcMar>
            <w:vAlign w:val="bottom"/>
            <w:hideMark/>
          </w:tcPr>
          <w:p w14:paraId="103787C4" w14:textId="77777777" w:rsidR="00A47E0D" w:rsidRPr="00A47E0D" w:rsidRDefault="00A47E0D" w:rsidP="00A47E0D">
            <w:pPr>
              <w:spacing w:before="120" w:after="120"/>
              <w:rPr>
                <w:color w:val="000000"/>
                <w:szCs w:val="24"/>
                <w:lang w:eastAsia="fr-FR"/>
              </w:rPr>
            </w:pPr>
            <w:r w:rsidRPr="00A47E0D">
              <w:rPr>
                <w:color w:val="000000"/>
                <w:szCs w:val="24"/>
                <w:lang w:eastAsia="fr-FR"/>
              </w:rPr>
              <w:t>Sur 2 caractères</w:t>
            </w:r>
          </w:p>
        </w:tc>
      </w:tr>
      <w:tr w:rsidR="00A47E0D" w:rsidRPr="00A47E0D" w14:paraId="6E3FCB50" w14:textId="77777777" w:rsidTr="00A47E0D">
        <w:trPr>
          <w:trHeight w:val="690"/>
        </w:trPr>
        <w:tc>
          <w:tcPr>
            <w:tcW w:w="3400" w:type="dxa"/>
            <w:tcMar>
              <w:top w:w="0" w:type="dxa"/>
              <w:left w:w="70" w:type="dxa"/>
              <w:bottom w:w="0" w:type="dxa"/>
              <w:right w:w="70" w:type="dxa"/>
            </w:tcMar>
            <w:vAlign w:val="center"/>
            <w:hideMark/>
          </w:tcPr>
          <w:p w14:paraId="2A3A3B13" w14:textId="77777777" w:rsidR="00A47E0D" w:rsidRPr="00A47E0D" w:rsidRDefault="00A47E0D" w:rsidP="00A47E0D">
            <w:pPr>
              <w:spacing w:before="120" w:after="120"/>
              <w:rPr>
                <w:color w:val="000000"/>
                <w:szCs w:val="24"/>
                <w:lang w:eastAsia="fr-FR"/>
              </w:rPr>
            </w:pPr>
            <w:r w:rsidRPr="00A47E0D">
              <w:rPr>
                <w:color w:val="000000"/>
                <w:szCs w:val="24"/>
                <w:lang w:eastAsia="fr-FR"/>
              </w:rPr>
              <w:t>Nature de la transaction ou Code de Classification Commerçant (CCC)</w:t>
            </w:r>
          </w:p>
        </w:tc>
        <w:tc>
          <w:tcPr>
            <w:tcW w:w="3940" w:type="dxa"/>
            <w:noWrap/>
            <w:tcMar>
              <w:top w:w="0" w:type="dxa"/>
              <w:left w:w="70" w:type="dxa"/>
              <w:bottom w:w="0" w:type="dxa"/>
              <w:right w:w="70" w:type="dxa"/>
            </w:tcMar>
            <w:vAlign w:val="bottom"/>
            <w:hideMark/>
          </w:tcPr>
          <w:p w14:paraId="16F91FA5" w14:textId="77777777" w:rsidR="00A47E0D" w:rsidRPr="00A47E0D" w:rsidRDefault="00A47E0D" w:rsidP="00A47E0D">
            <w:pPr>
              <w:spacing w:before="120" w:after="120"/>
              <w:rPr>
                <w:color w:val="000000"/>
                <w:szCs w:val="24"/>
                <w:lang w:eastAsia="fr-FR"/>
              </w:rPr>
            </w:pPr>
            <w:r w:rsidRPr="00A47E0D">
              <w:rPr>
                <w:color w:val="000000"/>
                <w:szCs w:val="24"/>
                <w:lang w:eastAsia="fr-FR"/>
              </w:rPr>
              <w:t> </w:t>
            </w:r>
          </w:p>
        </w:tc>
      </w:tr>
      <w:tr w:rsidR="00A47E0D" w:rsidRPr="00A47E0D" w14:paraId="4B779E5A" w14:textId="77777777" w:rsidTr="00A47E0D">
        <w:trPr>
          <w:trHeight w:val="300"/>
        </w:trPr>
        <w:tc>
          <w:tcPr>
            <w:tcW w:w="3400" w:type="dxa"/>
            <w:noWrap/>
            <w:tcMar>
              <w:top w:w="0" w:type="dxa"/>
              <w:left w:w="70" w:type="dxa"/>
              <w:bottom w:w="0" w:type="dxa"/>
              <w:right w:w="70" w:type="dxa"/>
            </w:tcMar>
            <w:vAlign w:val="bottom"/>
            <w:hideMark/>
          </w:tcPr>
          <w:p w14:paraId="2067BC1E" w14:textId="77777777" w:rsidR="00A47E0D" w:rsidRPr="00A47E0D" w:rsidRDefault="00A47E0D" w:rsidP="00A47E0D">
            <w:pPr>
              <w:spacing w:before="120" w:after="120"/>
              <w:rPr>
                <w:color w:val="000000"/>
                <w:szCs w:val="24"/>
                <w:lang w:eastAsia="fr-FR"/>
              </w:rPr>
            </w:pPr>
            <w:r w:rsidRPr="00A47E0D">
              <w:rPr>
                <w:color w:val="000000"/>
                <w:szCs w:val="24"/>
                <w:lang w:eastAsia="fr-FR"/>
              </w:rPr>
              <w:t>Numéro société INRAE</w:t>
            </w:r>
          </w:p>
        </w:tc>
        <w:tc>
          <w:tcPr>
            <w:tcW w:w="3940" w:type="dxa"/>
            <w:noWrap/>
            <w:tcMar>
              <w:top w:w="0" w:type="dxa"/>
              <w:left w:w="70" w:type="dxa"/>
              <w:bottom w:w="0" w:type="dxa"/>
              <w:right w:w="70" w:type="dxa"/>
            </w:tcMar>
            <w:vAlign w:val="bottom"/>
            <w:hideMark/>
          </w:tcPr>
          <w:p w14:paraId="46A88EB5" w14:textId="77777777" w:rsidR="00A47E0D" w:rsidRPr="00A47E0D" w:rsidRDefault="00A47E0D" w:rsidP="00A47E0D">
            <w:pPr>
              <w:spacing w:before="120" w:after="120"/>
              <w:rPr>
                <w:color w:val="000000"/>
                <w:szCs w:val="24"/>
                <w:lang w:eastAsia="fr-FR"/>
              </w:rPr>
            </w:pPr>
            <w:r w:rsidRPr="00A47E0D">
              <w:rPr>
                <w:color w:val="000000"/>
                <w:szCs w:val="24"/>
                <w:lang w:eastAsia="fr-FR"/>
              </w:rPr>
              <w:t>Champ fixe fourni par INRAE</w:t>
            </w:r>
          </w:p>
        </w:tc>
      </w:tr>
      <w:tr w:rsidR="00A47E0D" w:rsidRPr="00A47E0D" w14:paraId="3BB38184" w14:textId="77777777" w:rsidTr="00A47E0D">
        <w:trPr>
          <w:trHeight w:val="300"/>
        </w:trPr>
        <w:tc>
          <w:tcPr>
            <w:tcW w:w="3400" w:type="dxa"/>
            <w:noWrap/>
            <w:tcMar>
              <w:top w:w="0" w:type="dxa"/>
              <w:left w:w="70" w:type="dxa"/>
              <w:bottom w:w="0" w:type="dxa"/>
              <w:right w:w="70" w:type="dxa"/>
            </w:tcMar>
            <w:vAlign w:val="bottom"/>
            <w:hideMark/>
          </w:tcPr>
          <w:p w14:paraId="4702D26A" w14:textId="77777777" w:rsidR="00A47E0D" w:rsidRPr="00A47E0D" w:rsidRDefault="00A47E0D" w:rsidP="00A47E0D">
            <w:pPr>
              <w:spacing w:before="120" w:after="120"/>
              <w:rPr>
                <w:color w:val="000000"/>
                <w:szCs w:val="24"/>
                <w:lang w:eastAsia="fr-FR"/>
              </w:rPr>
            </w:pPr>
            <w:r w:rsidRPr="00A47E0D">
              <w:rPr>
                <w:color w:val="000000"/>
                <w:szCs w:val="24"/>
                <w:lang w:eastAsia="fr-FR"/>
              </w:rPr>
              <w:t>Numéro de commande</w:t>
            </w:r>
          </w:p>
        </w:tc>
        <w:tc>
          <w:tcPr>
            <w:tcW w:w="3940" w:type="dxa"/>
            <w:noWrap/>
            <w:tcMar>
              <w:top w:w="0" w:type="dxa"/>
              <w:left w:w="70" w:type="dxa"/>
              <w:bottom w:w="0" w:type="dxa"/>
              <w:right w:w="70" w:type="dxa"/>
            </w:tcMar>
            <w:vAlign w:val="bottom"/>
            <w:hideMark/>
          </w:tcPr>
          <w:p w14:paraId="524EFFAD" w14:textId="77777777" w:rsidR="00A47E0D" w:rsidRPr="00A47E0D" w:rsidRDefault="00A47E0D" w:rsidP="00A47E0D">
            <w:pPr>
              <w:spacing w:before="120" w:after="120"/>
              <w:rPr>
                <w:color w:val="000000"/>
                <w:szCs w:val="24"/>
                <w:lang w:eastAsia="fr-FR"/>
              </w:rPr>
            </w:pPr>
            <w:r w:rsidRPr="00A47E0D">
              <w:rPr>
                <w:color w:val="000000"/>
                <w:szCs w:val="24"/>
                <w:lang w:eastAsia="fr-FR"/>
              </w:rPr>
              <w:t>Sur 10 caractères et commençant par 45</w:t>
            </w:r>
          </w:p>
        </w:tc>
      </w:tr>
    </w:tbl>
    <w:p w14:paraId="73B2834A" w14:textId="77777777" w:rsidR="00A47E0D" w:rsidRPr="008F76EB" w:rsidRDefault="00A47E0D" w:rsidP="00A47E0D"/>
    <w:p w14:paraId="7081014A" w14:textId="77777777" w:rsidR="00A47E0D" w:rsidRDefault="00A47E0D" w:rsidP="00A25875">
      <w:pPr>
        <w:spacing w:before="100" w:beforeAutospacing="1" w:after="100" w:afterAutospacing="1"/>
        <w:jc w:val="left"/>
        <w:rPr>
          <w:b/>
          <w:bCs/>
        </w:rPr>
      </w:pPr>
    </w:p>
    <w:p w14:paraId="5721CEAC" w14:textId="77777777" w:rsidR="00A47E0D" w:rsidRDefault="00A47E0D" w:rsidP="00A25875">
      <w:pPr>
        <w:spacing w:before="100" w:beforeAutospacing="1" w:after="100" w:afterAutospacing="1"/>
        <w:jc w:val="left"/>
        <w:rPr>
          <w:b/>
          <w:bCs/>
        </w:rPr>
      </w:pPr>
    </w:p>
    <w:p w14:paraId="4400C5A5" w14:textId="77777777" w:rsidR="00A47E0D" w:rsidRDefault="00A47E0D" w:rsidP="00A25875">
      <w:pPr>
        <w:spacing w:before="100" w:beforeAutospacing="1" w:after="100" w:afterAutospacing="1"/>
        <w:jc w:val="left"/>
        <w:rPr>
          <w:b/>
          <w:bCs/>
        </w:rPr>
      </w:pPr>
    </w:p>
    <w:p w14:paraId="7BA94A18" w14:textId="77777777" w:rsidR="00A47E0D" w:rsidRDefault="00A47E0D" w:rsidP="00A25875">
      <w:pPr>
        <w:spacing w:before="100" w:beforeAutospacing="1" w:after="100" w:afterAutospacing="1"/>
        <w:jc w:val="left"/>
        <w:rPr>
          <w:b/>
          <w:bCs/>
        </w:rPr>
      </w:pPr>
    </w:p>
    <w:p w14:paraId="2EFB9100" w14:textId="77777777" w:rsidR="00A47E0D" w:rsidRDefault="00A47E0D" w:rsidP="00A25875">
      <w:pPr>
        <w:spacing w:before="100" w:beforeAutospacing="1" w:after="100" w:afterAutospacing="1"/>
        <w:jc w:val="left"/>
        <w:rPr>
          <w:b/>
          <w:bCs/>
        </w:rPr>
      </w:pPr>
    </w:p>
    <w:p w14:paraId="23F8D3C5" w14:textId="77777777" w:rsidR="00A47E0D" w:rsidRDefault="00A47E0D" w:rsidP="00A25875">
      <w:pPr>
        <w:spacing w:before="100" w:beforeAutospacing="1" w:after="100" w:afterAutospacing="1"/>
        <w:jc w:val="left"/>
        <w:rPr>
          <w:b/>
          <w:bCs/>
        </w:rPr>
      </w:pPr>
    </w:p>
    <w:p w14:paraId="20C88C16" w14:textId="77777777" w:rsidR="00A47E0D" w:rsidRDefault="00A47E0D" w:rsidP="00A25875">
      <w:pPr>
        <w:spacing w:before="100" w:beforeAutospacing="1" w:after="100" w:afterAutospacing="1"/>
        <w:jc w:val="left"/>
        <w:rPr>
          <w:b/>
          <w:bCs/>
        </w:rPr>
      </w:pPr>
    </w:p>
    <w:p w14:paraId="1520C826" w14:textId="77777777" w:rsidR="00A47E0D" w:rsidRDefault="00A47E0D" w:rsidP="00A25875">
      <w:pPr>
        <w:spacing w:before="100" w:beforeAutospacing="1" w:after="100" w:afterAutospacing="1"/>
        <w:jc w:val="left"/>
        <w:rPr>
          <w:b/>
          <w:bCs/>
        </w:rPr>
      </w:pPr>
    </w:p>
    <w:p w14:paraId="322B86A9" w14:textId="77777777" w:rsidR="00A47E0D" w:rsidRDefault="00A47E0D" w:rsidP="00A25875">
      <w:pPr>
        <w:spacing w:before="100" w:beforeAutospacing="1" w:after="100" w:afterAutospacing="1"/>
        <w:jc w:val="left"/>
        <w:rPr>
          <w:b/>
          <w:bCs/>
        </w:rPr>
      </w:pPr>
    </w:p>
    <w:p w14:paraId="20A89665" w14:textId="77777777" w:rsidR="00A47E0D" w:rsidRDefault="00A47E0D" w:rsidP="00A25875">
      <w:pPr>
        <w:spacing w:before="100" w:beforeAutospacing="1" w:after="100" w:afterAutospacing="1"/>
        <w:jc w:val="left"/>
        <w:rPr>
          <w:b/>
          <w:bCs/>
        </w:rPr>
      </w:pPr>
    </w:p>
    <w:p w14:paraId="20036E43" w14:textId="31F47CDF" w:rsidR="00A47E0D" w:rsidRDefault="00A47E0D" w:rsidP="00A25875">
      <w:pPr>
        <w:spacing w:before="100" w:beforeAutospacing="1" w:after="100" w:afterAutospacing="1"/>
        <w:jc w:val="left"/>
        <w:rPr>
          <w:b/>
          <w:bCs/>
        </w:rPr>
      </w:pPr>
    </w:p>
    <w:p w14:paraId="34A24244" w14:textId="22A2A381" w:rsidR="00A47E0D" w:rsidRDefault="00A47E0D" w:rsidP="00011CED">
      <w:pPr>
        <w:pStyle w:val="Titre3"/>
      </w:pPr>
      <w:bookmarkStart w:id="36" w:name="_Toc201856041"/>
      <w:r>
        <w:t>4.5.3 Mise à disposition des relevés</w:t>
      </w:r>
      <w:bookmarkEnd w:id="36"/>
    </w:p>
    <w:p w14:paraId="27B6F53D" w14:textId="5467464E" w:rsidR="00A47E0D" w:rsidRDefault="00A47E0D" w:rsidP="00053C8C">
      <w:pPr>
        <w:spacing w:before="100" w:beforeAutospacing="1" w:after="100" w:afterAutospacing="1"/>
      </w:pPr>
      <w:r>
        <w:t>L</w:t>
      </w:r>
      <w:r w:rsidRPr="00546A98">
        <w:t>es relevés sont transmis par voie électronique (messagerie sécurisée) ou mis à disposition sur la plateforme du titulaire.</w:t>
      </w:r>
    </w:p>
    <w:p w14:paraId="19011241" w14:textId="25CB0306" w:rsidR="00A47E0D" w:rsidRPr="00A47E0D" w:rsidRDefault="00053C8C" w:rsidP="00053C8C">
      <w:pPr>
        <w:spacing w:before="100" w:beforeAutospacing="1" w:after="100" w:afterAutospacing="1"/>
        <w:rPr>
          <w:bCs/>
        </w:rPr>
      </w:pPr>
      <w:r>
        <w:rPr>
          <w:bCs/>
        </w:rPr>
        <w:t>Le</w:t>
      </w:r>
      <w:r w:rsidR="00A47E0D">
        <w:rPr>
          <w:bCs/>
        </w:rPr>
        <w:t xml:space="preserve">s relevés au format csv sont </w:t>
      </w:r>
      <w:r>
        <w:rPr>
          <w:bCs/>
        </w:rPr>
        <w:t>également transmis automatiquement par le titulaire</w:t>
      </w:r>
      <w:r w:rsidR="00A47E0D">
        <w:rPr>
          <w:bCs/>
        </w:rPr>
        <w:t xml:space="preserve"> sur un serveur sécurisé</w:t>
      </w:r>
      <w:r>
        <w:rPr>
          <w:bCs/>
        </w:rPr>
        <w:t xml:space="preserve"> INRAE</w:t>
      </w:r>
      <w:r w:rsidR="00A47E0D">
        <w:rPr>
          <w:bCs/>
        </w:rPr>
        <w:t>.</w:t>
      </w:r>
    </w:p>
    <w:p w14:paraId="1CC29587" w14:textId="1DF9F1F1" w:rsidR="00A25875" w:rsidRDefault="00053C8C" w:rsidP="00011CED">
      <w:pPr>
        <w:pStyle w:val="Titre2"/>
      </w:pPr>
      <w:bookmarkStart w:id="37" w:name="_Toc201856042"/>
      <w:bookmarkEnd w:id="31"/>
      <w:r>
        <w:t xml:space="preserve">4.6 </w:t>
      </w:r>
      <w:r w:rsidR="00A25875" w:rsidRPr="009E209A">
        <w:t>Carte achat niveau 3</w:t>
      </w:r>
      <w:bookmarkEnd w:id="37"/>
    </w:p>
    <w:p w14:paraId="6FEF20E6" w14:textId="77777777" w:rsidR="00A25875" w:rsidRPr="009E209A" w:rsidRDefault="00A25875" w:rsidP="00A25875">
      <w:pPr>
        <w:spacing w:before="100" w:beforeAutospacing="1" w:after="100" w:afterAutospacing="1"/>
        <w:jc w:val="left"/>
      </w:pPr>
      <w:r w:rsidRPr="009E209A">
        <w:t>Éventuellement, en cours d’exécution de l’accord-cadre, la carte de niveau 3 pourra être mise en place pour permettre le paiement de dépenses liées à des marchés publics.</w:t>
      </w:r>
    </w:p>
    <w:p w14:paraId="43CE14FC" w14:textId="67EDF75F" w:rsidR="00A25875" w:rsidRDefault="00A25875" w:rsidP="00A25875">
      <w:pPr>
        <w:spacing w:before="100" w:beforeAutospacing="1" w:after="100" w:afterAutospacing="1"/>
        <w:jc w:val="left"/>
      </w:pPr>
      <w:r w:rsidRPr="009E209A">
        <w:t xml:space="preserve">Celle-ci n’a jamais été mise </w:t>
      </w:r>
      <w:r w:rsidR="002A2A10">
        <w:t xml:space="preserve">en place </w:t>
      </w:r>
      <w:r w:rsidR="005D47DA" w:rsidRPr="009E209A">
        <w:t>par INRAE, mais pourrait faire l’objet d’un projet à venir.</w:t>
      </w:r>
    </w:p>
    <w:p w14:paraId="6705F782" w14:textId="1BA1278C" w:rsidR="00C81C24" w:rsidRDefault="00C81C24" w:rsidP="008B72F3"/>
    <w:p w14:paraId="1076E03B" w14:textId="3B84FE04" w:rsidR="00032F66" w:rsidRDefault="00032F66" w:rsidP="008B72F3"/>
    <w:p w14:paraId="7811BD56" w14:textId="76325D03" w:rsidR="00032F66" w:rsidRDefault="00032F66" w:rsidP="008B72F3"/>
    <w:p w14:paraId="05272FDC" w14:textId="17A7694D" w:rsidR="00032F66" w:rsidRDefault="00032F66" w:rsidP="008B72F3"/>
    <w:p w14:paraId="0C7F5DE2" w14:textId="592DE37A" w:rsidR="00032F66" w:rsidRDefault="00032F66" w:rsidP="008B72F3"/>
    <w:p w14:paraId="507CA213" w14:textId="71888987" w:rsidR="00032F66" w:rsidRDefault="00032F66" w:rsidP="008B72F3"/>
    <w:p w14:paraId="1E10F515" w14:textId="77777777" w:rsidR="00032F66" w:rsidRDefault="00032F66" w:rsidP="008B72F3"/>
    <w:p w14:paraId="2715E95A" w14:textId="0B7D69F7" w:rsidR="00BD7EF5" w:rsidRDefault="008C2530" w:rsidP="00182679">
      <w:pPr>
        <w:pStyle w:val="Titre1"/>
        <w:numPr>
          <w:ilvl w:val="1"/>
          <w:numId w:val="12"/>
        </w:numPr>
        <w:ind w:left="284" w:hanging="284"/>
      </w:pPr>
      <w:bookmarkStart w:id="38" w:name="_Toc201856043"/>
      <w:r>
        <w:t xml:space="preserve">Dispositions spécifiques à la </w:t>
      </w:r>
      <w:r w:rsidR="009A0947">
        <w:t xml:space="preserve">carte </w:t>
      </w:r>
      <w:proofErr w:type="spellStart"/>
      <w:r w:rsidR="009A0947">
        <w:t>corporate</w:t>
      </w:r>
      <w:bookmarkEnd w:id="38"/>
      <w:proofErr w:type="spellEnd"/>
      <w:r w:rsidR="009A0947">
        <w:t xml:space="preserve"> </w:t>
      </w:r>
    </w:p>
    <w:p w14:paraId="37B252D2" w14:textId="77777777" w:rsidR="00B81E8A" w:rsidRPr="00B81E8A" w:rsidRDefault="00B81E8A" w:rsidP="00B81E8A"/>
    <w:p w14:paraId="2DE7FFA5" w14:textId="384720AD" w:rsidR="00053C8C" w:rsidRPr="00053C8C" w:rsidRDefault="00053C8C" w:rsidP="00011CED">
      <w:pPr>
        <w:pStyle w:val="Titre2"/>
      </w:pPr>
      <w:bookmarkStart w:id="39" w:name="_Toc198652578"/>
      <w:bookmarkStart w:id="40" w:name="_Toc201856044"/>
      <w:r>
        <w:t xml:space="preserve">5.1 </w:t>
      </w:r>
      <w:r w:rsidR="009A0947" w:rsidRPr="002F02D6">
        <w:t>Dispositions relatives au porteur</w:t>
      </w:r>
      <w:bookmarkEnd w:id="39"/>
      <w:bookmarkEnd w:id="40"/>
    </w:p>
    <w:p w14:paraId="48BEDE82" w14:textId="54E276E9" w:rsidR="009A0947" w:rsidRPr="00B679AF" w:rsidRDefault="009A0947" w:rsidP="00201CAD">
      <w:pPr>
        <w:spacing w:before="100" w:beforeAutospacing="1" w:after="100" w:afterAutospacing="1"/>
      </w:pPr>
      <w:r w:rsidRPr="00B679AF">
        <w:t xml:space="preserve">Les opérations effectuées avec une carte </w:t>
      </w:r>
      <w:proofErr w:type="spellStart"/>
      <w:r>
        <w:t>corporate</w:t>
      </w:r>
      <w:proofErr w:type="spellEnd"/>
      <w:r w:rsidRPr="00B679AF">
        <w:t xml:space="preserve"> seront domiciliées sur un compte personnel de l’agent INRAE, porteur de la carte, ouvert auprès de l’établissement bancaire de son choix. Ce compte sera domicilié en France (y compris DOM</w:t>
      </w:r>
      <w:r w:rsidR="00A53FBC">
        <w:t>-COM</w:t>
      </w:r>
      <w:r w:rsidRPr="00B679AF">
        <w:t>).</w:t>
      </w:r>
    </w:p>
    <w:p w14:paraId="76B4BEEE" w14:textId="66E497B0" w:rsidR="009A0947" w:rsidRPr="00B679AF" w:rsidRDefault="009A0947" w:rsidP="0030567D">
      <w:pPr>
        <w:spacing w:before="100" w:beforeAutospacing="1" w:after="100" w:afterAutospacing="1"/>
      </w:pPr>
      <w:r w:rsidRPr="00B679AF">
        <w:t xml:space="preserve">Le titulaire informé par INRAE d'une demande de création ou de suppression d’une carte </w:t>
      </w:r>
      <w:proofErr w:type="spellStart"/>
      <w:r>
        <w:t>corporate</w:t>
      </w:r>
      <w:proofErr w:type="spellEnd"/>
      <w:r w:rsidRPr="00B679AF">
        <w:t xml:space="preserve"> devra l’honorer dans les délais indiqués dans son offre</w:t>
      </w:r>
      <w:r w:rsidR="0030567D">
        <w:t xml:space="preserve"> et concernant les créations au plus tard</w:t>
      </w:r>
      <w:r w:rsidR="00A53FBC">
        <w:t xml:space="preserve"> 10</w:t>
      </w:r>
      <w:r w:rsidRPr="00B679AF">
        <w:t xml:space="preserve"> jours </w:t>
      </w:r>
      <w:r w:rsidR="00A53FBC">
        <w:t>ouvré</w:t>
      </w:r>
      <w:r w:rsidRPr="00B679AF">
        <w:t>s tenant compte de l'acheminement postal</w:t>
      </w:r>
      <w:r w:rsidR="0030567D">
        <w:t xml:space="preserve"> à compter de l’envoi de la demande.</w:t>
      </w:r>
    </w:p>
    <w:p w14:paraId="1850FD56" w14:textId="77777777" w:rsidR="009A0947" w:rsidRPr="00B679AF" w:rsidRDefault="009A0947" w:rsidP="00053C8C">
      <w:pPr>
        <w:spacing w:before="100" w:beforeAutospacing="1"/>
        <w:jc w:val="left"/>
      </w:pPr>
      <w:r w:rsidRPr="00B679AF">
        <w:t>Dans le cas d’une demande de création, le titulaire est tenu de :</w:t>
      </w:r>
    </w:p>
    <w:p w14:paraId="76138EA0" w14:textId="29469059" w:rsidR="009A0947" w:rsidRPr="00B679AF" w:rsidRDefault="009A0947" w:rsidP="00182679">
      <w:pPr>
        <w:numPr>
          <w:ilvl w:val="0"/>
          <w:numId w:val="25"/>
        </w:numPr>
        <w:spacing w:after="100" w:afterAutospacing="1"/>
        <w:jc w:val="left"/>
      </w:pPr>
      <w:proofErr w:type="gramStart"/>
      <w:r w:rsidRPr="00B679AF">
        <w:t>créer</w:t>
      </w:r>
      <w:proofErr w:type="gramEnd"/>
      <w:r w:rsidRPr="00B679AF">
        <w:t xml:space="preserve"> un compte bancaire associé et un accès </w:t>
      </w:r>
      <w:r w:rsidR="0030567D">
        <w:t>à une solution de gestion en ligne</w:t>
      </w:r>
      <w:r w:rsidRPr="00B679AF">
        <w:t xml:space="preserve"> ;</w:t>
      </w:r>
    </w:p>
    <w:p w14:paraId="67538DC7" w14:textId="61C405FC" w:rsidR="009A0947" w:rsidRPr="00B679AF" w:rsidRDefault="009A0947" w:rsidP="00182679">
      <w:pPr>
        <w:numPr>
          <w:ilvl w:val="0"/>
          <w:numId w:val="25"/>
        </w:numPr>
        <w:spacing w:after="100" w:afterAutospacing="1"/>
      </w:pPr>
      <w:proofErr w:type="gramStart"/>
      <w:r w:rsidRPr="00B679AF">
        <w:t>créer</w:t>
      </w:r>
      <w:proofErr w:type="gramEnd"/>
      <w:r w:rsidRPr="00B679AF">
        <w:t xml:space="preserve"> physiquement la carte et l’envoyer à l’adresse du Centre INRAE d’affectation, tel</w:t>
      </w:r>
      <w:r w:rsidR="0030567D">
        <w:t>le</w:t>
      </w:r>
      <w:r w:rsidRPr="00B679AF">
        <w:t xml:space="preserve"> que référencée en annexe au CCA</w:t>
      </w:r>
      <w:r w:rsidR="0030567D">
        <w:t>P</w:t>
      </w:r>
      <w:r w:rsidRPr="00B679AF">
        <w:t xml:space="preserve"> ;</w:t>
      </w:r>
    </w:p>
    <w:p w14:paraId="0B72FCAA" w14:textId="77777777" w:rsidR="009A0947" w:rsidRPr="00B679AF" w:rsidRDefault="009A0947" w:rsidP="00182679">
      <w:pPr>
        <w:numPr>
          <w:ilvl w:val="0"/>
          <w:numId w:val="25"/>
        </w:numPr>
      </w:pPr>
      <w:proofErr w:type="gramStart"/>
      <w:r w:rsidRPr="00B679AF">
        <w:t>envoyer</w:t>
      </w:r>
      <w:proofErr w:type="gramEnd"/>
      <w:r w:rsidRPr="00B679AF">
        <w:t xml:space="preserve"> son code au </w:t>
      </w:r>
      <w:r w:rsidRPr="009A0947">
        <w:t>porteur.</w:t>
      </w:r>
    </w:p>
    <w:p w14:paraId="6964FE8B" w14:textId="77777777" w:rsidR="009A0947" w:rsidRPr="009A0947" w:rsidRDefault="009A0947" w:rsidP="009A0947"/>
    <w:p w14:paraId="739B2F8C" w14:textId="70B4A1A4" w:rsidR="006C351E" w:rsidRPr="00053C8C" w:rsidRDefault="00053C8C" w:rsidP="00011CED">
      <w:pPr>
        <w:pStyle w:val="Titre2"/>
      </w:pPr>
      <w:bookmarkStart w:id="41" w:name="_Toc201856045"/>
      <w:r>
        <w:t xml:space="preserve">5.2 </w:t>
      </w:r>
      <w:r w:rsidR="006C351E" w:rsidRPr="00053C8C">
        <w:t xml:space="preserve">Paramétrage </w:t>
      </w:r>
      <w:r w:rsidR="003D44B7" w:rsidRPr="00053C8C">
        <w:t xml:space="preserve">des droits </w:t>
      </w:r>
      <w:r w:rsidR="006C351E" w:rsidRPr="00053C8C">
        <w:t>d</w:t>
      </w:r>
      <w:r w:rsidR="003D44B7" w:rsidRPr="00053C8C">
        <w:t>u porteur</w:t>
      </w:r>
      <w:bookmarkEnd w:id="41"/>
      <w:r w:rsidR="003D44B7" w:rsidRPr="00053C8C">
        <w:t xml:space="preserve"> </w:t>
      </w:r>
    </w:p>
    <w:p w14:paraId="237BF483" w14:textId="031CD1E1" w:rsidR="006C351E" w:rsidRDefault="006C351E" w:rsidP="0030567D">
      <w:pPr>
        <w:spacing w:before="100" w:beforeAutospacing="1" w:after="100" w:afterAutospacing="1"/>
      </w:pPr>
      <w:r w:rsidRPr="00BB26A0">
        <w:t>À la création des cartes, les droits des porteurs correspondront aux paramètres standards du titulaire et pourront être modifiés à la demande de chaque porteur.</w:t>
      </w:r>
    </w:p>
    <w:p w14:paraId="03AC6136" w14:textId="76C65AD1" w:rsidR="00B53FD5" w:rsidRDefault="00B53FD5" w:rsidP="0030567D">
      <w:pPr>
        <w:spacing w:before="100" w:beforeAutospacing="1" w:after="100" w:afterAutospacing="1"/>
      </w:pPr>
      <w:r>
        <w:t>L’offre du titulaire précise les paramètres standards et les modifications possibles.</w:t>
      </w:r>
    </w:p>
    <w:p w14:paraId="7886AA64" w14:textId="70F0CB6F" w:rsidR="003D44B7" w:rsidRPr="003B7DDC" w:rsidRDefault="00053C8C" w:rsidP="00011CED">
      <w:pPr>
        <w:pStyle w:val="Titre2"/>
      </w:pPr>
      <w:bookmarkStart w:id="42" w:name="_Toc198652580"/>
      <w:bookmarkStart w:id="43" w:name="_Toc201856046"/>
      <w:r>
        <w:t xml:space="preserve">5.3 </w:t>
      </w:r>
      <w:r w:rsidR="003D44B7" w:rsidRPr="002F02D6">
        <w:t xml:space="preserve">Gestion du parc des cartes </w:t>
      </w:r>
      <w:proofErr w:type="spellStart"/>
      <w:r w:rsidR="003D44B7" w:rsidRPr="002F02D6">
        <w:t>corporate</w:t>
      </w:r>
      <w:bookmarkEnd w:id="42"/>
      <w:bookmarkEnd w:id="43"/>
      <w:proofErr w:type="spellEnd"/>
    </w:p>
    <w:p w14:paraId="6143B949" w14:textId="367167D2" w:rsidR="003D44B7" w:rsidRDefault="00B53FD5" w:rsidP="00B53FD5">
      <w:pPr>
        <w:spacing w:before="100" w:beforeAutospacing="1" w:after="100" w:afterAutospacing="1"/>
      </w:pPr>
      <w:r>
        <w:t>S</w:t>
      </w:r>
      <w:r w:rsidRPr="00BB26A0">
        <w:t>ur chaque centre</w:t>
      </w:r>
      <w:r>
        <w:t xml:space="preserve">, des </w:t>
      </w:r>
      <w:r w:rsidR="003D44B7" w:rsidRPr="00BB26A0">
        <w:t xml:space="preserve">personnes seront désignées par INRAE pour gérer le parc des cartes </w:t>
      </w:r>
      <w:proofErr w:type="spellStart"/>
      <w:r w:rsidR="003D44B7">
        <w:t>corporate</w:t>
      </w:r>
      <w:proofErr w:type="spellEnd"/>
      <w:r w:rsidR="003D44B7">
        <w:t xml:space="preserve"> </w:t>
      </w:r>
      <w:r w:rsidR="003D44B7" w:rsidRPr="00BB26A0">
        <w:t>du centre concerné. L</w:t>
      </w:r>
      <w:r>
        <w:t xml:space="preserve">es informations indispensables à la création des comptes des gestionnaires de parc </w:t>
      </w:r>
      <w:r w:rsidR="003D44B7" w:rsidRPr="00BB26A0">
        <w:t xml:space="preserve">seront adressées par </w:t>
      </w:r>
      <w:r>
        <w:t xml:space="preserve">INRAE </w:t>
      </w:r>
      <w:r w:rsidR="003D44B7" w:rsidRPr="00BB26A0">
        <w:t>au titulaire au démarrage de l’accord-cadre</w:t>
      </w:r>
      <w:r>
        <w:t>. Celui-ci prévoit la création en masse des comptes concernés.</w:t>
      </w:r>
    </w:p>
    <w:p w14:paraId="2B261CEA" w14:textId="6918570E" w:rsidR="00B53FD5" w:rsidRPr="00BB26A0" w:rsidRDefault="00B53FD5" w:rsidP="00B53FD5">
      <w:pPr>
        <w:spacing w:before="100" w:beforeAutospacing="1" w:after="100" w:afterAutospacing="1"/>
      </w:pPr>
      <w:r>
        <w:t>Le titulaire précise également les modalités de suppression et d’ajout de gestionnaires de parc.</w:t>
      </w:r>
    </w:p>
    <w:p w14:paraId="101D131F" w14:textId="52838565" w:rsidR="00F37F50" w:rsidRPr="00F37F50" w:rsidRDefault="00053C8C" w:rsidP="00011CED">
      <w:pPr>
        <w:pStyle w:val="Titre2"/>
      </w:pPr>
      <w:bookmarkStart w:id="44" w:name="_Toc201856047"/>
      <w:r>
        <w:t xml:space="preserve">5.4 </w:t>
      </w:r>
      <w:r w:rsidR="002F02D6" w:rsidRPr="00053C8C">
        <w:t>Réception des cartes</w:t>
      </w:r>
      <w:bookmarkEnd w:id="44"/>
    </w:p>
    <w:p w14:paraId="3CA26DF7" w14:textId="77777777" w:rsidR="00BB26A0" w:rsidRPr="00BB26A0" w:rsidRDefault="00BB26A0" w:rsidP="00BB26A0">
      <w:pPr>
        <w:spacing w:before="100" w:beforeAutospacing="1" w:after="100" w:afterAutospacing="1"/>
        <w:jc w:val="left"/>
      </w:pPr>
      <w:r w:rsidRPr="00BB26A0">
        <w:t>Les cartes devront être adressées aux personnes désignées par INRAE.</w:t>
      </w:r>
    </w:p>
    <w:p w14:paraId="5B5F5FC7" w14:textId="2E0D6090" w:rsidR="003D44B7" w:rsidRDefault="003D44B7" w:rsidP="00C768B4">
      <w:pPr>
        <w:spacing w:before="100" w:beforeAutospacing="1" w:after="100" w:afterAutospacing="1"/>
      </w:pPr>
      <w:r>
        <w:t>E</w:t>
      </w:r>
      <w:r w:rsidRPr="00BB26A0">
        <w:t>n cas de refus d’attribution d’une carte</w:t>
      </w:r>
      <w:r w:rsidR="00C768B4">
        <w:t xml:space="preserve"> par </w:t>
      </w:r>
      <w:r>
        <w:t>le titulaire</w:t>
      </w:r>
      <w:r w:rsidR="00C768B4">
        <w:t>, celui-ci</w:t>
      </w:r>
      <w:r>
        <w:t xml:space="preserve"> adresse </w:t>
      </w:r>
      <w:r w:rsidR="00C768B4">
        <w:t xml:space="preserve">son refus </w:t>
      </w:r>
      <w:r>
        <w:t>directement au demandeur.</w:t>
      </w:r>
    </w:p>
    <w:p w14:paraId="24EEF66E" w14:textId="2D969FAA" w:rsidR="002F02D6" w:rsidRPr="00053C8C" w:rsidRDefault="00053C8C" w:rsidP="00011CED">
      <w:pPr>
        <w:pStyle w:val="Titre2"/>
      </w:pPr>
      <w:bookmarkStart w:id="45" w:name="_Toc201856048"/>
      <w:r w:rsidRPr="00053C8C">
        <w:t xml:space="preserve">5.5 </w:t>
      </w:r>
      <w:r w:rsidR="002F02D6" w:rsidRPr="00053C8C">
        <w:t>Solidarité entre l’établissement et le porteur de carte</w:t>
      </w:r>
      <w:bookmarkEnd w:id="45"/>
    </w:p>
    <w:p w14:paraId="2B9B6656" w14:textId="776E661A" w:rsidR="00BB26A0" w:rsidRPr="00BB26A0" w:rsidRDefault="003D44B7" w:rsidP="0064031B">
      <w:pPr>
        <w:spacing w:before="100" w:beforeAutospacing="1" w:after="100" w:afterAutospacing="1"/>
      </w:pPr>
      <w:r>
        <w:t>INRAE</w:t>
      </w:r>
      <w:r w:rsidR="00BB26A0" w:rsidRPr="00BB26A0">
        <w:t xml:space="preserve"> n’est en aucun cas solidaire des porteurs de carte </w:t>
      </w:r>
      <w:proofErr w:type="spellStart"/>
      <w:r w:rsidR="00B81E8A">
        <w:t>corporate</w:t>
      </w:r>
      <w:proofErr w:type="spellEnd"/>
      <w:r w:rsidR="00BB26A0" w:rsidRPr="00BB26A0">
        <w:t xml:space="preserve"> en ce qui concerne les conséquences financières résultant de l’utilisation et de la conservation des cartes par ceux-ci.</w:t>
      </w:r>
    </w:p>
    <w:p w14:paraId="03B1C265" w14:textId="049D9C9E" w:rsidR="00BB26A0" w:rsidRPr="00BB26A0" w:rsidRDefault="00BB26A0" w:rsidP="0064031B">
      <w:pPr>
        <w:spacing w:before="100" w:beforeAutospacing="1" w:after="100" w:afterAutospacing="1"/>
      </w:pPr>
      <w:r w:rsidRPr="00BB26A0">
        <w:lastRenderedPageBreak/>
        <w:t>Les frais afférents à ces aléas de gestion et par ailleurs définis dans l’offre du titulaire sont imputés directement sur le compte du porteur.</w:t>
      </w:r>
    </w:p>
    <w:p w14:paraId="3FC94988" w14:textId="55E2779A" w:rsidR="002F02D6" w:rsidRPr="00053C8C" w:rsidRDefault="00053C8C" w:rsidP="00011CED">
      <w:pPr>
        <w:pStyle w:val="Titre2"/>
      </w:pPr>
      <w:bookmarkStart w:id="46" w:name="_Toc201856049"/>
      <w:r>
        <w:t xml:space="preserve">5.6 </w:t>
      </w:r>
      <w:r w:rsidR="002F02D6" w:rsidRPr="00053C8C">
        <w:t>Code confidentiel</w:t>
      </w:r>
      <w:bookmarkEnd w:id="46"/>
    </w:p>
    <w:p w14:paraId="515C6EE8" w14:textId="3C0FE7F5" w:rsidR="009F16FE" w:rsidRDefault="009F16FE" w:rsidP="009F16FE">
      <w:pPr>
        <w:spacing w:before="100" w:beforeAutospacing="1" w:after="100" w:afterAutospacing="1"/>
      </w:pPr>
      <w:r w:rsidRPr="00BB26A0">
        <w:t>Le titulaire</w:t>
      </w:r>
      <w:r>
        <w:t xml:space="preserve"> précise dans son offre les modalités de transmission du code confidentiel au porteur de la carte </w:t>
      </w:r>
      <w:proofErr w:type="spellStart"/>
      <w:r>
        <w:t>corporate</w:t>
      </w:r>
      <w:proofErr w:type="spellEnd"/>
      <w:r>
        <w:t>.</w:t>
      </w:r>
      <w:r w:rsidRPr="00BB26A0">
        <w:t xml:space="preserve"> </w:t>
      </w:r>
    </w:p>
    <w:p w14:paraId="0ADD0DF1" w14:textId="1050FE6C" w:rsidR="002F02D6" w:rsidRPr="00053C8C" w:rsidRDefault="00053C8C" w:rsidP="00011CED">
      <w:pPr>
        <w:pStyle w:val="Titre2"/>
      </w:pPr>
      <w:bookmarkStart w:id="47" w:name="_Toc201856050"/>
      <w:r>
        <w:t xml:space="preserve">5.7 </w:t>
      </w:r>
      <w:r w:rsidR="002F02D6" w:rsidRPr="00053C8C">
        <w:t>Débit différé</w:t>
      </w:r>
      <w:bookmarkEnd w:id="47"/>
    </w:p>
    <w:p w14:paraId="68D18FF1" w14:textId="089E8790" w:rsidR="0030515A" w:rsidRDefault="00471E8B" w:rsidP="00E63F5D">
      <w:pPr>
        <w:spacing w:before="100" w:beforeAutospacing="1" w:after="100" w:afterAutospacing="1"/>
        <w:jc w:val="left"/>
      </w:pPr>
      <w:r w:rsidRPr="00D33726">
        <w:t xml:space="preserve">Les opérations réalisées avec la carte </w:t>
      </w:r>
      <w:proofErr w:type="spellStart"/>
      <w:r w:rsidRPr="00D33726">
        <w:t>corporate</w:t>
      </w:r>
      <w:proofErr w:type="spellEnd"/>
      <w:r w:rsidRPr="00D33726">
        <w:t xml:space="preserve"> doivent faire l’objet d’un débit différé</w:t>
      </w:r>
      <w:r w:rsidR="00C520CE" w:rsidRPr="00D33726">
        <w:t xml:space="preserve"> minimum de </w:t>
      </w:r>
      <w:r w:rsidR="00F5541A">
        <w:t>5</w:t>
      </w:r>
      <w:r w:rsidR="0086668B">
        <w:t>0</w:t>
      </w:r>
      <w:r w:rsidR="00C520CE" w:rsidRPr="00D33726">
        <w:t xml:space="preserve"> jours.</w:t>
      </w:r>
      <w:r w:rsidRPr="00D33726">
        <w:t xml:space="preserve"> Le titulaire </w:t>
      </w:r>
      <w:r w:rsidR="003D4307">
        <w:t>précise</w:t>
      </w:r>
      <w:r w:rsidRPr="00D33726">
        <w:t xml:space="preserve"> </w:t>
      </w:r>
      <w:r w:rsidR="0086668B">
        <w:t>dans son offre le</w:t>
      </w:r>
      <w:r w:rsidRPr="00D33726">
        <w:t xml:space="preserve"> délai de débit différé </w:t>
      </w:r>
      <w:r w:rsidR="003D4307">
        <w:t>maximum qu’il peut proposer</w:t>
      </w:r>
      <w:r w:rsidRPr="00D33726">
        <w:t>.</w:t>
      </w:r>
    </w:p>
    <w:p w14:paraId="67FC8417" w14:textId="5255B3BB" w:rsidR="006C351E" w:rsidRPr="00053C8C" w:rsidRDefault="00053C8C" w:rsidP="00011CED">
      <w:pPr>
        <w:pStyle w:val="Titre2"/>
      </w:pPr>
      <w:bookmarkStart w:id="48" w:name="_Toc198652585"/>
      <w:bookmarkStart w:id="49" w:name="_Toc201856051"/>
      <w:r>
        <w:t xml:space="preserve">5.8 </w:t>
      </w:r>
      <w:r w:rsidR="006C351E" w:rsidRPr="00053C8C">
        <w:t>Relevés d’opérations</w:t>
      </w:r>
      <w:bookmarkEnd w:id="48"/>
      <w:bookmarkEnd w:id="49"/>
    </w:p>
    <w:p w14:paraId="5D64674E" w14:textId="215B14CC" w:rsidR="006C351E" w:rsidRDefault="00F5541A" w:rsidP="00F5541A">
      <w:pPr>
        <w:spacing w:before="100" w:beforeAutospacing="1" w:after="100" w:afterAutospacing="1"/>
      </w:pPr>
      <w:r>
        <w:t xml:space="preserve">L’offre du </w:t>
      </w:r>
      <w:r w:rsidR="006C351E" w:rsidRPr="00BB26A0">
        <w:t xml:space="preserve">titulaire </w:t>
      </w:r>
      <w:r>
        <w:t>précise les modalités de mise</w:t>
      </w:r>
      <w:r w:rsidR="006C351E" w:rsidRPr="00BB26A0">
        <w:t xml:space="preserve"> à disposition du porteur </w:t>
      </w:r>
      <w:r w:rsidR="00421466">
        <w:t>du</w:t>
      </w:r>
      <w:r w:rsidR="006C351E" w:rsidRPr="00BB26A0">
        <w:t xml:space="preserve"> détail de ses opérations de paiements et de retraits et </w:t>
      </w:r>
      <w:r w:rsidR="00421466">
        <w:t>du</w:t>
      </w:r>
      <w:r w:rsidR="006C351E" w:rsidRPr="00BB26A0">
        <w:t xml:space="preserve"> relevé d’opérations au format </w:t>
      </w:r>
      <w:proofErr w:type="spellStart"/>
      <w:r w:rsidR="006C351E" w:rsidRPr="00BB26A0">
        <w:t>pdf</w:t>
      </w:r>
      <w:proofErr w:type="spellEnd"/>
      <w:r w:rsidR="006C351E" w:rsidRPr="00BB26A0">
        <w:t>.</w:t>
      </w:r>
    </w:p>
    <w:p w14:paraId="684E43FB" w14:textId="06676E58" w:rsidR="006258F9" w:rsidRDefault="00162412" w:rsidP="00F5541A">
      <w:pPr>
        <w:spacing w:before="100" w:beforeAutospacing="1" w:after="100" w:afterAutospacing="1"/>
      </w:pPr>
      <w:r>
        <w:t xml:space="preserve">INRAE se réserve le droit d’appliquer des pénalités en cas de </w:t>
      </w:r>
      <w:r w:rsidR="006C351E" w:rsidRPr="00390F4D">
        <w:t>défaillance dans la transmission des relevés dans les formats attendus ou dans le respect du planning.</w:t>
      </w:r>
    </w:p>
    <w:p w14:paraId="4900ECA0" w14:textId="77777777" w:rsidR="00112BDB" w:rsidRDefault="00112BDB" w:rsidP="00F5541A">
      <w:pPr>
        <w:spacing w:before="100" w:beforeAutospacing="1" w:after="100" w:afterAutospacing="1"/>
      </w:pPr>
    </w:p>
    <w:p w14:paraId="0A52D3AA" w14:textId="364C83CE" w:rsidR="00A25875" w:rsidRDefault="00046E79" w:rsidP="00A25875">
      <w:pPr>
        <w:pStyle w:val="Titre1"/>
      </w:pPr>
      <w:bookmarkStart w:id="50" w:name="_Toc201856052"/>
      <w:r>
        <w:t xml:space="preserve">Prestations </w:t>
      </w:r>
      <w:r w:rsidR="00426F31">
        <w:t>complémentaires</w:t>
      </w:r>
      <w:bookmarkEnd w:id="50"/>
    </w:p>
    <w:p w14:paraId="30695778" w14:textId="77777777" w:rsidR="00426F31" w:rsidRPr="00426F31" w:rsidRDefault="00426F31" w:rsidP="00426F31"/>
    <w:p w14:paraId="5ABB2C18" w14:textId="0B7B1158" w:rsidR="00A25875" w:rsidRDefault="005251E6" w:rsidP="00011CED">
      <w:pPr>
        <w:pStyle w:val="Titre2"/>
      </w:pPr>
      <w:bookmarkStart w:id="51" w:name="_Toc201856053"/>
      <w:r>
        <w:t xml:space="preserve">6.1 </w:t>
      </w:r>
      <w:r w:rsidR="00A25875" w:rsidRPr="00654F4B">
        <w:t xml:space="preserve">Outils de gestion, </w:t>
      </w:r>
      <w:proofErr w:type="spellStart"/>
      <w:r w:rsidR="00A25875" w:rsidRPr="00654F4B">
        <w:t>reporting</w:t>
      </w:r>
      <w:proofErr w:type="spellEnd"/>
      <w:r w:rsidR="00A25875">
        <w:t xml:space="preserve"> et services associés</w:t>
      </w:r>
      <w:bookmarkEnd w:id="51"/>
      <w:r w:rsidR="00A25875">
        <w:t xml:space="preserve"> </w:t>
      </w:r>
    </w:p>
    <w:p w14:paraId="59976FFB" w14:textId="701F82FB" w:rsidR="00A25875" w:rsidRPr="006E11AB" w:rsidRDefault="005251E6" w:rsidP="00011CED">
      <w:pPr>
        <w:pStyle w:val="Titre3"/>
      </w:pPr>
      <w:bookmarkStart w:id="52" w:name="_Toc201856054"/>
      <w:r>
        <w:t xml:space="preserve">6.1.1 </w:t>
      </w:r>
      <w:r w:rsidR="00A25875" w:rsidRPr="006E11AB">
        <w:t>Outils de gestion des cartes</w:t>
      </w:r>
      <w:bookmarkEnd w:id="52"/>
    </w:p>
    <w:p w14:paraId="21AFD32B" w14:textId="51538812" w:rsidR="00A25875" w:rsidRDefault="00A25875" w:rsidP="00A25875">
      <w:r w:rsidRPr="006E11AB">
        <w:t>L</w:t>
      </w:r>
      <w:r>
        <w:t>’offre du titulaire décrit l</w:t>
      </w:r>
      <w:r w:rsidR="00584999">
        <w:t>’</w:t>
      </w:r>
      <w:r w:rsidRPr="006E11AB">
        <w:t>outil informatique permettant d’assurer la gestion d</w:t>
      </w:r>
      <w:r w:rsidR="000341ED">
        <w:t>es</w:t>
      </w:r>
      <w:r w:rsidRPr="006E11AB">
        <w:t xml:space="preserve"> parc</w:t>
      </w:r>
      <w:r w:rsidR="000341ED">
        <w:t>s</w:t>
      </w:r>
      <w:r w:rsidRPr="006E11AB">
        <w:t xml:space="preserve"> de cartes </w:t>
      </w:r>
      <w:r w:rsidRPr="006E11AB">
        <w:rPr>
          <w:b/>
          <w:bCs/>
        </w:rPr>
        <w:t>achat</w:t>
      </w:r>
      <w:r w:rsidRPr="006E11AB">
        <w:t xml:space="preserve"> et </w:t>
      </w:r>
      <w:proofErr w:type="spellStart"/>
      <w:r w:rsidRPr="006E11AB">
        <w:rPr>
          <w:b/>
          <w:bCs/>
        </w:rPr>
        <w:t>corporate</w:t>
      </w:r>
      <w:proofErr w:type="spellEnd"/>
      <w:r w:rsidRPr="006E11AB">
        <w:t>.</w:t>
      </w:r>
    </w:p>
    <w:p w14:paraId="7144CA12" w14:textId="4320F693" w:rsidR="00A25875" w:rsidRPr="00BB3803" w:rsidRDefault="00A25875" w:rsidP="00EC5675">
      <w:pPr>
        <w:spacing w:before="100" w:beforeAutospacing="1"/>
      </w:pPr>
      <w:r w:rsidRPr="00BB3803">
        <w:t>L’outil mis à disposition doit permettre</w:t>
      </w:r>
      <w:r w:rsidR="00B53FD5">
        <w:t xml:space="preserve"> notamment</w:t>
      </w:r>
      <w:r w:rsidRPr="00BB3803">
        <w:t xml:space="preserve"> aux</w:t>
      </w:r>
      <w:r>
        <w:t xml:space="preserve"> </w:t>
      </w:r>
      <w:r w:rsidR="009E209A">
        <w:t>référent</w:t>
      </w:r>
      <w:r>
        <w:t xml:space="preserve">s nationaux </w:t>
      </w:r>
      <w:r w:rsidRPr="009E209A">
        <w:t xml:space="preserve">et aux gestionnaires </w:t>
      </w:r>
      <w:r w:rsidR="009E209A" w:rsidRPr="009E209A">
        <w:t xml:space="preserve">de parc sur les centres </w:t>
      </w:r>
      <w:r w:rsidRPr="009E209A">
        <w:t>désignés par INRAE :</w:t>
      </w:r>
    </w:p>
    <w:p w14:paraId="7709103E" w14:textId="6B39321F" w:rsidR="00A25875" w:rsidRPr="00BB3803" w:rsidRDefault="00A25875" w:rsidP="00182679">
      <w:pPr>
        <w:numPr>
          <w:ilvl w:val="0"/>
          <w:numId w:val="36"/>
        </w:numPr>
        <w:spacing w:after="100" w:afterAutospacing="1"/>
      </w:pPr>
      <w:proofErr w:type="gramStart"/>
      <w:r w:rsidRPr="00BB3803">
        <w:t>d’accéder</w:t>
      </w:r>
      <w:proofErr w:type="gramEnd"/>
      <w:r w:rsidRPr="00BB3803">
        <w:t xml:space="preserve"> aux informations sur les cartes, leur paramétrage et leur état (actives, suspendues, en opposition</w:t>
      </w:r>
      <w:r w:rsidR="000341ED">
        <w:t>…</w:t>
      </w:r>
      <w:r w:rsidRPr="00BB3803">
        <w:t>) ;</w:t>
      </w:r>
    </w:p>
    <w:p w14:paraId="31C11688" w14:textId="77777777" w:rsidR="00A25875" w:rsidRPr="00BB3803" w:rsidRDefault="00A25875" w:rsidP="00182679">
      <w:pPr>
        <w:numPr>
          <w:ilvl w:val="0"/>
          <w:numId w:val="36"/>
        </w:numPr>
        <w:spacing w:before="100" w:beforeAutospacing="1" w:after="100" w:afterAutospacing="1"/>
      </w:pPr>
      <w:proofErr w:type="gramStart"/>
      <w:r w:rsidRPr="00BB3803">
        <w:t>de</w:t>
      </w:r>
      <w:proofErr w:type="gramEnd"/>
      <w:r w:rsidRPr="00BB3803">
        <w:t xml:space="preserve"> demander la création, modification ou suppression de cartes ;</w:t>
      </w:r>
    </w:p>
    <w:p w14:paraId="578A2A8F" w14:textId="77777777" w:rsidR="00A25875" w:rsidRPr="00BB3803" w:rsidRDefault="00A25875" w:rsidP="00182679">
      <w:pPr>
        <w:numPr>
          <w:ilvl w:val="0"/>
          <w:numId w:val="36"/>
        </w:numPr>
        <w:spacing w:before="100" w:beforeAutospacing="1" w:after="100" w:afterAutospacing="1"/>
      </w:pPr>
      <w:proofErr w:type="gramStart"/>
      <w:r w:rsidRPr="00BB3803">
        <w:t>de</w:t>
      </w:r>
      <w:proofErr w:type="gramEnd"/>
      <w:r w:rsidRPr="00BB3803">
        <w:t xml:space="preserve"> contrôler les opérations réalisées par les porteurs ;</w:t>
      </w:r>
    </w:p>
    <w:p w14:paraId="6A8F90E7" w14:textId="1C4F1B53" w:rsidR="00A25875" w:rsidRPr="00BB3803" w:rsidRDefault="00A25875" w:rsidP="00182679">
      <w:pPr>
        <w:numPr>
          <w:ilvl w:val="0"/>
          <w:numId w:val="36"/>
        </w:numPr>
        <w:spacing w:before="100" w:beforeAutospacing="1" w:after="100" w:afterAutospacing="1"/>
      </w:pPr>
      <w:proofErr w:type="gramStart"/>
      <w:r w:rsidRPr="00BB3803">
        <w:t>d’exporter</w:t>
      </w:r>
      <w:proofErr w:type="gramEnd"/>
      <w:r w:rsidRPr="00BB3803">
        <w:t xml:space="preserve"> les données brutes relatives aux opérations, sous format exploitable (</w:t>
      </w:r>
      <w:proofErr w:type="spellStart"/>
      <w:r w:rsidRPr="00BB3803">
        <w:t>xls</w:t>
      </w:r>
      <w:proofErr w:type="spellEnd"/>
      <w:r w:rsidRPr="00BB3803">
        <w:t>, csv) ;</w:t>
      </w:r>
    </w:p>
    <w:p w14:paraId="20B6EFC5" w14:textId="1C6A17F5" w:rsidR="00A25875" w:rsidRPr="00BB3803" w:rsidRDefault="00A25875" w:rsidP="00E513F6">
      <w:pPr>
        <w:numPr>
          <w:ilvl w:val="0"/>
          <w:numId w:val="36"/>
        </w:numPr>
      </w:pPr>
      <w:proofErr w:type="gramStart"/>
      <w:r w:rsidRPr="00BB3803">
        <w:t>de</w:t>
      </w:r>
      <w:proofErr w:type="gramEnd"/>
      <w:r w:rsidRPr="00BB3803">
        <w:t xml:space="preserve"> </w:t>
      </w:r>
      <w:r>
        <w:t>télécharger les relevés d’opérations</w:t>
      </w:r>
      <w:r w:rsidR="000341ED">
        <w:t>.</w:t>
      </w:r>
    </w:p>
    <w:p w14:paraId="25192A17" w14:textId="77777777" w:rsidR="00A25875" w:rsidRDefault="00A25875" w:rsidP="00A25875"/>
    <w:p w14:paraId="63E3FEAA" w14:textId="64272000" w:rsidR="00A25875" w:rsidRPr="003E3C34" w:rsidRDefault="00A25875" w:rsidP="00A25875">
      <w:r w:rsidRPr="003E3C34">
        <w:t>L’accès porteur doit permettre, a minima, de consulter en temps réel :</w:t>
      </w:r>
    </w:p>
    <w:p w14:paraId="3CADB120" w14:textId="77777777" w:rsidR="00A25875" w:rsidRPr="003E3C34" w:rsidRDefault="00A25875" w:rsidP="00182679">
      <w:pPr>
        <w:numPr>
          <w:ilvl w:val="0"/>
          <w:numId w:val="35"/>
        </w:numPr>
      </w:pPr>
      <w:proofErr w:type="gramStart"/>
      <w:r w:rsidRPr="003E3C34">
        <w:t>le</w:t>
      </w:r>
      <w:proofErr w:type="gramEnd"/>
      <w:r w:rsidRPr="003E3C34">
        <w:t xml:space="preserve"> solde ou l’encours disponible ;</w:t>
      </w:r>
    </w:p>
    <w:p w14:paraId="6E70EBA5" w14:textId="77777777" w:rsidR="00A25875" w:rsidRPr="003E3C34" w:rsidRDefault="00A25875" w:rsidP="00182679">
      <w:pPr>
        <w:numPr>
          <w:ilvl w:val="0"/>
          <w:numId w:val="35"/>
        </w:numPr>
      </w:pPr>
      <w:proofErr w:type="gramStart"/>
      <w:r w:rsidRPr="003E3C34">
        <w:t>les</w:t>
      </w:r>
      <w:proofErr w:type="gramEnd"/>
      <w:r w:rsidRPr="003E3C34">
        <w:t xml:space="preserve"> opérations réalisées ;</w:t>
      </w:r>
    </w:p>
    <w:p w14:paraId="7D0CFCAB" w14:textId="77777777" w:rsidR="00A25875" w:rsidRDefault="00A25875" w:rsidP="00182679">
      <w:pPr>
        <w:numPr>
          <w:ilvl w:val="0"/>
          <w:numId w:val="35"/>
        </w:numPr>
      </w:pPr>
      <w:proofErr w:type="gramStart"/>
      <w:r w:rsidRPr="003E3C34">
        <w:t>les</w:t>
      </w:r>
      <w:proofErr w:type="gramEnd"/>
      <w:r w:rsidRPr="003E3C34">
        <w:t xml:space="preserve"> paramètres applicables à sa carte.</w:t>
      </w:r>
    </w:p>
    <w:p w14:paraId="76462354" w14:textId="77777777" w:rsidR="00A25875" w:rsidRPr="003E3C34" w:rsidRDefault="00A25875" w:rsidP="00A25875">
      <w:pPr>
        <w:ind w:left="720"/>
      </w:pPr>
    </w:p>
    <w:p w14:paraId="7BC64D6A" w14:textId="52A9C1A2" w:rsidR="00A25875" w:rsidRPr="003E3C34" w:rsidRDefault="00A25875" w:rsidP="00A25875">
      <w:r w:rsidRPr="003E3C34">
        <w:t>L’outil d</w:t>
      </w:r>
      <w:r w:rsidR="000341ED">
        <w:t>oit</w:t>
      </w:r>
      <w:r w:rsidRPr="003E3C34">
        <w:t xml:space="preserve"> être </w:t>
      </w:r>
      <w:r w:rsidR="000341ED">
        <w:t>m</w:t>
      </w:r>
      <w:r w:rsidRPr="003E3C34">
        <w:t>is à jour régulièrement et sécurisé.</w:t>
      </w:r>
    </w:p>
    <w:p w14:paraId="0194DE1D" w14:textId="77777777" w:rsidR="00A25875" w:rsidRDefault="00A25875" w:rsidP="00A25875"/>
    <w:p w14:paraId="3D848925" w14:textId="5D78B2C8" w:rsidR="00A25875" w:rsidRPr="006E11AB" w:rsidRDefault="005251E6" w:rsidP="00011CED">
      <w:pPr>
        <w:pStyle w:val="Titre3"/>
      </w:pPr>
      <w:bookmarkStart w:id="53" w:name="_Toc201856055"/>
      <w:r>
        <w:t xml:space="preserve">6.1.2 </w:t>
      </w:r>
      <w:proofErr w:type="spellStart"/>
      <w:r w:rsidR="00A25875" w:rsidRPr="006E11AB">
        <w:t>Reporting</w:t>
      </w:r>
      <w:proofErr w:type="spellEnd"/>
      <w:r w:rsidR="00A25875" w:rsidRPr="006E11AB">
        <w:t xml:space="preserve"> et </w:t>
      </w:r>
      <w:r w:rsidR="00A25875">
        <w:t>statistiques</w:t>
      </w:r>
      <w:bookmarkEnd w:id="53"/>
    </w:p>
    <w:p w14:paraId="0A20F083" w14:textId="0301965B" w:rsidR="00A25875" w:rsidRPr="006E11AB" w:rsidRDefault="00A25875" w:rsidP="00A25875">
      <w:r w:rsidRPr="006E11AB">
        <w:t xml:space="preserve">Le titulaire met à disposition un outil de </w:t>
      </w:r>
      <w:proofErr w:type="spellStart"/>
      <w:r w:rsidRPr="006E11AB">
        <w:t>reporting</w:t>
      </w:r>
      <w:proofErr w:type="spellEnd"/>
      <w:r w:rsidRPr="006E11AB">
        <w:t xml:space="preserve"> permettant </w:t>
      </w:r>
      <w:r w:rsidRPr="00E513F6">
        <w:t>à chaque centre INRAE</w:t>
      </w:r>
      <w:r w:rsidRPr="006E11AB">
        <w:t xml:space="preserve"> de :</w:t>
      </w:r>
    </w:p>
    <w:p w14:paraId="2CB78225" w14:textId="77777777" w:rsidR="00A25875" w:rsidRPr="006E11AB" w:rsidRDefault="00A25875" w:rsidP="00182679">
      <w:pPr>
        <w:numPr>
          <w:ilvl w:val="0"/>
          <w:numId w:val="34"/>
        </w:numPr>
      </w:pPr>
      <w:proofErr w:type="gramStart"/>
      <w:r w:rsidRPr="006E11AB">
        <w:t>consulter</w:t>
      </w:r>
      <w:proofErr w:type="gramEnd"/>
      <w:r w:rsidRPr="006E11AB">
        <w:t xml:space="preserve"> l’ensemble des opérations effectuées ;</w:t>
      </w:r>
    </w:p>
    <w:p w14:paraId="170893E5" w14:textId="77777777" w:rsidR="00A25875" w:rsidRDefault="00A25875" w:rsidP="00182679">
      <w:pPr>
        <w:numPr>
          <w:ilvl w:val="0"/>
          <w:numId w:val="34"/>
        </w:numPr>
      </w:pPr>
      <w:proofErr w:type="gramStart"/>
      <w:r w:rsidRPr="006E11AB">
        <w:t>effectuer</w:t>
      </w:r>
      <w:proofErr w:type="gramEnd"/>
      <w:r w:rsidRPr="006E11AB">
        <w:t xml:space="preserve"> des extractions de données par centre, porteur, ou type de carte.</w:t>
      </w:r>
    </w:p>
    <w:p w14:paraId="177D7293" w14:textId="77777777" w:rsidR="00A25875" w:rsidRDefault="00A25875" w:rsidP="00FD2934"/>
    <w:p w14:paraId="42A129E6" w14:textId="77777777" w:rsidR="00A25875" w:rsidRDefault="00A25875" w:rsidP="00A25875">
      <w:r>
        <w:t xml:space="preserve">Le </w:t>
      </w:r>
      <w:proofErr w:type="spellStart"/>
      <w:r>
        <w:t>reporting</w:t>
      </w:r>
      <w:proofErr w:type="spellEnd"/>
      <w:r>
        <w:t xml:space="preserve"> devra être accessible en ligne, mis à jour régulièrement et permettre à l’établissement de suivre ses dépenses de manière claire et autonome.</w:t>
      </w:r>
    </w:p>
    <w:p w14:paraId="4268C469" w14:textId="77777777" w:rsidR="00790AE7" w:rsidRPr="006E11AB" w:rsidRDefault="00790AE7" w:rsidP="00A25875"/>
    <w:p w14:paraId="63E15535" w14:textId="64ED0E6D" w:rsidR="00A25875" w:rsidRPr="006E11AB" w:rsidRDefault="005251E6" w:rsidP="00011CED">
      <w:pPr>
        <w:pStyle w:val="Titre3"/>
      </w:pPr>
      <w:bookmarkStart w:id="54" w:name="_Toc201856056"/>
      <w:r>
        <w:t xml:space="preserve">6.1.3 </w:t>
      </w:r>
      <w:r w:rsidR="00A25875" w:rsidRPr="006E11AB">
        <w:t>Assistance technique</w:t>
      </w:r>
      <w:bookmarkEnd w:id="54"/>
    </w:p>
    <w:p w14:paraId="568EB994" w14:textId="23D4E4D1" w:rsidR="00A25875" w:rsidRPr="00F40ABB" w:rsidRDefault="00A25875" w:rsidP="00786483">
      <w:pPr>
        <w:spacing w:before="100" w:beforeAutospacing="1" w:after="100" w:afterAutospacing="1"/>
      </w:pPr>
      <w:r w:rsidRPr="00F40ABB">
        <w:t>Les porteurs et les gestionnaires de p</w:t>
      </w:r>
      <w:r w:rsidR="005251E6">
        <w:t>arc</w:t>
      </w:r>
      <w:r w:rsidRPr="00F40ABB">
        <w:t xml:space="preserve"> doivent pouvoir accéder à un service d’assistance technique ayant pour but d’apporter des solutions aux difficultés de gestion rencontrées au quotidien dans le cadre de l’utilisation de</w:t>
      </w:r>
      <w:r w:rsidR="00786483">
        <w:t>s cartes et de</w:t>
      </w:r>
      <w:r w:rsidRPr="00F40ABB">
        <w:t>s outils informatiques.</w:t>
      </w:r>
    </w:p>
    <w:p w14:paraId="3C724F1D" w14:textId="6E306C21" w:rsidR="00A25875" w:rsidRPr="00F40ABB" w:rsidRDefault="00A25875" w:rsidP="00786483">
      <w:pPr>
        <w:spacing w:before="100" w:beforeAutospacing="1"/>
      </w:pPr>
      <w:r w:rsidRPr="00F40ABB">
        <w:t>Le service répond aux exigences minimales suivantes :</w:t>
      </w:r>
    </w:p>
    <w:p w14:paraId="0851D80A" w14:textId="5BFC15A4" w:rsidR="00A25875" w:rsidRPr="00F40ABB" w:rsidRDefault="00EC5675" w:rsidP="00786483">
      <w:pPr>
        <w:numPr>
          <w:ilvl w:val="0"/>
          <w:numId w:val="32"/>
        </w:numPr>
      </w:pPr>
      <w:proofErr w:type="gramStart"/>
      <w:r>
        <w:t>d</w:t>
      </w:r>
      <w:r w:rsidR="00A25875" w:rsidRPr="00F40ABB">
        <w:t>isponibilité</w:t>
      </w:r>
      <w:proofErr w:type="gramEnd"/>
      <w:r w:rsidR="00A25875" w:rsidRPr="00F40ABB">
        <w:t xml:space="preserve"> du lundi au vendredi aux horaires indiqués dans l’offre du titulaire</w:t>
      </w:r>
      <w:r>
        <w:t> ;</w:t>
      </w:r>
    </w:p>
    <w:p w14:paraId="46D9BC91" w14:textId="07D7B373" w:rsidR="00A25875" w:rsidRPr="00F40ABB" w:rsidRDefault="00EC5675" w:rsidP="00786483">
      <w:pPr>
        <w:numPr>
          <w:ilvl w:val="0"/>
          <w:numId w:val="32"/>
        </w:numPr>
      </w:pPr>
      <w:proofErr w:type="gramStart"/>
      <w:r>
        <w:t>n</w:t>
      </w:r>
      <w:r w:rsidR="00A25875" w:rsidRPr="00F40ABB">
        <w:t>uméro</w:t>
      </w:r>
      <w:proofErr w:type="gramEnd"/>
      <w:r w:rsidR="00A25875" w:rsidRPr="00F40ABB">
        <w:t xml:space="preserve"> d’appel non surtaxé ;</w:t>
      </w:r>
    </w:p>
    <w:p w14:paraId="6B58DE84" w14:textId="21BCEBD2" w:rsidR="00EC5675" w:rsidRPr="00F40ABB" w:rsidRDefault="00EC5675" w:rsidP="00CF7096">
      <w:pPr>
        <w:numPr>
          <w:ilvl w:val="0"/>
          <w:numId w:val="32"/>
        </w:numPr>
      </w:pPr>
      <w:proofErr w:type="gramStart"/>
      <w:r>
        <w:t>a</w:t>
      </w:r>
      <w:r w:rsidR="00A25875" w:rsidRPr="00F40ABB">
        <w:t>dresse</w:t>
      </w:r>
      <w:proofErr w:type="gramEnd"/>
      <w:r w:rsidR="00A25875" w:rsidRPr="00F40ABB">
        <w:t xml:space="preserve"> mail unique de contact</w:t>
      </w:r>
      <w:r w:rsidR="00EF3A98">
        <w:t>.</w:t>
      </w:r>
    </w:p>
    <w:p w14:paraId="1EA47265" w14:textId="57CF6BD1" w:rsidR="00A25875" w:rsidRPr="00F40ABB" w:rsidRDefault="00A25875" w:rsidP="00786483">
      <w:pPr>
        <w:spacing w:before="100" w:beforeAutospacing="1" w:after="100" w:afterAutospacing="1"/>
      </w:pPr>
      <w:r w:rsidRPr="00F40ABB">
        <w:t>Les appels sont effectués en français.</w:t>
      </w:r>
    </w:p>
    <w:p w14:paraId="25C54989" w14:textId="77777777" w:rsidR="00A25875" w:rsidRPr="00F40ABB" w:rsidRDefault="00A25875" w:rsidP="00786483">
      <w:pPr>
        <w:spacing w:before="100" w:beforeAutospacing="1" w:after="100" w:afterAutospacing="1"/>
      </w:pPr>
      <w:r w:rsidRPr="00F40ABB">
        <w:t>Les modalités pratiques de ce service sont celles décrites dans l’offre du titulaire.</w:t>
      </w:r>
    </w:p>
    <w:p w14:paraId="2D8A61F8" w14:textId="24237C84" w:rsidR="00A25875" w:rsidRPr="006E11AB" w:rsidRDefault="005251E6" w:rsidP="00011CED">
      <w:pPr>
        <w:pStyle w:val="Titre3"/>
      </w:pPr>
      <w:bookmarkStart w:id="55" w:name="_Toc201856057"/>
      <w:r>
        <w:t xml:space="preserve">6.1.4 </w:t>
      </w:r>
      <w:r w:rsidR="00A25875" w:rsidRPr="006E11AB">
        <w:t>Service d’opposition</w:t>
      </w:r>
      <w:bookmarkEnd w:id="55"/>
    </w:p>
    <w:p w14:paraId="30DD3DC9" w14:textId="207F478A" w:rsidR="00A25875" w:rsidRDefault="00A25875" w:rsidP="00786483">
      <w:r w:rsidRPr="00F40ABB">
        <w:t>Le titulaire met à disposition d’INRAE un service d’opposition à l’utilisation des cartes, en cas de perte, vol ou utilisation frauduleuse de la carte. Les modalités pratiques de ce service sont décrites dans l’offre du titulaire.</w:t>
      </w:r>
    </w:p>
    <w:p w14:paraId="25D3C43A" w14:textId="77777777" w:rsidR="005251E6" w:rsidRDefault="005251E6" w:rsidP="005251E6">
      <w:pPr>
        <w:jc w:val="left"/>
      </w:pPr>
    </w:p>
    <w:p w14:paraId="2C49409E" w14:textId="1BD2910C" w:rsidR="005251E6" w:rsidRDefault="005251E6" w:rsidP="005251E6">
      <w:r>
        <w:t>Les demandes d’opposition qu’elles soient faites par les porteurs ou les gestionnaires de parc doivent être traitées instantanément.</w:t>
      </w:r>
    </w:p>
    <w:p w14:paraId="6B3E44E7" w14:textId="77777777" w:rsidR="005251E6" w:rsidRDefault="005251E6" w:rsidP="005251E6"/>
    <w:p w14:paraId="329827EE" w14:textId="77777777" w:rsidR="00A25875" w:rsidRPr="00F40ABB" w:rsidRDefault="00A25875" w:rsidP="005251E6">
      <w:pPr>
        <w:jc w:val="left"/>
      </w:pPr>
      <w:r w:rsidRPr="00F40ABB">
        <w:t>Le service doit répondre aux exigences minimales suivantes :</w:t>
      </w:r>
    </w:p>
    <w:p w14:paraId="12409C1F" w14:textId="4B50219C" w:rsidR="00A25875" w:rsidRPr="00F40ABB" w:rsidRDefault="00EC5675" w:rsidP="00182679">
      <w:pPr>
        <w:numPr>
          <w:ilvl w:val="0"/>
          <w:numId w:val="26"/>
        </w:numPr>
        <w:spacing w:after="100" w:afterAutospacing="1"/>
        <w:jc w:val="left"/>
      </w:pPr>
      <w:proofErr w:type="gramStart"/>
      <w:r>
        <w:t>d</w:t>
      </w:r>
      <w:r w:rsidR="00A25875" w:rsidRPr="00F40ABB">
        <w:t>isponibilité</w:t>
      </w:r>
      <w:proofErr w:type="gramEnd"/>
      <w:r w:rsidR="00A25875" w:rsidRPr="00F40ABB">
        <w:t xml:space="preserve"> 24</w:t>
      </w:r>
      <w:r>
        <w:t>h</w:t>
      </w:r>
      <w:r w:rsidR="00A25875" w:rsidRPr="00F40ABB">
        <w:t>/24 7 jours sur 7 avec des interlocuteurs parlant le français ;</w:t>
      </w:r>
    </w:p>
    <w:p w14:paraId="53B20FC0" w14:textId="47AB3D89" w:rsidR="00A25875" w:rsidRDefault="00EC5675" w:rsidP="00182679">
      <w:pPr>
        <w:numPr>
          <w:ilvl w:val="0"/>
          <w:numId w:val="26"/>
        </w:numPr>
        <w:spacing w:before="100" w:beforeAutospacing="1" w:after="100" w:afterAutospacing="1"/>
        <w:jc w:val="left"/>
      </w:pPr>
      <w:proofErr w:type="gramStart"/>
      <w:r>
        <w:t>n</w:t>
      </w:r>
      <w:r w:rsidR="00A25875" w:rsidRPr="00F40ABB">
        <w:t>uméro</w:t>
      </w:r>
      <w:proofErr w:type="gramEnd"/>
      <w:r w:rsidR="00A25875" w:rsidRPr="00F40ABB">
        <w:t xml:space="preserve"> d’appel unique</w:t>
      </w:r>
      <w:r>
        <w:t>.</w:t>
      </w:r>
    </w:p>
    <w:p w14:paraId="2000CA84" w14:textId="093A0FA9" w:rsidR="00413350" w:rsidRPr="00841CE6" w:rsidRDefault="00790AE7" w:rsidP="00011CED">
      <w:pPr>
        <w:pStyle w:val="Titre3"/>
      </w:pPr>
      <w:bookmarkStart w:id="56" w:name="_Toc199150106"/>
      <w:bookmarkStart w:id="57" w:name="_Toc201856058"/>
      <w:r>
        <w:t xml:space="preserve">6.1.5 </w:t>
      </w:r>
      <w:r w:rsidR="00413350" w:rsidRPr="00841CE6">
        <w:t>Traitement et gestion des litiges</w:t>
      </w:r>
      <w:bookmarkEnd w:id="56"/>
      <w:bookmarkEnd w:id="57"/>
    </w:p>
    <w:p w14:paraId="5965FD0C" w14:textId="717F86C6" w:rsidR="00413350" w:rsidRDefault="00413350" w:rsidP="00413350">
      <w:r>
        <w:t>L’offre du titulaire détaille le processus de gestion des incidents liés à l’utilisation des cartes, ainsi que le traitement des litiges correspondants (déclaration de fraude, renouvellement, dysfonctionnement technique</w:t>
      </w:r>
      <w:r w:rsidR="00EF3A98">
        <w:t>.</w:t>
      </w:r>
      <w:r>
        <w:t>..)</w:t>
      </w:r>
      <w:r w:rsidR="00EF3A98">
        <w:t>.</w:t>
      </w:r>
    </w:p>
    <w:p w14:paraId="728F3F8B" w14:textId="74476F59" w:rsidR="00413350" w:rsidRDefault="00413350" w:rsidP="00413350">
      <w:pPr>
        <w:spacing w:before="100" w:beforeAutospacing="1" w:after="100" w:afterAutospacing="1"/>
      </w:pPr>
      <w:r w:rsidRPr="00BB26A0">
        <w:t xml:space="preserve">En cas de contestation sur une opération figurant sur un relevé, le titulaire dispose d’un délai </w:t>
      </w:r>
      <w:r>
        <w:t xml:space="preserve">maximum </w:t>
      </w:r>
      <w:r w:rsidRPr="00BB26A0">
        <w:t xml:space="preserve">de </w:t>
      </w:r>
      <w:r>
        <w:t>15</w:t>
      </w:r>
      <w:r w:rsidRPr="00BB26A0">
        <w:t xml:space="preserve"> jours </w:t>
      </w:r>
      <w:r>
        <w:t>ouvré</w:t>
      </w:r>
      <w:r w:rsidRPr="00BB26A0">
        <w:t xml:space="preserve">s pour instruire le dossier et apporter une </w:t>
      </w:r>
      <w:r w:rsidR="00CF7096">
        <w:t xml:space="preserve">première </w:t>
      </w:r>
      <w:r w:rsidRPr="00BB26A0">
        <w:t xml:space="preserve">réponse à </w:t>
      </w:r>
      <w:r>
        <w:t>INRAE</w:t>
      </w:r>
      <w:r w:rsidRPr="00BB26A0">
        <w:t xml:space="preserve"> (porteur e</w:t>
      </w:r>
      <w:r>
        <w:t xml:space="preserve">t gestionnaire du </w:t>
      </w:r>
      <w:r w:rsidR="00EF3A98">
        <w:t>parc</w:t>
      </w:r>
      <w:r w:rsidRPr="00BB26A0">
        <w:t>)</w:t>
      </w:r>
      <w:r w:rsidR="00CF7096">
        <w:t xml:space="preserve"> et d’un délai </w:t>
      </w:r>
      <w:r w:rsidR="00664F37">
        <w:t xml:space="preserve">maximum de 2 mois pour résoudre le problème rencontré. </w:t>
      </w:r>
    </w:p>
    <w:p w14:paraId="30B0B3C4" w14:textId="36D482E9" w:rsidR="00664F37" w:rsidRPr="00BB26A0" w:rsidRDefault="00664F37" w:rsidP="00413350">
      <w:pPr>
        <w:spacing w:before="100" w:beforeAutospacing="1" w:after="100" w:afterAutospacing="1"/>
      </w:pPr>
      <w:r>
        <w:lastRenderedPageBreak/>
        <w:t>Dans son offre, le titulaire détaille les engagements de délais qu’il est en mesure de proposer selon les types de litiges ou incidents concernés.</w:t>
      </w:r>
    </w:p>
    <w:p w14:paraId="71132552" w14:textId="1930AEDF" w:rsidR="00A25875" w:rsidRPr="00914674" w:rsidRDefault="005251E6" w:rsidP="00011CED">
      <w:pPr>
        <w:pStyle w:val="Titre2"/>
      </w:pPr>
      <w:bookmarkStart w:id="58" w:name="_Toc201856059"/>
      <w:r>
        <w:t xml:space="preserve">6.2 </w:t>
      </w:r>
      <w:r w:rsidR="00A25875">
        <w:t>Formations et supports pédagogiques</w:t>
      </w:r>
      <w:bookmarkEnd w:id="58"/>
    </w:p>
    <w:p w14:paraId="068B9C33" w14:textId="6425D33D" w:rsidR="00A25875" w:rsidRDefault="00A25875" w:rsidP="00A25875">
      <w:pPr>
        <w:spacing w:before="100" w:beforeAutospacing="1" w:after="100" w:afterAutospacing="1"/>
        <w:jc w:val="left"/>
      </w:pPr>
      <w:r w:rsidRPr="00914674">
        <w:t>Le titulaire assiste INRAE dans la mise en place de</w:t>
      </w:r>
      <w:r>
        <w:t>s outils de gestion, en assurant des actions de formation et la fourniture de supports adaptés aux différents profils d’utilisateurs.</w:t>
      </w:r>
    </w:p>
    <w:p w14:paraId="34F40919" w14:textId="2B7068F6" w:rsidR="00A25875" w:rsidRDefault="005251E6" w:rsidP="00011CED">
      <w:pPr>
        <w:pStyle w:val="Titre3"/>
      </w:pPr>
      <w:bookmarkStart w:id="59" w:name="_Toc201856060"/>
      <w:r>
        <w:t xml:space="preserve">6.2.1 </w:t>
      </w:r>
      <w:r w:rsidR="00A25875">
        <w:t>Formations</w:t>
      </w:r>
      <w:bookmarkEnd w:id="59"/>
      <w:r w:rsidR="00A25875">
        <w:t xml:space="preserve">  </w:t>
      </w:r>
    </w:p>
    <w:p w14:paraId="110DE33F" w14:textId="77777777" w:rsidR="00A25875" w:rsidRPr="00914674" w:rsidRDefault="00A25875" w:rsidP="00392ACC">
      <w:pPr>
        <w:spacing w:before="100" w:beforeAutospacing="1" w:after="100" w:afterAutospacing="1"/>
      </w:pPr>
      <w:r w:rsidRPr="00914674">
        <w:t>Le titulaire est tenu, à la demande d’INRAE, d’organiser des sessions de formation à destination :</w:t>
      </w:r>
    </w:p>
    <w:p w14:paraId="5CD38F39" w14:textId="2CBE8BEF" w:rsidR="00A25875" w:rsidRPr="00914674" w:rsidRDefault="00A25875" w:rsidP="00392ACC">
      <w:pPr>
        <w:numPr>
          <w:ilvl w:val="0"/>
          <w:numId w:val="27"/>
        </w:numPr>
        <w:spacing w:before="100" w:beforeAutospacing="1" w:after="100" w:afterAutospacing="1"/>
      </w:pPr>
      <w:proofErr w:type="gramStart"/>
      <w:r w:rsidRPr="00914674">
        <w:t>des</w:t>
      </w:r>
      <w:proofErr w:type="gramEnd"/>
      <w:r w:rsidRPr="00914674">
        <w:t xml:space="preserve"> </w:t>
      </w:r>
      <w:r>
        <w:t xml:space="preserve">gestionnaires de parcs </w:t>
      </w:r>
      <w:r w:rsidRPr="00914674">
        <w:t>et de leurs suppléants ;</w:t>
      </w:r>
    </w:p>
    <w:p w14:paraId="3B2A6569" w14:textId="77777777" w:rsidR="00A25875" w:rsidRDefault="00A25875" w:rsidP="00392ACC">
      <w:pPr>
        <w:numPr>
          <w:ilvl w:val="0"/>
          <w:numId w:val="27"/>
        </w:numPr>
        <w:spacing w:before="100" w:beforeAutospacing="1" w:after="100" w:afterAutospacing="1"/>
      </w:pPr>
      <w:proofErr w:type="gramStart"/>
      <w:r w:rsidRPr="00914674">
        <w:t>des</w:t>
      </w:r>
      <w:proofErr w:type="gramEnd"/>
      <w:r w:rsidRPr="00914674">
        <w:t xml:space="preserve"> porteurs de cartes.</w:t>
      </w:r>
    </w:p>
    <w:p w14:paraId="4B0C2B91" w14:textId="3B73065D" w:rsidR="00A25875" w:rsidRPr="00F40ABB" w:rsidRDefault="00A25875" w:rsidP="00392ACC">
      <w:pPr>
        <w:spacing w:before="100" w:beforeAutospacing="1" w:after="100" w:afterAutospacing="1"/>
      </w:pPr>
      <w:r w:rsidRPr="00F40ABB">
        <w:t>Le titulaire est tenu</w:t>
      </w:r>
      <w:r w:rsidR="00664F37">
        <w:t xml:space="preserve"> </w:t>
      </w:r>
      <w:r w:rsidRPr="00F40ABB">
        <w:t>de :</w:t>
      </w:r>
    </w:p>
    <w:p w14:paraId="2CF046D9" w14:textId="1DE7842E" w:rsidR="00A25875" w:rsidRPr="00F40ABB" w:rsidRDefault="00664F37" w:rsidP="00392ACC">
      <w:pPr>
        <w:numPr>
          <w:ilvl w:val="0"/>
          <w:numId w:val="28"/>
        </w:numPr>
        <w:spacing w:before="100" w:beforeAutospacing="1" w:after="100" w:afterAutospacing="1"/>
      </w:pPr>
      <w:proofErr w:type="gramStart"/>
      <w:r>
        <w:t>p</w:t>
      </w:r>
      <w:r w:rsidR="00A25875" w:rsidRPr="00F40ABB">
        <w:t>résenter</w:t>
      </w:r>
      <w:proofErr w:type="gramEnd"/>
      <w:r w:rsidR="00A25875" w:rsidRPr="00F40ABB">
        <w:t xml:space="preserve"> les opérations </w:t>
      </w:r>
      <w:r>
        <w:t>à mettre en œuvre pour la mise en place du parc</w:t>
      </w:r>
      <w:r w:rsidR="00A25875" w:rsidRPr="00F40ABB">
        <w:t xml:space="preserve"> ;</w:t>
      </w:r>
    </w:p>
    <w:p w14:paraId="18DABF43" w14:textId="607D59AF" w:rsidR="00A25875" w:rsidRPr="00F40ABB" w:rsidRDefault="00664F37" w:rsidP="00392ACC">
      <w:pPr>
        <w:numPr>
          <w:ilvl w:val="0"/>
          <w:numId w:val="28"/>
        </w:numPr>
        <w:spacing w:before="100" w:beforeAutospacing="1" w:after="100" w:afterAutospacing="1"/>
      </w:pPr>
      <w:proofErr w:type="gramStart"/>
      <w:r>
        <w:t>p</w:t>
      </w:r>
      <w:r w:rsidR="00A25875" w:rsidRPr="00F40ABB">
        <w:t>résenter</w:t>
      </w:r>
      <w:proofErr w:type="gramEnd"/>
      <w:r w:rsidR="00A25875" w:rsidRPr="00F40ABB">
        <w:t xml:space="preserve"> de manière générale les informations liées aux solutions de paramétrage</w:t>
      </w:r>
      <w:r w:rsidR="00A25875">
        <w:t xml:space="preserve"> et</w:t>
      </w:r>
      <w:r w:rsidR="00A25875" w:rsidRPr="00F40ABB">
        <w:t xml:space="preserve"> </w:t>
      </w:r>
      <w:r w:rsidR="00C724DC">
        <w:t xml:space="preserve">solutions </w:t>
      </w:r>
      <w:r w:rsidR="00A25875" w:rsidRPr="00F40ABB">
        <w:t xml:space="preserve">d’enrichissement </w:t>
      </w:r>
      <w:r w:rsidR="00A25875" w:rsidRPr="00C724DC">
        <w:t>pour la carte achat</w:t>
      </w:r>
      <w:r w:rsidRPr="00C724DC">
        <w:t> ;</w:t>
      </w:r>
    </w:p>
    <w:p w14:paraId="1AE82B4F" w14:textId="00F797A1" w:rsidR="00A25875" w:rsidRPr="00F40ABB" w:rsidRDefault="00C724DC" w:rsidP="00392ACC">
      <w:pPr>
        <w:numPr>
          <w:ilvl w:val="0"/>
          <w:numId w:val="28"/>
        </w:numPr>
        <w:spacing w:before="100" w:beforeAutospacing="1" w:after="100" w:afterAutospacing="1"/>
      </w:pPr>
      <w:proofErr w:type="gramStart"/>
      <w:r>
        <w:t>d</w:t>
      </w:r>
      <w:r w:rsidR="00A25875" w:rsidRPr="00F40ABB">
        <w:t>écrire</w:t>
      </w:r>
      <w:proofErr w:type="gramEnd"/>
      <w:r w:rsidR="00A25875" w:rsidRPr="00F40ABB">
        <w:t xml:space="preserve"> clairement les processus de délivrance des cartes et les documents associés ;</w:t>
      </w:r>
    </w:p>
    <w:p w14:paraId="57D2317E" w14:textId="16ADEF2F" w:rsidR="00A25875" w:rsidRPr="00F40ABB" w:rsidRDefault="00C724DC" w:rsidP="00392ACC">
      <w:pPr>
        <w:numPr>
          <w:ilvl w:val="0"/>
          <w:numId w:val="28"/>
        </w:numPr>
        <w:spacing w:before="100" w:beforeAutospacing="1" w:after="100" w:afterAutospacing="1"/>
      </w:pPr>
      <w:proofErr w:type="gramStart"/>
      <w:r>
        <w:t>f</w:t>
      </w:r>
      <w:r w:rsidR="00A25875" w:rsidRPr="00F40ABB">
        <w:t>ormer</w:t>
      </w:r>
      <w:proofErr w:type="gramEnd"/>
      <w:r w:rsidR="00A25875" w:rsidRPr="00F40ABB">
        <w:t xml:space="preserve"> à l’utilisation des outils</w:t>
      </w:r>
      <w:r>
        <w:t>.</w:t>
      </w:r>
    </w:p>
    <w:p w14:paraId="35C186AA" w14:textId="77777777" w:rsidR="00A25875" w:rsidRPr="00F40ABB" w:rsidRDefault="00A25875" w:rsidP="00392ACC">
      <w:pPr>
        <w:spacing w:before="100" w:beforeAutospacing="1" w:after="100" w:afterAutospacing="1"/>
      </w:pPr>
      <w:r w:rsidRPr="00F40ABB">
        <w:t>Ces formations devront être effectuées à distance (en visio-conférence) selon les modalités défini</w:t>
      </w:r>
      <w:r>
        <w:t>e</w:t>
      </w:r>
      <w:r w:rsidRPr="00F40ABB">
        <w:t xml:space="preserve">s dans l’offre du titulaire. </w:t>
      </w:r>
    </w:p>
    <w:p w14:paraId="5C580411" w14:textId="77777777" w:rsidR="00A25875" w:rsidRDefault="00A25875" w:rsidP="00A25875">
      <w:pPr>
        <w:spacing w:before="100" w:beforeAutospacing="1" w:after="100" w:afterAutospacing="1"/>
        <w:jc w:val="left"/>
      </w:pPr>
      <w:r w:rsidRPr="00F40ABB">
        <w:t>Des demandes de formation ponctuelles peuvent être effectuées au cours de l’accord-cadre.</w:t>
      </w:r>
    </w:p>
    <w:p w14:paraId="37A0F7FD" w14:textId="6042CB26" w:rsidR="00A25875" w:rsidRPr="00914674" w:rsidRDefault="00751CA2" w:rsidP="00011CED">
      <w:pPr>
        <w:pStyle w:val="Titre3"/>
      </w:pPr>
      <w:bookmarkStart w:id="60" w:name="_Toc201856061"/>
      <w:r>
        <w:t xml:space="preserve">6.2.2 </w:t>
      </w:r>
      <w:r w:rsidR="00A25875" w:rsidRPr="00914674">
        <w:t>Supports pédagogiques</w:t>
      </w:r>
      <w:bookmarkEnd w:id="60"/>
    </w:p>
    <w:p w14:paraId="4F162247" w14:textId="25F13791" w:rsidR="00A25875" w:rsidRPr="00392ACC" w:rsidRDefault="00A25875" w:rsidP="00392ACC">
      <w:pPr>
        <w:spacing w:before="100" w:beforeAutospacing="1" w:after="100" w:afterAutospacing="1"/>
      </w:pPr>
      <w:r w:rsidRPr="00914674">
        <w:t>Le titulaire élabore et met à jour à chaque évolution de ses outils des supports de formation ou de communication.</w:t>
      </w:r>
      <w:r>
        <w:t xml:space="preserve"> Ceux-ci comprennent notamment </w:t>
      </w:r>
      <w:r w:rsidR="00392ACC">
        <w:t>d</w:t>
      </w:r>
      <w:r w:rsidRPr="00392ACC">
        <w:rPr>
          <w:bCs/>
        </w:rPr>
        <w:t>es guides dématérialisés relatifs :</w:t>
      </w:r>
    </w:p>
    <w:p w14:paraId="1F2DEECA" w14:textId="77777777" w:rsidR="00A25875" w:rsidRPr="00914674" w:rsidRDefault="00A25875" w:rsidP="00182679">
      <w:pPr>
        <w:numPr>
          <w:ilvl w:val="0"/>
          <w:numId w:val="5"/>
        </w:numPr>
        <w:spacing w:after="100" w:afterAutospacing="1"/>
        <w:jc w:val="left"/>
      </w:pPr>
      <w:proofErr w:type="gramStart"/>
      <w:r w:rsidRPr="00914674">
        <w:t>aux</w:t>
      </w:r>
      <w:proofErr w:type="gramEnd"/>
      <w:r w:rsidRPr="00914674">
        <w:t xml:space="preserve"> principes généraux de fonctionnement de</w:t>
      </w:r>
      <w:r>
        <w:t>s cartes</w:t>
      </w:r>
      <w:r w:rsidRPr="00914674">
        <w:t xml:space="preserve"> ;</w:t>
      </w:r>
    </w:p>
    <w:p w14:paraId="402E6B90" w14:textId="77777777" w:rsidR="00A25875" w:rsidRPr="00914674" w:rsidRDefault="00A25875" w:rsidP="00182679">
      <w:pPr>
        <w:numPr>
          <w:ilvl w:val="0"/>
          <w:numId w:val="5"/>
        </w:numPr>
        <w:spacing w:after="100" w:afterAutospacing="1"/>
        <w:jc w:val="left"/>
      </w:pPr>
      <w:proofErr w:type="gramStart"/>
      <w:r w:rsidRPr="00914674">
        <w:t>aux</w:t>
      </w:r>
      <w:proofErr w:type="gramEnd"/>
      <w:r w:rsidRPr="00914674">
        <w:t xml:space="preserve"> assurances et services associés ;</w:t>
      </w:r>
    </w:p>
    <w:p w14:paraId="4FE14549" w14:textId="77777777" w:rsidR="00A25875" w:rsidRPr="00914674" w:rsidRDefault="00A25875" w:rsidP="00182679">
      <w:pPr>
        <w:numPr>
          <w:ilvl w:val="0"/>
          <w:numId w:val="5"/>
        </w:numPr>
        <w:spacing w:after="100" w:afterAutospacing="1"/>
        <w:jc w:val="left"/>
      </w:pPr>
      <w:proofErr w:type="gramStart"/>
      <w:r w:rsidRPr="00914674">
        <w:t>aux</w:t>
      </w:r>
      <w:proofErr w:type="gramEnd"/>
      <w:r w:rsidRPr="00914674">
        <w:t xml:space="preserve"> démarches à suivre pour demander une carte ;</w:t>
      </w:r>
    </w:p>
    <w:p w14:paraId="102BD06C" w14:textId="77777777" w:rsidR="00A25875" w:rsidRPr="00914674" w:rsidRDefault="00A25875" w:rsidP="00182679">
      <w:pPr>
        <w:numPr>
          <w:ilvl w:val="0"/>
          <w:numId w:val="5"/>
        </w:numPr>
        <w:spacing w:after="100" w:afterAutospacing="1"/>
        <w:jc w:val="left"/>
      </w:pPr>
      <w:proofErr w:type="gramStart"/>
      <w:r w:rsidRPr="00914674">
        <w:t>aux</w:t>
      </w:r>
      <w:proofErr w:type="gramEnd"/>
      <w:r w:rsidRPr="00914674">
        <w:t xml:space="preserve"> modalités de création, suppression, mise en opposition des cartes et contestation ;</w:t>
      </w:r>
    </w:p>
    <w:p w14:paraId="7BE77CF9" w14:textId="2348396C" w:rsidR="00A25875" w:rsidRPr="00914674" w:rsidRDefault="00A25875" w:rsidP="00182679">
      <w:pPr>
        <w:numPr>
          <w:ilvl w:val="0"/>
          <w:numId w:val="5"/>
        </w:numPr>
        <w:spacing w:after="100" w:afterAutospacing="1"/>
        <w:jc w:val="left"/>
      </w:pPr>
      <w:proofErr w:type="gramStart"/>
      <w:r>
        <w:t>aux</w:t>
      </w:r>
      <w:proofErr w:type="gramEnd"/>
      <w:r w:rsidRPr="00914674">
        <w:t xml:space="preserve"> dépenses mentionnées dans le relevé d’opération</w:t>
      </w:r>
      <w:r w:rsidR="00C724DC">
        <w:t>s</w:t>
      </w:r>
      <w:r w:rsidRPr="00914674">
        <w:t xml:space="preserve"> ;</w:t>
      </w:r>
    </w:p>
    <w:p w14:paraId="7AB25011" w14:textId="009F6823" w:rsidR="00A25875" w:rsidRPr="00914674" w:rsidRDefault="00A25875" w:rsidP="00C724DC">
      <w:pPr>
        <w:numPr>
          <w:ilvl w:val="0"/>
          <w:numId w:val="5"/>
        </w:numPr>
        <w:jc w:val="left"/>
      </w:pPr>
      <w:proofErr w:type="gramStart"/>
      <w:r w:rsidRPr="00914674">
        <w:t>aux</w:t>
      </w:r>
      <w:proofErr w:type="gramEnd"/>
      <w:r w:rsidRPr="00914674">
        <w:t xml:space="preserve"> fonctionnalités des outils de </w:t>
      </w:r>
      <w:r w:rsidR="00C724DC">
        <w:t>gestion ;</w:t>
      </w:r>
    </w:p>
    <w:p w14:paraId="6B2C74E1" w14:textId="77777777" w:rsidR="00A25875" w:rsidRPr="00914674" w:rsidRDefault="00A25875" w:rsidP="00C724DC">
      <w:pPr>
        <w:numPr>
          <w:ilvl w:val="0"/>
          <w:numId w:val="9"/>
        </w:numPr>
        <w:spacing w:after="100" w:afterAutospacing="1"/>
        <w:jc w:val="left"/>
      </w:pPr>
      <w:proofErr w:type="gramStart"/>
      <w:r w:rsidRPr="00914674">
        <w:t>au</w:t>
      </w:r>
      <w:proofErr w:type="gramEnd"/>
      <w:r w:rsidRPr="00914674">
        <w:t xml:space="preserve"> suivi des dépenses ;</w:t>
      </w:r>
    </w:p>
    <w:p w14:paraId="238CBA99" w14:textId="5BB188CE" w:rsidR="00A25875" w:rsidRPr="00914674" w:rsidRDefault="00A25875" w:rsidP="00182679">
      <w:pPr>
        <w:numPr>
          <w:ilvl w:val="0"/>
          <w:numId w:val="9"/>
        </w:numPr>
        <w:spacing w:before="100" w:beforeAutospacing="1" w:after="100" w:afterAutospacing="1"/>
        <w:jc w:val="left"/>
      </w:pPr>
      <w:proofErr w:type="gramStart"/>
      <w:r w:rsidRPr="00914674">
        <w:t>à</w:t>
      </w:r>
      <w:proofErr w:type="gramEnd"/>
      <w:r w:rsidRPr="00914674">
        <w:t xml:space="preserve"> l’exploitation des statistiques</w:t>
      </w:r>
      <w:r w:rsidR="00C724DC">
        <w:t xml:space="preserve"> </w:t>
      </w:r>
      <w:r w:rsidRPr="00914674">
        <w:t>;</w:t>
      </w:r>
    </w:p>
    <w:p w14:paraId="68DF57EC" w14:textId="6E006055" w:rsidR="00A25875" w:rsidRPr="00914674" w:rsidRDefault="00A25875" w:rsidP="00182679">
      <w:pPr>
        <w:numPr>
          <w:ilvl w:val="0"/>
          <w:numId w:val="9"/>
        </w:numPr>
        <w:spacing w:before="100" w:beforeAutospacing="1" w:after="100" w:afterAutospacing="1"/>
        <w:jc w:val="left"/>
      </w:pPr>
      <w:proofErr w:type="gramStart"/>
      <w:r w:rsidRPr="00914674">
        <w:t>au</w:t>
      </w:r>
      <w:proofErr w:type="gramEnd"/>
      <w:r w:rsidRPr="00914674">
        <w:t xml:space="preserve"> processus de paiement en ligne</w:t>
      </w:r>
      <w:r w:rsidR="00C724DC">
        <w:t xml:space="preserve">.                                        </w:t>
      </w:r>
      <w:r w:rsidRPr="00914674">
        <w:t xml:space="preserve"> </w:t>
      </w:r>
    </w:p>
    <w:p w14:paraId="484A38DB" w14:textId="00C196FA" w:rsidR="00A25875" w:rsidRDefault="00A25875" w:rsidP="00C724DC">
      <w:pPr>
        <w:spacing w:before="100" w:beforeAutospacing="1" w:after="100" w:afterAutospacing="1"/>
        <w:rPr>
          <w:b/>
          <w:bCs/>
        </w:rPr>
      </w:pPr>
      <w:r w:rsidRPr="009D6F50">
        <w:rPr>
          <w:b/>
          <w:bCs/>
        </w:rPr>
        <w:t>Ce</w:t>
      </w:r>
      <w:r>
        <w:rPr>
          <w:b/>
          <w:bCs/>
        </w:rPr>
        <w:t>s</w:t>
      </w:r>
      <w:r w:rsidRPr="009D6F50">
        <w:rPr>
          <w:b/>
          <w:bCs/>
        </w:rPr>
        <w:t xml:space="preserve"> document</w:t>
      </w:r>
      <w:r>
        <w:rPr>
          <w:b/>
          <w:bCs/>
        </w:rPr>
        <w:t>s</w:t>
      </w:r>
      <w:r w:rsidRPr="009D6F50">
        <w:rPr>
          <w:b/>
          <w:bCs/>
        </w:rPr>
        <w:t xml:space="preserve"> </w:t>
      </w:r>
      <w:r w:rsidR="00C724DC">
        <w:rPr>
          <w:b/>
          <w:bCs/>
        </w:rPr>
        <w:t>seront</w:t>
      </w:r>
      <w:r w:rsidRPr="009D6F50">
        <w:rPr>
          <w:b/>
          <w:bCs/>
        </w:rPr>
        <w:t xml:space="preserve"> utilisé</w:t>
      </w:r>
      <w:r>
        <w:rPr>
          <w:b/>
          <w:bCs/>
        </w:rPr>
        <w:t>s</w:t>
      </w:r>
      <w:r w:rsidRPr="009D6F50">
        <w:rPr>
          <w:b/>
          <w:bCs/>
        </w:rPr>
        <w:t xml:space="preserve"> </w:t>
      </w:r>
      <w:r w:rsidR="00C724DC">
        <w:rPr>
          <w:b/>
          <w:bCs/>
        </w:rPr>
        <w:t xml:space="preserve">dans le cadre des formations et </w:t>
      </w:r>
      <w:r w:rsidRPr="00C724DC">
        <w:rPr>
          <w:b/>
          <w:bCs/>
        </w:rPr>
        <w:t>par les gestionnaires de parcs amenés</w:t>
      </w:r>
      <w:r w:rsidRPr="009D6F50">
        <w:rPr>
          <w:b/>
          <w:bCs/>
        </w:rPr>
        <w:t xml:space="preserve"> à former en cascade les porteurs de cartes.</w:t>
      </w:r>
    </w:p>
    <w:p w14:paraId="1DC99844" w14:textId="59E318F5" w:rsidR="00392ACC" w:rsidRDefault="00392ACC" w:rsidP="00C724DC">
      <w:pPr>
        <w:spacing w:before="100" w:beforeAutospacing="1" w:after="100" w:afterAutospacing="1"/>
        <w:rPr>
          <w:b/>
          <w:bCs/>
        </w:rPr>
      </w:pPr>
    </w:p>
    <w:p w14:paraId="78415371" w14:textId="77777777" w:rsidR="00392ACC" w:rsidRDefault="00392ACC" w:rsidP="00C724DC">
      <w:pPr>
        <w:spacing w:before="100" w:beforeAutospacing="1" w:after="100" w:afterAutospacing="1"/>
        <w:rPr>
          <w:b/>
          <w:bCs/>
        </w:rPr>
      </w:pPr>
    </w:p>
    <w:p w14:paraId="6B680394" w14:textId="3645A57F" w:rsidR="00F45092" w:rsidRDefault="00F45092" w:rsidP="00F45092">
      <w:pPr>
        <w:pStyle w:val="Titre1"/>
      </w:pPr>
      <w:bookmarkStart w:id="61" w:name="_Toc201856062"/>
      <w:r w:rsidRPr="00F45092">
        <w:t>Pilotage contractuel</w:t>
      </w:r>
      <w:bookmarkEnd w:id="61"/>
    </w:p>
    <w:p w14:paraId="29AA7DD0" w14:textId="596E1575" w:rsidR="00841CE6" w:rsidRDefault="00841CE6" w:rsidP="00841CE6"/>
    <w:p w14:paraId="241A050B" w14:textId="43F36145" w:rsidR="0057313F" w:rsidRDefault="0057313F" w:rsidP="0057313F">
      <w:r>
        <w:t>Un interlocuteur principal est désigné par le titulaire comme correspondant unique d’INRAE, conformément au CCAP.</w:t>
      </w:r>
    </w:p>
    <w:p w14:paraId="6F3A213D" w14:textId="77777777" w:rsidR="0057313F" w:rsidRPr="00841CE6" w:rsidRDefault="0057313F" w:rsidP="00841CE6"/>
    <w:p w14:paraId="105E2341" w14:textId="1A9C74E8" w:rsidR="00F45092" w:rsidRPr="00841CE6" w:rsidRDefault="005251E6" w:rsidP="00011CED">
      <w:pPr>
        <w:pStyle w:val="Titre2"/>
      </w:pPr>
      <w:bookmarkStart w:id="62" w:name="_Toc201856063"/>
      <w:r>
        <w:t>7.1</w:t>
      </w:r>
      <w:r w:rsidR="00F45092" w:rsidRPr="00841CE6">
        <w:t xml:space="preserve"> Phase de </w:t>
      </w:r>
      <w:r w:rsidR="000217F3">
        <w:t>lancement</w:t>
      </w:r>
      <w:bookmarkEnd w:id="62"/>
    </w:p>
    <w:p w14:paraId="3E0888AA" w14:textId="1BDFD954" w:rsidR="00F45092" w:rsidRPr="00F45092" w:rsidRDefault="00476567" w:rsidP="00123AD3">
      <w:pPr>
        <w:spacing w:before="100" w:beforeAutospacing="1" w:after="100" w:afterAutospacing="1"/>
      </w:pPr>
      <w:r>
        <w:t>La date prévisionnelle de notification de l’accord-cadre est fixée à</w:t>
      </w:r>
      <w:r w:rsidRPr="00F45092">
        <w:t xml:space="preserve"> </w:t>
      </w:r>
      <w:r>
        <w:t xml:space="preserve">fin </w:t>
      </w:r>
      <w:r w:rsidR="00C97F73">
        <w:t>octobre 2025.</w:t>
      </w:r>
      <w:r w:rsidR="007326EF">
        <w:t xml:space="preserve"> </w:t>
      </w:r>
    </w:p>
    <w:p w14:paraId="686FC316" w14:textId="10AE8D22" w:rsidR="00F45092" w:rsidRPr="00F45092" w:rsidRDefault="00F45092" w:rsidP="00123AD3">
      <w:pPr>
        <w:spacing w:before="100" w:beforeAutospacing="1" w:after="100" w:afterAutospacing="1"/>
      </w:pPr>
      <w:r w:rsidRPr="00F45092">
        <w:t xml:space="preserve">Dans les </w:t>
      </w:r>
      <w:r w:rsidR="00476567">
        <w:t>1</w:t>
      </w:r>
      <w:r w:rsidRPr="00F45092">
        <w:t xml:space="preserve">5 jours ouvrés à partir de la réunion de </w:t>
      </w:r>
      <w:r w:rsidR="00476567">
        <w:t>lancement</w:t>
      </w:r>
      <w:r w:rsidRPr="00F45092">
        <w:t xml:space="preserve"> (intervenant peu après la notification), le titulaire </w:t>
      </w:r>
      <w:r w:rsidR="00476567" w:rsidRPr="00F45092">
        <w:t>d</w:t>
      </w:r>
      <w:r w:rsidR="00476567">
        <w:t xml:space="preserve">oit </w:t>
      </w:r>
      <w:r w:rsidR="00476567" w:rsidRPr="00F45092">
        <w:t>livrer</w:t>
      </w:r>
      <w:r w:rsidRPr="00F45092">
        <w:t xml:space="preserve"> </w:t>
      </w:r>
      <w:r w:rsidR="00476567" w:rsidRPr="00F45092">
        <w:t>un rétroplanning</w:t>
      </w:r>
      <w:r w:rsidRPr="00F45092">
        <w:t xml:space="preserve"> (tâches/ressources) concernant le </w:t>
      </w:r>
      <w:r w:rsidRPr="00F45092">
        <w:rPr>
          <w:b/>
          <w:bCs/>
        </w:rPr>
        <w:t xml:space="preserve">déploiement des cartes achat et des cartes </w:t>
      </w:r>
      <w:proofErr w:type="spellStart"/>
      <w:r w:rsidR="007326EF">
        <w:rPr>
          <w:b/>
          <w:bCs/>
        </w:rPr>
        <w:t>corporate</w:t>
      </w:r>
      <w:proofErr w:type="spellEnd"/>
      <w:r w:rsidRPr="00F45092">
        <w:t xml:space="preserve"> au sein d’INRAE.</w:t>
      </w:r>
    </w:p>
    <w:p w14:paraId="229C2153" w14:textId="3F92F0DE" w:rsidR="00F45092" w:rsidRPr="00F45092" w:rsidRDefault="00F45092" w:rsidP="00123AD3">
      <w:pPr>
        <w:spacing w:before="100" w:beforeAutospacing="1"/>
      </w:pPr>
      <w:r w:rsidRPr="00F45092">
        <w:t xml:space="preserve">Le titulaire est </w:t>
      </w:r>
      <w:r w:rsidR="00476567">
        <w:t xml:space="preserve">notamment </w:t>
      </w:r>
      <w:r w:rsidRPr="00F45092">
        <w:t>tenu de :</w:t>
      </w:r>
    </w:p>
    <w:p w14:paraId="5AB72A11" w14:textId="1879F293" w:rsidR="00F45092" w:rsidRPr="00F45092" w:rsidRDefault="00F45092" w:rsidP="00123AD3">
      <w:pPr>
        <w:numPr>
          <w:ilvl w:val="0"/>
          <w:numId w:val="29"/>
        </w:numPr>
        <w:spacing w:before="100" w:beforeAutospacing="1" w:after="100" w:afterAutospacing="1"/>
      </w:pPr>
      <w:proofErr w:type="gramStart"/>
      <w:r w:rsidRPr="00F45092">
        <w:t>présenter</w:t>
      </w:r>
      <w:proofErr w:type="gramEnd"/>
      <w:r w:rsidRPr="00F45092">
        <w:t xml:space="preserve"> les opérations à mettre en œuvre au cours de la phase de déploiement des cartes achat et des cartes </w:t>
      </w:r>
      <w:proofErr w:type="spellStart"/>
      <w:r w:rsidR="007326EF">
        <w:t>corporate</w:t>
      </w:r>
      <w:proofErr w:type="spellEnd"/>
      <w:r w:rsidRPr="00F45092">
        <w:t>,</w:t>
      </w:r>
    </w:p>
    <w:p w14:paraId="3FD5C1DE" w14:textId="6BC30FE6" w:rsidR="00F45092" w:rsidRDefault="00F45092" w:rsidP="00123AD3">
      <w:pPr>
        <w:numPr>
          <w:ilvl w:val="0"/>
          <w:numId w:val="29"/>
        </w:numPr>
        <w:spacing w:before="100" w:beforeAutospacing="1" w:after="100" w:afterAutospacing="1"/>
      </w:pPr>
      <w:proofErr w:type="gramStart"/>
      <w:r w:rsidRPr="00F45092">
        <w:t>présenter</w:t>
      </w:r>
      <w:proofErr w:type="gramEnd"/>
      <w:r w:rsidRPr="00F45092">
        <w:t xml:space="preserve"> de manière générale les outils associés à chaque type de carte (interface de gestion, accès porteurs, etc.),</w:t>
      </w:r>
    </w:p>
    <w:p w14:paraId="3545CA04" w14:textId="38277034" w:rsidR="008D2612" w:rsidRPr="00F45092" w:rsidRDefault="00123AD3" w:rsidP="00123AD3">
      <w:pPr>
        <w:numPr>
          <w:ilvl w:val="0"/>
          <w:numId w:val="29"/>
        </w:numPr>
        <w:spacing w:before="100" w:beforeAutospacing="1" w:after="100" w:afterAutospacing="1"/>
      </w:pPr>
      <w:proofErr w:type="gramStart"/>
      <w:r>
        <w:t>d</w:t>
      </w:r>
      <w:r w:rsidR="008D2612">
        <w:t>écrire</w:t>
      </w:r>
      <w:proofErr w:type="gramEnd"/>
      <w:r w:rsidR="008D2612">
        <w:t xml:space="preserve"> clairement les processus de délivrance des cartes et des documents associés ;</w:t>
      </w:r>
    </w:p>
    <w:p w14:paraId="067B2683" w14:textId="2E3BF66E" w:rsidR="00F45092" w:rsidRDefault="00F45092" w:rsidP="00123AD3">
      <w:pPr>
        <w:numPr>
          <w:ilvl w:val="0"/>
          <w:numId w:val="29"/>
        </w:numPr>
        <w:spacing w:before="100" w:beforeAutospacing="1" w:after="100" w:afterAutospacing="1"/>
      </w:pPr>
      <w:proofErr w:type="gramStart"/>
      <w:r w:rsidRPr="00F45092">
        <w:t>préciser</w:t>
      </w:r>
      <w:proofErr w:type="gramEnd"/>
      <w:r w:rsidRPr="00F45092">
        <w:t xml:space="preserve"> les délais, les intervenants et les étapes clés jusqu’à la mise en service complète.</w:t>
      </w:r>
    </w:p>
    <w:p w14:paraId="4D69A078" w14:textId="13392836" w:rsidR="008D2612" w:rsidRDefault="00123AD3" w:rsidP="00123AD3">
      <w:pPr>
        <w:numPr>
          <w:ilvl w:val="0"/>
          <w:numId w:val="29"/>
        </w:numPr>
        <w:spacing w:before="100" w:beforeAutospacing="1" w:after="100" w:afterAutospacing="1"/>
      </w:pPr>
      <w:proofErr w:type="gramStart"/>
      <w:r>
        <w:t>f</w:t>
      </w:r>
      <w:r w:rsidR="008D2612">
        <w:t>ormer</w:t>
      </w:r>
      <w:proofErr w:type="gramEnd"/>
      <w:r w:rsidR="008D2612">
        <w:t xml:space="preserve"> à l’utilisation des outils de </w:t>
      </w:r>
      <w:r>
        <w:t>gestion</w:t>
      </w:r>
      <w:r w:rsidR="006B524C">
        <w:t> ;</w:t>
      </w:r>
    </w:p>
    <w:p w14:paraId="12C86AD9" w14:textId="38169DAF" w:rsidR="006B524C" w:rsidRPr="00F45092" w:rsidRDefault="006B524C" w:rsidP="00123AD3">
      <w:pPr>
        <w:numPr>
          <w:ilvl w:val="0"/>
          <w:numId w:val="29"/>
        </w:numPr>
        <w:spacing w:before="100" w:beforeAutospacing="1" w:after="100" w:afterAutospacing="1"/>
      </w:pPr>
      <w:proofErr w:type="gramStart"/>
      <w:r>
        <w:t>finaliser</w:t>
      </w:r>
      <w:proofErr w:type="gramEnd"/>
      <w:r>
        <w:t xml:space="preserve"> les indicateurs de performance (KPI) et de </w:t>
      </w:r>
      <w:r w:rsidRPr="004824A7">
        <w:t xml:space="preserve">niveau de service </w:t>
      </w:r>
      <w:r>
        <w:t>(SLA).</w:t>
      </w:r>
    </w:p>
    <w:p w14:paraId="7E3435A3" w14:textId="675A98DB" w:rsidR="00AE145F" w:rsidRDefault="00AE145F" w:rsidP="00123AD3">
      <w:pPr>
        <w:spacing w:before="100" w:beforeAutospacing="1" w:after="100" w:afterAutospacing="1"/>
      </w:pPr>
      <w:r>
        <w:t xml:space="preserve">Ensuite, et jusqu’au démarrage </w:t>
      </w:r>
      <w:r w:rsidR="00E708AF">
        <w:t>prévisionn</w:t>
      </w:r>
      <w:r>
        <w:t xml:space="preserve">el de l’exécution </w:t>
      </w:r>
      <w:r w:rsidR="00476567">
        <w:t xml:space="preserve">du </w:t>
      </w:r>
      <w:r>
        <w:t xml:space="preserve">contrat, à savoir au </w:t>
      </w:r>
      <w:r w:rsidR="00476567" w:rsidRPr="00476567">
        <w:t>01/01/2026</w:t>
      </w:r>
      <w:r w:rsidRPr="00476567">
        <w:t>,</w:t>
      </w:r>
      <w:r>
        <w:t xml:space="preserve"> un point de suivi du projet </w:t>
      </w:r>
      <w:r w:rsidR="000217F3">
        <w:t xml:space="preserve">est tenu </w:t>
      </w:r>
      <w:r w:rsidR="000C2D6A">
        <w:t xml:space="preserve">au minimum </w:t>
      </w:r>
      <w:r w:rsidR="000217F3">
        <w:t>chaque semaine</w:t>
      </w:r>
      <w:r>
        <w:t xml:space="preserve">. Le calendrier de ces points de suivi </w:t>
      </w:r>
      <w:r w:rsidR="000217F3">
        <w:t>est</w:t>
      </w:r>
      <w:r>
        <w:t xml:space="preserve"> </w:t>
      </w:r>
      <w:r w:rsidR="000C2D6A">
        <w:t xml:space="preserve">adapté en fonction de </w:t>
      </w:r>
      <w:r>
        <w:t>l’avancement des étapes et des taches de préparation au déploiement</w:t>
      </w:r>
      <w:r w:rsidR="000C2D6A">
        <w:t>.</w:t>
      </w:r>
    </w:p>
    <w:p w14:paraId="7C83D829" w14:textId="1BD0A34B" w:rsidR="000C2D6A" w:rsidRDefault="000C2D6A" w:rsidP="00123AD3">
      <w:r w:rsidRPr="000C2D6A">
        <w:t>En cas de dépassement des délais prévus par le rétroplanning validé par INRAE, les pénalités de retard prévues au CCAP sont applicables.</w:t>
      </w:r>
    </w:p>
    <w:p w14:paraId="0AE54051" w14:textId="5B19EDEB" w:rsidR="005251E6" w:rsidRDefault="005251E6" w:rsidP="00123AD3">
      <w:pPr>
        <w:rPr>
          <w:b/>
        </w:rPr>
      </w:pPr>
    </w:p>
    <w:p w14:paraId="0CC94A35" w14:textId="56E7BA02" w:rsidR="004361A8" w:rsidRPr="004361A8" w:rsidRDefault="004361A8" w:rsidP="00011CED">
      <w:pPr>
        <w:pStyle w:val="Titre2"/>
      </w:pPr>
      <w:bookmarkStart w:id="63" w:name="_Toc201856064"/>
      <w:r>
        <w:t xml:space="preserve">7. 2 </w:t>
      </w:r>
      <w:r w:rsidRPr="004361A8">
        <w:t xml:space="preserve">Suivi après </w:t>
      </w:r>
      <w:r>
        <w:t>déploiement</w:t>
      </w:r>
      <w:bookmarkEnd w:id="63"/>
    </w:p>
    <w:p w14:paraId="5776FBC2" w14:textId="32E1F29B" w:rsidR="00C13B2D" w:rsidRDefault="004361A8" w:rsidP="00C13B2D">
      <w:r>
        <w:t xml:space="preserve">Après déploiement des cartes et mise en production des outils, un suivi régulier du projet est maintenu pendant un mois. Les points de suivi hebdomadaires sont hebdomadaires. </w:t>
      </w:r>
      <w:r w:rsidR="00C13B2D">
        <w:t xml:space="preserve">Le calendrier de ces points </w:t>
      </w:r>
      <w:r>
        <w:t>est</w:t>
      </w:r>
      <w:r w:rsidR="00C13B2D">
        <w:t xml:space="preserve"> </w:t>
      </w:r>
      <w:r w:rsidR="000C2D6A">
        <w:t>adapté</w:t>
      </w:r>
      <w:r w:rsidR="00C13B2D">
        <w:t xml:space="preserve"> suivant les problématiques rencontrées et les </w:t>
      </w:r>
      <w:r w:rsidR="000C2D6A">
        <w:t xml:space="preserve">corrections </w:t>
      </w:r>
      <w:r w:rsidR="00EA7951">
        <w:t>à apporter</w:t>
      </w:r>
      <w:r w:rsidR="00C13B2D">
        <w:t>.</w:t>
      </w:r>
    </w:p>
    <w:p w14:paraId="0AA51939" w14:textId="77777777" w:rsidR="00C13B2D" w:rsidRDefault="00C13B2D" w:rsidP="00C13B2D"/>
    <w:p w14:paraId="40CE07F4" w14:textId="45ADAE1C" w:rsidR="002310EF" w:rsidRPr="004824A7" w:rsidRDefault="002310EF" w:rsidP="00011CED">
      <w:pPr>
        <w:pStyle w:val="Titre2"/>
      </w:pPr>
      <w:bookmarkStart w:id="64" w:name="_Toc201856065"/>
      <w:r>
        <w:t>7.</w:t>
      </w:r>
      <w:r w:rsidR="006B524C">
        <w:t>3</w:t>
      </w:r>
      <w:r>
        <w:t xml:space="preserve"> </w:t>
      </w:r>
      <w:r w:rsidRPr="004824A7">
        <w:t>Suivi du SLA et des indicateurs</w:t>
      </w:r>
      <w:bookmarkEnd w:id="64"/>
    </w:p>
    <w:p w14:paraId="3B13F555" w14:textId="2312ED28" w:rsidR="002310EF" w:rsidRPr="004824A7" w:rsidRDefault="002310EF" w:rsidP="002310EF">
      <w:r w:rsidRPr="004824A7">
        <w:t xml:space="preserve">L’offre du titulaire prévoit le niveau de service ou SLA auquel </w:t>
      </w:r>
      <w:r>
        <w:t xml:space="preserve">il </w:t>
      </w:r>
      <w:r w:rsidRPr="004824A7">
        <w:t xml:space="preserve">s’engage et qui s’applique pour l’exécution du présent accord-cadre. Les indicateurs sont produits au minimum semestriellement. </w:t>
      </w:r>
    </w:p>
    <w:p w14:paraId="07B7819E" w14:textId="08CDF064" w:rsidR="002310EF" w:rsidRDefault="002310EF" w:rsidP="002310EF">
      <w:r w:rsidRPr="004824A7">
        <w:t xml:space="preserve">Les indicateurs sont déduits des délais contractuels du marché. Ils sont formalisés par le titulaire à l’issue de la phase de lancement. Ils peuvent évoluer dans </w:t>
      </w:r>
      <w:r>
        <w:t>une logique d</w:t>
      </w:r>
      <w:r w:rsidRPr="004824A7">
        <w:t>’amélioration continue pendant toute la durée du marché.</w:t>
      </w:r>
    </w:p>
    <w:p w14:paraId="5F8BDEAE" w14:textId="77777777" w:rsidR="00FD2934" w:rsidRPr="004824A7" w:rsidRDefault="00FD2934" w:rsidP="002310EF"/>
    <w:p w14:paraId="11A1DD19" w14:textId="77777777" w:rsidR="00FD2934" w:rsidRPr="006E11AB" w:rsidRDefault="00FD2934" w:rsidP="00FD2934">
      <w:r>
        <w:lastRenderedPageBreak/>
        <w:t>A l’occasion de chaque comité contractuel et sur simple demande du service achat d’INRAE,</w:t>
      </w:r>
      <w:r w:rsidRPr="006E11AB">
        <w:t xml:space="preserve"> le titulaire transmet les statistiques consolidées suivantes :</w:t>
      </w:r>
    </w:p>
    <w:p w14:paraId="09ABC5FA" w14:textId="77777777" w:rsidR="00FD2934" w:rsidRPr="006E11AB" w:rsidRDefault="00FD2934" w:rsidP="00FD2934">
      <w:pPr>
        <w:numPr>
          <w:ilvl w:val="0"/>
          <w:numId w:val="33"/>
        </w:numPr>
      </w:pPr>
      <w:proofErr w:type="gramStart"/>
      <w:r w:rsidRPr="006E11AB">
        <w:t>nombre</w:t>
      </w:r>
      <w:proofErr w:type="gramEnd"/>
      <w:r w:rsidRPr="006E11AB">
        <w:t xml:space="preserve"> de cartes par centre (actives, en opposition, etc.) ;</w:t>
      </w:r>
    </w:p>
    <w:p w14:paraId="1DD6BCA6" w14:textId="77777777" w:rsidR="00FD2934" w:rsidRPr="006E11AB" w:rsidRDefault="00FD2934" w:rsidP="00FD2934">
      <w:pPr>
        <w:numPr>
          <w:ilvl w:val="0"/>
          <w:numId w:val="33"/>
        </w:numPr>
      </w:pPr>
      <w:proofErr w:type="gramStart"/>
      <w:r w:rsidRPr="006E11AB">
        <w:t>nombre</w:t>
      </w:r>
      <w:proofErr w:type="gramEnd"/>
      <w:r w:rsidRPr="006E11AB">
        <w:t xml:space="preserve"> d’opérations mensuelles par carte ;</w:t>
      </w:r>
    </w:p>
    <w:p w14:paraId="520FE1F4" w14:textId="77777777" w:rsidR="00FD2934" w:rsidRPr="006E11AB" w:rsidRDefault="00FD2934" w:rsidP="00FD2934">
      <w:pPr>
        <w:numPr>
          <w:ilvl w:val="0"/>
          <w:numId w:val="33"/>
        </w:numPr>
      </w:pPr>
      <w:proofErr w:type="gramStart"/>
      <w:r w:rsidRPr="006E11AB">
        <w:t>montant</w:t>
      </w:r>
      <w:proofErr w:type="gramEnd"/>
      <w:r w:rsidRPr="006E11AB">
        <w:t xml:space="preserve"> moyen des dépenses par mois ;</w:t>
      </w:r>
    </w:p>
    <w:p w14:paraId="465C2994" w14:textId="77777777" w:rsidR="00FD2934" w:rsidRPr="006E11AB" w:rsidRDefault="00FD2934" w:rsidP="00FD2934">
      <w:pPr>
        <w:numPr>
          <w:ilvl w:val="0"/>
          <w:numId w:val="33"/>
        </w:numPr>
      </w:pPr>
      <w:proofErr w:type="gramStart"/>
      <w:r w:rsidRPr="006E11AB">
        <w:t>montants</w:t>
      </w:r>
      <w:proofErr w:type="gramEnd"/>
      <w:r w:rsidRPr="006E11AB">
        <w:t xml:space="preserve"> minimum et maximum engagés ;</w:t>
      </w:r>
    </w:p>
    <w:p w14:paraId="58B3E7BC" w14:textId="77777777" w:rsidR="00FD2934" w:rsidRDefault="00FD2934" w:rsidP="00FD2934">
      <w:pPr>
        <w:numPr>
          <w:ilvl w:val="0"/>
          <w:numId w:val="33"/>
        </w:numPr>
      </w:pPr>
      <w:proofErr w:type="gramStart"/>
      <w:r w:rsidRPr="006E11AB">
        <w:t>ratios</w:t>
      </w:r>
      <w:proofErr w:type="gramEnd"/>
      <w:r w:rsidRPr="006E11AB">
        <w:t xml:space="preserve"> des dépenses par nature.</w:t>
      </w:r>
    </w:p>
    <w:p w14:paraId="25F445AB" w14:textId="77777777" w:rsidR="002310EF" w:rsidRPr="004824A7" w:rsidRDefault="002310EF" w:rsidP="002310EF"/>
    <w:p w14:paraId="27217E99" w14:textId="77777777" w:rsidR="002310EF" w:rsidRPr="004824A7" w:rsidRDefault="002310EF" w:rsidP="002310EF">
      <w:r w:rsidRPr="004824A7">
        <w:t>En cas de non-respect du niveau d’engagement, le titulaire encourt les pénalités prévues au CCAP.</w:t>
      </w:r>
    </w:p>
    <w:p w14:paraId="4B028661" w14:textId="77777777" w:rsidR="002310EF" w:rsidRPr="00841CE6" w:rsidRDefault="002310EF" w:rsidP="002310EF"/>
    <w:p w14:paraId="110C9D92" w14:textId="3B35E39B" w:rsidR="00B830BD" w:rsidRDefault="005251E6" w:rsidP="00011CED">
      <w:pPr>
        <w:pStyle w:val="Titre2"/>
      </w:pPr>
      <w:bookmarkStart w:id="65" w:name="_Toc201856066"/>
      <w:r>
        <w:t>7.</w:t>
      </w:r>
      <w:r w:rsidR="006B524C">
        <w:t>4</w:t>
      </w:r>
      <w:r>
        <w:t xml:space="preserve"> </w:t>
      </w:r>
      <w:r w:rsidR="00B830BD">
        <w:t>Comité contractuel</w:t>
      </w:r>
      <w:bookmarkEnd w:id="65"/>
      <w:r w:rsidR="00B830BD">
        <w:t xml:space="preserve"> </w:t>
      </w:r>
    </w:p>
    <w:p w14:paraId="27BA0D1F" w14:textId="20F34C46" w:rsidR="00B830BD" w:rsidRDefault="00B830BD" w:rsidP="00B830BD">
      <w:r>
        <w:t xml:space="preserve">Chaque semestre, un comité contractuel est organisé entre le service achats INRAE et </w:t>
      </w:r>
      <w:r w:rsidR="0057313F">
        <w:t>l</w:t>
      </w:r>
      <w:r w:rsidR="00B87793">
        <w:t xml:space="preserve">’interlocuteur principal </w:t>
      </w:r>
      <w:r>
        <w:t>du titulaire. Suivant les sujets, d’autres interlocuteurs pourront être intégrés.</w:t>
      </w:r>
      <w:r w:rsidDel="00A14D72">
        <w:t xml:space="preserve"> </w:t>
      </w:r>
      <w:r>
        <w:t xml:space="preserve">Les comités peuvent se tenir en visioconférences. </w:t>
      </w:r>
    </w:p>
    <w:p w14:paraId="27962DEA" w14:textId="77777777" w:rsidR="00B830BD" w:rsidRDefault="00B830BD" w:rsidP="00B830BD"/>
    <w:p w14:paraId="476C20B5" w14:textId="77777777" w:rsidR="00B830BD" w:rsidRDefault="00B830BD" w:rsidP="00B830BD">
      <w:r>
        <w:t xml:space="preserve">L’objectif de ce comité est d’effectuer un suivi de l’accord-cadre formalisé et régulier pour soulever les éventuelles problématiques d’exécution et mettre en place les actions correctives. </w:t>
      </w:r>
    </w:p>
    <w:p w14:paraId="1A2F8A29" w14:textId="77777777" w:rsidR="00B830BD" w:rsidRDefault="00B830BD" w:rsidP="00B830BD"/>
    <w:p w14:paraId="2CD40889" w14:textId="77777777" w:rsidR="00B830BD" w:rsidRPr="0057313F" w:rsidRDefault="00B830BD" w:rsidP="00B830BD">
      <w:bookmarkStart w:id="66" w:name="_Hlk174528502"/>
      <w:r w:rsidRPr="0057313F">
        <w:t>L’ordre du jour prévisionnel de ces comités est le suivant :</w:t>
      </w:r>
    </w:p>
    <w:p w14:paraId="118F8DC8" w14:textId="5E22010B" w:rsidR="00B830BD" w:rsidRPr="0057313F" w:rsidRDefault="00B830BD" w:rsidP="00182679">
      <w:pPr>
        <w:pStyle w:val="Paragraphedeliste"/>
        <w:numPr>
          <w:ilvl w:val="0"/>
          <w:numId w:val="13"/>
        </w:numPr>
      </w:pPr>
      <w:r w:rsidRPr="0057313F">
        <w:t>Suivi des indicateurs et actions envisagées en cas de non-respect des engagements ;</w:t>
      </w:r>
    </w:p>
    <w:p w14:paraId="4889E845" w14:textId="78D49238" w:rsidR="00B830BD" w:rsidRPr="0057313F" w:rsidRDefault="00B830BD" w:rsidP="00182679">
      <w:pPr>
        <w:pStyle w:val="Paragraphedeliste"/>
        <w:numPr>
          <w:ilvl w:val="0"/>
          <w:numId w:val="13"/>
        </w:numPr>
      </w:pPr>
      <w:r w:rsidRPr="0057313F">
        <w:t xml:space="preserve">Suivi </w:t>
      </w:r>
      <w:r w:rsidR="0057313F" w:rsidRPr="0057313F">
        <w:t>des engagements RSE du titulaire</w:t>
      </w:r>
      <w:r w:rsidRPr="0057313F">
        <w:t> ;</w:t>
      </w:r>
    </w:p>
    <w:p w14:paraId="6DA088B6" w14:textId="05CCDB4C" w:rsidR="00B830BD" w:rsidRPr="0057313F" w:rsidRDefault="00B830BD" w:rsidP="00182679">
      <w:pPr>
        <w:pStyle w:val="Paragraphedeliste"/>
        <w:numPr>
          <w:ilvl w:val="0"/>
          <w:numId w:val="13"/>
        </w:numPr>
      </w:pPr>
      <w:bookmarkStart w:id="67" w:name="_Hlk173916601"/>
      <w:r w:rsidRPr="0057313F">
        <w:t>Évolution éventuelle de l’accord-cadre (MAJ outil,</w:t>
      </w:r>
      <w:r w:rsidR="004824A7" w:rsidRPr="0057313F">
        <w:t xml:space="preserve"> </w:t>
      </w:r>
      <w:r w:rsidRPr="0057313F">
        <w:t>évolution processu</w:t>
      </w:r>
      <w:r w:rsidR="004824A7" w:rsidRPr="0057313F">
        <w:t>s de mise en opposition…</w:t>
      </w:r>
      <w:proofErr w:type="gramStart"/>
      <w:r w:rsidR="004824A7" w:rsidRPr="0057313F">
        <w:t>)</w:t>
      </w:r>
      <w:r w:rsidRPr="0057313F">
        <w:t>;</w:t>
      </w:r>
      <w:proofErr w:type="gramEnd"/>
      <w:r w:rsidRPr="0057313F">
        <w:t xml:space="preserve"> </w:t>
      </w:r>
    </w:p>
    <w:p w14:paraId="42A9B2AA" w14:textId="77777777" w:rsidR="00B830BD" w:rsidRPr="0057313F" w:rsidRDefault="00B830BD" w:rsidP="00182679">
      <w:pPr>
        <w:pStyle w:val="Paragraphedeliste"/>
        <w:numPr>
          <w:ilvl w:val="0"/>
          <w:numId w:val="13"/>
        </w:numPr>
      </w:pPr>
      <w:r w:rsidRPr="0057313F">
        <w:t xml:space="preserve">Suivi du </w:t>
      </w:r>
      <w:proofErr w:type="spellStart"/>
      <w:r w:rsidRPr="0057313F">
        <w:t>reporting</w:t>
      </w:r>
      <w:proofErr w:type="spellEnd"/>
      <w:r w:rsidRPr="0057313F">
        <w:t xml:space="preserve"> financier et de l’application des pénalités ;</w:t>
      </w:r>
    </w:p>
    <w:bookmarkEnd w:id="67"/>
    <w:p w14:paraId="03380A0A" w14:textId="77777777" w:rsidR="00B830BD" w:rsidRPr="0057313F" w:rsidRDefault="00B830BD" w:rsidP="00182679">
      <w:pPr>
        <w:pStyle w:val="Paragraphedeliste"/>
        <w:numPr>
          <w:ilvl w:val="0"/>
          <w:numId w:val="13"/>
        </w:numPr>
      </w:pPr>
      <w:r w:rsidRPr="0057313F">
        <w:t>Autre(s) point(s) soulevé(s) par l’une ou l’autre des parties.</w:t>
      </w:r>
    </w:p>
    <w:bookmarkEnd w:id="66"/>
    <w:p w14:paraId="17E5D2CA" w14:textId="0B4F74CB" w:rsidR="00B830BD" w:rsidRDefault="00B830BD" w:rsidP="00B830BD"/>
    <w:p w14:paraId="66D448DA" w14:textId="77777777" w:rsidR="00B830BD" w:rsidRDefault="00B830BD" w:rsidP="00B830BD">
      <w:r>
        <w:t>Le titulaire prépare, pour chaque comité contractuel :</w:t>
      </w:r>
    </w:p>
    <w:p w14:paraId="78FBD03F" w14:textId="77777777" w:rsidR="00B830BD" w:rsidRDefault="00B830BD" w:rsidP="00182679">
      <w:pPr>
        <w:pStyle w:val="Paragraphedeliste"/>
        <w:numPr>
          <w:ilvl w:val="0"/>
          <w:numId w:val="31"/>
        </w:numPr>
      </w:pPr>
      <w:proofErr w:type="gramStart"/>
      <w:r>
        <w:t>un</w:t>
      </w:r>
      <w:proofErr w:type="gramEnd"/>
      <w:r>
        <w:t xml:space="preserve"> support de présentation reprenant l’ordre du jour et transmis au moins 5 jours ouvrés avant la tenue du comité ;</w:t>
      </w:r>
    </w:p>
    <w:p w14:paraId="6F710728" w14:textId="77777777" w:rsidR="00B830BD" w:rsidRDefault="00B830BD" w:rsidP="00182679">
      <w:pPr>
        <w:pStyle w:val="Paragraphedeliste"/>
        <w:numPr>
          <w:ilvl w:val="0"/>
          <w:numId w:val="31"/>
        </w:numPr>
      </w:pPr>
      <w:proofErr w:type="gramStart"/>
      <w:r>
        <w:t>un</w:t>
      </w:r>
      <w:proofErr w:type="gramEnd"/>
      <w:r>
        <w:t xml:space="preserve"> compte rendu sous 5 jours ouvrés. Il est amendé si nécessaire et validé par INRAE. </w:t>
      </w:r>
    </w:p>
    <w:p w14:paraId="5E2C768D" w14:textId="77777777" w:rsidR="00B830BD" w:rsidRDefault="00B830BD" w:rsidP="00B830BD"/>
    <w:p w14:paraId="6ACCE426" w14:textId="77777777" w:rsidR="00B830BD" w:rsidRDefault="00B830BD" w:rsidP="00B830BD">
      <w:r>
        <w:t>A défaut de respect de ces délais, le titulaire encourt les pénalités prévues au</w:t>
      </w:r>
      <w:r w:rsidRPr="00416C63">
        <w:t xml:space="preserve"> CCAP</w:t>
      </w:r>
      <w:r>
        <w:t>.</w:t>
      </w:r>
    </w:p>
    <w:p w14:paraId="51597958" w14:textId="77777777" w:rsidR="00B830BD" w:rsidRDefault="00B830BD" w:rsidP="00B830BD"/>
    <w:p w14:paraId="2B810E41" w14:textId="1C02DCD9" w:rsidR="00B830BD" w:rsidRDefault="00B830BD" w:rsidP="00B830BD">
      <w:r>
        <w:t xml:space="preserve">La tenue de ces comités contractuels semestriels ne limite pas la tenue d’autres réunions durant le </w:t>
      </w:r>
      <w:r w:rsidRPr="007101F7">
        <w:t>semestre</w:t>
      </w:r>
    </w:p>
    <w:p w14:paraId="34DF25E2" w14:textId="77777777" w:rsidR="004824A7" w:rsidRDefault="004824A7" w:rsidP="00B830BD"/>
    <w:p w14:paraId="6F35A9FC" w14:textId="77777777" w:rsidR="00FD2934" w:rsidRDefault="00FD2934" w:rsidP="00C13B2D"/>
    <w:p w14:paraId="4B8CB0D4" w14:textId="3521C40A" w:rsidR="00FD2934" w:rsidRDefault="00FD2934" w:rsidP="00FD2934">
      <w:pPr>
        <w:pStyle w:val="Titre1"/>
      </w:pPr>
      <w:bookmarkStart w:id="68" w:name="_Toc175667171"/>
      <w:bookmarkStart w:id="69" w:name="_Toc201856067"/>
      <w:r>
        <w:t>Réversibilité des données</w:t>
      </w:r>
      <w:bookmarkEnd w:id="68"/>
      <w:bookmarkEnd w:id="69"/>
    </w:p>
    <w:p w14:paraId="6F68815E" w14:textId="77777777" w:rsidR="00FD2934" w:rsidRDefault="00FD2934" w:rsidP="00FD2934"/>
    <w:p w14:paraId="5B1AB752" w14:textId="6DC04CED" w:rsidR="00FD2934" w:rsidRDefault="00FD2934" w:rsidP="00FD2934">
      <w:r>
        <w:t>A l’expiration du présent accord-cadre ou en cas de résiliation de celui-ci pour quelque cause que ce soit, le titulaire s’engage à fournir à INRAE l’ensemble de</w:t>
      </w:r>
      <w:r w:rsidR="00181720">
        <w:t xml:space="preserve">s données, de </w:t>
      </w:r>
      <w:r>
        <w:t xml:space="preserve">la documentation et des informations </w:t>
      </w:r>
      <w:r w:rsidR="00181720">
        <w:t>relatives à l’utilisation des cartes.</w:t>
      </w:r>
    </w:p>
    <w:p w14:paraId="05541D62" w14:textId="77777777" w:rsidR="00181720" w:rsidRDefault="00181720" w:rsidP="00FD2934"/>
    <w:p w14:paraId="3BF2DD50" w14:textId="49C6E15B" w:rsidR="00181720" w:rsidRDefault="00181720" w:rsidP="00FD2934">
      <w:r>
        <w:t>INRAE conserve l’accès aux outils pendant un délai maximum de 6 mois à compter de la fin du marché.</w:t>
      </w:r>
    </w:p>
    <w:p w14:paraId="0B8DE37B" w14:textId="77777777" w:rsidR="00FD2934" w:rsidRDefault="00FD2934" w:rsidP="00FD2934"/>
    <w:p w14:paraId="5D5C9689" w14:textId="6E73A098" w:rsidR="00FD2934" w:rsidRDefault="00FD2934" w:rsidP="00FD2934">
      <w:r>
        <w:t xml:space="preserve">Le </w:t>
      </w:r>
      <w:r w:rsidR="00181720">
        <w:t>t</w:t>
      </w:r>
      <w:r>
        <w:t>itulaire s’engage à ne conserver aucun document ou information d’exécution de l’accord-cadre à l’issue de la phase de réversibilité, sauf accord écrit de la part d’INRAE.</w:t>
      </w:r>
    </w:p>
    <w:p w14:paraId="6214D53C" w14:textId="54454B71" w:rsidR="00E95C81" w:rsidRDefault="00E95C81" w:rsidP="00C13B2D"/>
    <w:p w14:paraId="016C166E" w14:textId="2AA52E6A" w:rsidR="00E95C81" w:rsidRDefault="00E95C81" w:rsidP="00C13B2D"/>
    <w:p w14:paraId="199D1568" w14:textId="03F07514" w:rsidR="00751CA2" w:rsidRDefault="00751CA2" w:rsidP="00751CA2">
      <w:pPr>
        <w:pStyle w:val="Titre1"/>
        <w:numPr>
          <w:ilvl w:val="0"/>
          <w:numId w:val="0"/>
        </w:numPr>
        <w:ind w:left="432" w:hanging="432"/>
      </w:pPr>
      <w:bookmarkStart w:id="70" w:name="_Toc201856068"/>
      <w:r>
        <w:t>Annexes</w:t>
      </w:r>
      <w:bookmarkEnd w:id="70"/>
    </w:p>
    <w:p w14:paraId="3AC83E28" w14:textId="77777777" w:rsidR="006D5333" w:rsidRPr="006D5333" w:rsidRDefault="006D5333" w:rsidP="006D5333"/>
    <w:p w14:paraId="4CD8D2C3" w14:textId="094FFF48" w:rsidR="006D5333" w:rsidRPr="006D5333" w:rsidRDefault="009D03E6" w:rsidP="00011CED">
      <w:pPr>
        <w:pStyle w:val="Titre2"/>
      </w:pPr>
      <w:bookmarkStart w:id="71" w:name="_Toc201856069"/>
      <w:r w:rsidRPr="009D03E6">
        <w:rPr>
          <w:noProof/>
        </w:rPr>
        <w:drawing>
          <wp:anchor distT="0" distB="0" distL="114300" distR="114300" simplePos="0" relativeHeight="251672576" behindDoc="0" locked="0" layoutInCell="1" allowOverlap="1" wp14:anchorId="7357CD95" wp14:editId="6BED20B6">
            <wp:simplePos x="0" y="0"/>
            <wp:positionH relativeFrom="margin">
              <wp:align>center</wp:align>
            </wp:positionH>
            <wp:positionV relativeFrom="paragraph">
              <wp:posOffset>547870</wp:posOffset>
            </wp:positionV>
            <wp:extent cx="7163435" cy="4703445"/>
            <wp:effectExtent l="0" t="0" r="0" b="1905"/>
            <wp:wrapTopAndBottom/>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7163435" cy="4703445"/>
                    </a:xfrm>
                    <a:prstGeom prst="rect">
                      <a:avLst/>
                    </a:prstGeom>
                  </pic:spPr>
                </pic:pic>
              </a:graphicData>
            </a:graphic>
            <wp14:sizeRelH relativeFrom="margin">
              <wp14:pctWidth>0</wp14:pctWidth>
            </wp14:sizeRelH>
            <wp14:sizeRelV relativeFrom="margin">
              <wp14:pctHeight>0</wp14:pctHeight>
            </wp14:sizeRelV>
          </wp:anchor>
        </w:drawing>
      </w:r>
      <w:r w:rsidR="006D5333">
        <w:t>D</w:t>
      </w:r>
      <w:r w:rsidR="006D5333" w:rsidRPr="006D5333">
        <w:t xml:space="preserve">épenses payées par carte achat par </w:t>
      </w:r>
      <w:r w:rsidR="006D5333">
        <w:t>centre</w:t>
      </w:r>
      <w:r w:rsidR="006D5333" w:rsidRPr="006D5333">
        <w:t xml:space="preserve"> en 2024</w:t>
      </w:r>
      <w:bookmarkEnd w:id="71"/>
    </w:p>
    <w:p w14:paraId="351A5796" w14:textId="5138C0F9" w:rsidR="006D5333" w:rsidRPr="005476AD" w:rsidRDefault="006D5333" w:rsidP="006D5333">
      <w:pPr>
        <w:rPr>
          <w:noProof/>
        </w:rPr>
      </w:pPr>
    </w:p>
    <w:p w14:paraId="4E9ED9AD" w14:textId="77777777" w:rsidR="006D5333" w:rsidRDefault="006D5333" w:rsidP="006D5333">
      <w:pPr>
        <w:rPr>
          <w:i/>
        </w:rPr>
      </w:pPr>
    </w:p>
    <w:p w14:paraId="3F11A6ED" w14:textId="77777777" w:rsidR="006D5333" w:rsidRDefault="006D5333" w:rsidP="006D5333">
      <w:pPr>
        <w:rPr>
          <w:i/>
        </w:rPr>
      </w:pPr>
    </w:p>
    <w:p w14:paraId="233DAD36" w14:textId="77777777" w:rsidR="006D5333" w:rsidRDefault="006D5333" w:rsidP="006D5333">
      <w:pPr>
        <w:rPr>
          <w:i/>
        </w:rPr>
      </w:pPr>
    </w:p>
    <w:p w14:paraId="102AC5AA" w14:textId="77777777" w:rsidR="006D5333" w:rsidRDefault="006D5333" w:rsidP="006D5333">
      <w:pPr>
        <w:rPr>
          <w:i/>
        </w:rPr>
      </w:pPr>
    </w:p>
    <w:p w14:paraId="53EDC474" w14:textId="77777777" w:rsidR="006D5333" w:rsidRDefault="006D5333" w:rsidP="006D5333">
      <w:pPr>
        <w:rPr>
          <w:i/>
        </w:rPr>
      </w:pPr>
    </w:p>
    <w:p w14:paraId="63966ABC" w14:textId="77777777" w:rsidR="006D5333" w:rsidRDefault="006D5333" w:rsidP="006D5333">
      <w:pPr>
        <w:rPr>
          <w:i/>
        </w:rPr>
      </w:pPr>
    </w:p>
    <w:p w14:paraId="169E16F5" w14:textId="739069FB" w:rsidR="00F63974" w:rsidRPr="006D5333" w:rsidRDefault="006D5333" w:rsidP="00011CED">
      <w:pPr>
        <w:pStyle w:val="Titre2"/>
      </w:pPr>
      <w:bookmarkStart w:id="72" w:name="_Toc201856070"/>
      <w:r>
        <w:lastRenderedPageBreak/>
        <w:t>Ré</w:t>
      </w:r>
      <w:r w:rsidRPr="006D5333">
        <w:t>partition des d</w:t>
      </w:r>
      <w:r w:rsidR="00F63974" w:rsidRPr="006D5333">
        <w:t xml:space="preserve">épenses </w:t>
      </w:r>
      <w:r w:rsidRPr="006D5333">
        <w:t>payé</w:t>
      </w:r>
      <w:r w:rsidR="00F63974" w:rsidRPr="006D5333">
        <w:t xml:space="preserve">es par carte </w:t>
      </w:r>
      <w:r w:rsidRPr="006D5333">
        <w:t>a</w:t>
      </w:r>
      <w:r w:rsidR="003547D5" w:rsidRPr="006D5333">
        <w:t>chat</w:t>
      </w:r>
      <w:r w:rsidR="00F63974" w:rsidRPr="006D5333">
        <w:t xml:space="preserve"> </w:t>
      </w:r>
      <w:r w:rsidRPr="006D5333">
        <w:t>par nature de dépenses en</w:t>
      </w:r>
      <w:r w:rsidR="00B46E3F" w:rsidRPr="006D5333">
        <w:t xml:space="preserve"> 2024</w:t>
      </w:r>
      <w:bookmarkEnd w:id="72"/>
    </w:p>
    <w:p w14:paraId="6EE74DC5" w14:textId="063EABB0" w:rsidR="00B46E3F" w:rsidRPr="00B81E8A" w:rsidRDefault="006E74B3" w:rsidP="00B81E8A">
      <w:pPr>
        <w:jc w:val="center"/>
        <w:rPr>
          <w:sz w:val="28"/>
          <w:szCs w:val="28"/>
        </w:rPr>
      </w:pPr>
      <w:r w:rsidRPr="006E74B3">
        <w:rPr>
          <w:noProof/>
        </w:rPr>
        <w:drawing>
          <wp:anchor distT="0" distB="0" distL="114300" distR="114300" simplePos="0" relativeHeight="251671552" behindDoc="0" locked="0" layoutInCell="1" allowOverlap="1" wp14:anchorId="53BF4535" wp14:editId="16D08BB1">
            <wp:simplePos x="0" y="0"/>
            <wp:positionH relativeFrom="column">
              <wp:posOffset>1589405</wp:posOffset>
            </wp:positionH>
            <wp:positionV relativeFrom="paragraph">
              <wp:posOffset>216535</wp:posOffset>
            </wp:positionV>
            <wp:extent cx="2921000" cy="5862955"/>
            <wp:effectExtent l="0" t="0" r="0" b="4445"/>
            <wp:wrapTopAndBottom/>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2921000" cy="5862955"/>
                    </a:xfrm>
                    <a:prstGeom prst="rect">
                      <a:avLst/>
                    </a:prstGeom>
                  </pic:spPr>
                </pic:pic>
              </a:graphicData>
            </a:graphic>
            <wp14:sizeRelH relativeFrom="margin">
              <wp14:pctWidth>0</wp14:pctWidth>
            </wp14:sizeRelH>
            <wp14:sizeRelV relativeFrom="margin">
              <wp14:pctHeight>0</wp14:pctHeight>
            </wp14:sizeRelV>
          </wp:anchor>
        </w:drawing>
      </w:r>
    </w:p>
    <w:p w14:paraId="77E7F2D2" w14:textId="55B36963" w:rsidR="005476AD" w:rsidRDefault="005476AD" w:rsidP="00C13B2D">
      <w:pPr>
        <w:rPr>
          <w:rFonts w:ascii="Raleway" w:hAnsi="Raleway" w:cs="Times-Roman"/>
          <w:i/>
          <w:color w:val="00A3A6"/>
          <w:szCs w:val="24"/>
        </w:rPr>
      </w:pPr>
    </w:p>
    <w:p w14:paraId="011B58C6" w14:textId="442E08CA" w:rsidR="005476AD" w:rsidRDefault="005476AD" w:rsidP="00C13B2D">
      <w:pPr>
        <w:rPr>
          <w:rFonts w:ascii="Raleway" w:hAnsi="Raleway" w:cs="Times-Roman"/>
          <w:i/>
          <w:color w:val="00A3A6"/>
          <w:szCs w:val="24"/>
        </w:rPr>
      </w:pPr>
    </w:p>
    <w:p w14:paraId="31CA5498" w14:textId="75EDA687" w:rsidR="003547D5" w:rsidRPr="003547D5" w:rsidRDefault="003547D5" w:rsidP="003547D5">
      <w:pPr>
        <w:rPr>
          <w:rFonts w:ascii="Raleway" w:hAnsi="Raleway" w:cs="Times-Roman"/>
          <w:b/>
          <w:bCs/>
          <w:i/>
          <w:color w:val="00A3A6"/>
          <w:szCs w:val="24"/>
        </w:rPr>
      </w:pPr>
      <w:r w:rsidRPr="003547D5">
        <w:rPr>
          <w:rFonts w:ascii="Raleway" w:hAnsi="Raleway" w:cs="Times-Roman"/>
          <w:b/>
          <w:bCs/>
          <w:i/>
          <w:color w:val="00A3A6"/>
          <w:szCs w:val="24"/>
        </w:rPr>
        <w:t>*Les natures de dépenses correspondent à une nomenclature bancaire.</w:t>
      </w:r>
    </w:p>
    <w:p w14:paraId="007542B5" w14:textId="266F98B9" w:rsidR="005476AD" w:rsidRDefault="005476AD" w:rsidP="00C13B2D">
      <w:pPr>
        <w:rPr>
          <w:rFonts w:ascii="Raleway" w:hAnsi="Raleway" w:cs="Times-Roman"/>
          <w:i/>
          <w:color w:val="00A3A6"/>
          <w:szCs w:val="24"/>
        </w:rPr>
      </w:pPr>
    </w:p>
    <w:p w14:paraId="4FDE64E6" w14:textId="6E20B88E" w:rsidR="003547D5" w:rsidRDefault="003547D5" w:rsidP="00C13B2D">
      <w:pPr>
        <w:rPr>
          <w:rFonts w:ascii="Raleway" w:hAnsi="Raleway" w:cs="Times-Roman"/>
          <w:i/>
          <w:color w:val="00A3A6"/>
          <w:szCs w:val="24"/>
        </w:rPr>
      </w:pPr>
    </w:p>
    <w:p w14:paraId="21C2138E" w14:textId="2D4D28D3" w:rsidR="005E0554" w:rsidRDefault="005E0554" w:rsidP="00C13B2D">
      <w:pPr>
        <w:rPr>
          <w:rFonts w:ascii="Raleway" w:hAnsi="Raleway" w:cs="Times-Roman"/>
          <w:i/>
          <w:color w:val="00A3A6"/>
          <w:szCs w:val="24"/>
        </w:rPr>
      </w:pPr>
    </w:p>
    <w:p w14:paraId="0423EEBD" w14:textId="718A7218" w:rsidR="006E74B3" w:rsidRDefault="006E74B3" w:rsidP="00C13B2D">
      <w:pPr>
        <w:rPr>
          <w:rFonts w:ascii="Raleway" w:hAnsi="Raleway" w:cs="Times-Roman"/>
          <w:i/>
          <w:color w:val="00A3A6"/>
          <w:szCs w:val="24"/>
        </w:rPr>
      </w:pPr>
    </w:p>
    <w:p w14:paraId="6747EDB7" w14:textId="4D776E01" w:rsidR="006E74B3" w:rsidRDefault="006E74B3" w:rsidP="00C13B2D">
      <w:pPr>
        <w:rPr>
          <w:rFonts w:ascii="Raleway" w:hAnsi="Raleway" w:cs="Times-Roman"/>
          <w:i/>
          <w:color w:val="00A3A6"/>
          <w:szCs w:val="24"/>
        </w:rPr>
      </w:pPr>
    </w:p>
    <w:p w14:paraId="79C4051C" w14:textId="700500D3" w:rsidR="006E74B3" w:rsidRDefault="006E74B3" w:rsidP="00C13B2D">
      <w:pPr>
        <w:rPr>
          <w:rFonts w:ascii="Raleway" w:hAnsi="Raleway" w:cs="Times-Roman"/>
          <w:i/>
          <w:color w:val="00A3A6"/>
          <w:szCs w:val="24"/>
        </w:rPr>
      </w:pPr>
    </w:p>
    <w:p w14:paraId="0AFD9006" w14:textId="3C8AE2EA" w:rsidR="006E74B3" w:rsidRDefault="006E74B3" w:rsidP="00C13B2D">
      <w:pPr>
        <w:rPr>
          <w:rFonts w:ascii="Raleway" w:hAnsi="Raleway" w:cs="Times-Roman"/>
          <w:i/>
          <w:color w:val="00A3A6"/>
          <w:szCs w:val="24"/>
        </w:rPr>
      </w:pPr>
    </w:p>
    <w:p w14:paraId="372FEF58" w14:textId="44FDCF9F" w:rsidR="006E74B3" w:rsidRDefault="006E74B3" w:rsidP="00C13B2D">
      <w:pPr>
        <w:rPr>
          <w:rFonts w:ascii="Raleway" w:hAnsi="Raleway" w:cs="Times-Roman"/>
          <w:i/>
          <w:color w:val="00A3A6"/>
          <w:szCs w:val="24"/>
        </w:rPr>
      </w:pPr>
    </w:p>
    <w:p w14:paraId="7919C595" w14:textId="50193DB2" w:rsidR="005E0554" w:rsidRDefault="005E0554" w:rsidP="00C13B2D">
      <w:pPr>
        <w:rPr>
          <w:rFonts w:ascii="Raleway" w:hAnsi="Raleway" w:cs="Times-Roman"/>
          <w:i/>
          <w:color w:val="00A3A6"/>
          <w:szCs w:val="24"/>
        </w:rPr>
      </w:pPr>
    </w:p>
    <w:p w14:paraId="10008329" w14:textId="66DFF0FF" w:rsidR="00814868" w:rsidRPr="006D5333" w:rsidRDefault="00814868" w:rsidP="00814868">
      <w:pPr>
        <w:pStyle w:val="Titre2"/>
      </w:pPr>
      <w:r>
        <w:lastRenderedPageBreak/>
        <w:t>D</w:t>
      </w:r>
      <w:r w:rsidRPr="006D5333">
        <w:t xml:space="preserve">épenses payées par carte </w:t>
      </w:r>
      <w:proofErr w:type="spellStart"/>
      <w:r>
        <w:t>corporate</w:t>
      </w:r>
      <w:proofErr w:type="spellEnd"/>
      <w:r w:rsidRPr="006D5333">
        <w:t xml:space="preserve"> par </w:t>
      </w:r>
      <w:r>
        <w:t>centre</w:t>
      </w:r>
      <w:r w:rsidRPr="006D5333">
        <w:t xml:space="preserve"> en 2024</w:t>
      </w:r>
    </w:p>
    <w:p w14:paraId="0FAE3A46" w14:textId="382D5E5F" w:rsidR="005476AD" w:rsidRDefault="00436F0B" w:rsidP="00C13B2D">
      <w:pPr>
        <w:rPr>
          <w:rFonts w:ascii="Raleway" w:hAnsi="Raleway" w:cs="Times-Roman"/>
          <w:i/>
          <w:color w:val="00A3A6"/>
          <w:szCs w:val="24"/>
        </w:rPr>
      </w:pPr>
      <w:r w:rsidRPr="00436F0B">
        <w:rPr>
          <w:i/>
        </w:rPr>
        <w:drawing>
          <wp:anchor distT="0" distB="0" distL="114300" distR="114300" simplePos="0" relativeHeight="251673600" behindDoc="0" locked="0" layoutInCell="1" allowOverlap="1" wp14:anchorId="638B91FF" wp14:editId="5AB09361">
            <wp:simplePos x="0" y="0"/>
            <wp:positionH relativeFrom="margin">
              <wp:align>center</wp:align>
            </wp:positionH>
            <wp:positionV relativeFrom="paragraph">
              <wp:posOffset>267335</wp:posOffset>
            </wp:positionV>
            <wp:extent cx="7249160" cy="3562350"/>
            <wp:effectExtent l="0" t="0" r="8890" b="0"/>
            <wp:wrapTopAndBottom/>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7249160" cy="3562350"/>
                    </a:xfrm>
                    <a:prstGeom prst="rect">
                      <a:avLst/>
                    </a:prstGeom>
                  </pic:spPr>
                </pic:pic>
              </a:graphicData>
            </a:graphic>
            <wp14:sizeRelH relativeFrom="margin">
              <wp14:pctWidth>0</wp14:pctWidth>
            </wp14:sizeRelH>
            <wp14:sizeRelV relativeFrom="margin">
              <wp14:pctHeight>0</wp14:pctHeight>
            </wp14:sizeRelV>
          </wp:anchor>
        </w:drawing>
      </w:r>
    </w:p>
    <w:p w14:paraId="6A786A03" w14:textId="293E9CC2" w:rsidR="005E21EA" w:rsidRDefault="005E21EA" w:rsidP="005F11BB">
      <w:pPr>
        <w:rPr>
          <w:i/>
        </w:rPr>
      </w:pPr>
    </w:p>
    <w:p w14:paraId="1E9C8D69" w14:textId="06BB4469" w:rsidR="00814868" w:rsidRDefault="00814868" w:rsidP="005F11BB">
      <w:pPr>
        <w:rPr>
          <w:i/>
        </w:rPr>
      </w:pPr>
    </w:p>
    <w:p w14:paraId="0E2BBC18" w14:textId="733159A3" w:rsidR="00814868" w:rsidRDefault="00814868" w:rsidP="005F11BB">
      <w:pPr>
        <w:rPr>
          <w:i/>
        </w:rPr>
      </w:pPr>
    </w:p>
    <w:p w14:paraId="08C3175F" w14:textId="3F645E05" w:rsidR="00814868" w:rsidRDefault="00814868" w:rsidP="005F11BB">
      <w:pPr>
        <w:rPr>
          <w:i/>
        </w:rPr>
      </w:pPr>
    </w:p>
    <w:p w14:paraId="0877BCBD" w14:textId="749046BE" w:rsidR="00814868" w:rsidRDefault="00814868" w:rsidP="005F11BB">
      <w:pPr>
        <w:rPr>
          <w:i/>
        </w:rPr>
      </w:pPr>
    </w:p>
    <w:p w14:paraId="5DF6EE0B" w14:textId="6517021F" w:rsidR="00814868" w:rsidRDefault="00814868" w:rsidP="005F11BB">
      <w:pPr>
        <w:rPr>
          <w:i/>
        </w:rPr>
      </w:pPr>
    </w:p>
    <w:p w14:paraId="3EB94F34" w14:textId="662065F7" w:rsidR="00814868" w:rsidRDefault="00814868" w:rsidP="005F11BB">
      <w:pPr>
        <w:rPr>
          <w:i/>
        </w:rPr>
      </w:pPr>
    </w:p>
    <w:p w14:paraId="03F49A0A" w14:textId="59C614EC" w:rsidR="00814868" w:rsidRDefault="00814868" w:rsidP="005F11BB">
      <w:pPr>
        <w:rPr>
          <w:i/>
        </w:rPr>
      </w:pPr>
    </w:p>
    <w:p w14:paraId="1F1D90C8" w14:textId="4C480379" w:rsidR="00814868" w:rsidRDefault="00814868" w:rsidP="005F11BB">
      <w:pPr>
        <w:rPr>
          <w:i/>
        </w:rPr>
      </w:pPr>
    </w:p>
    <w:p w14:paraId="01BA295B" w14:textId="5DD126DA" w:rsidR="00814868" w:rsidRDefault="00814868" w:rsidP="005F11BB">
      <w:pPr>
        <w:rPr>
          <w:i/>
        </w:rPr>
      </w:pPr>
    </w:p>
    <w:p w14:paraId="3BCC6C23" w14:textId="2C5D5D9F" w:rsidR="00814868" w:rsidRDefault="00814868" w:rsidP="005F11BB">
      <w:pPr>
        <w:rPr>
          <w:i/>
        </w:rPr>
      </w:pPr>
    </w:p>
    <w:p w14:paraId="14DD6D9D" w14:textId="0DC2D324" w:rsidR="00814868" w:rsidRDefault="00814868" w:rsidP="005F11BB">
      <w:pPr>
        <w:rPr>
          <w:i/>
        </w:rPr>
      </w:pPr>
    </w:p>
    <w:p w14:paraId="062ABAEA" w14:textId="30514447" w:rsidR="00814868" w:rsidRDefault="00814868" w:rsidP="005F11BB">
      <w:pPr>
        <w:rPr>
          <w:i/>
        </w:rPr>
      </w:pPr>
    </w:p>
    <w:p w14:paraId="38B52425" w14:textId="18387CCE" w:rsidR="00814868" w:rsidRDefault="00814868" w:rsidP="005F11BB">
      <w:pPr>
        <w:rPr>
          <w:i/>
        </w:rPr>
      </w:pPr>
    </w:p>
    <w:p w14:paraId="4A18AAC0" w14:textId="2F5B5F45" w:rsidR="00814868" w:rsidRDefault="00814868" w:rsidP="005F11BB">
      <w:pPr>
        <w:rPr>
          <w:i/>
        </w:rPr>
      </w:pPr>
    </w:p>
    <w:p w14:paraId="5F629389" w14:textId="63C2D4D2" w:rsidR="00814868" w:rsidRDefault="00814868" w:rsidP="005F11BB">
      <w:pPr>
        <w:rPr>
          <w:i/>
        </w:rPr>
      </w:pPr>
    </w:p>
    <w:p w14:paraId="446B6543" w14:textId="6718A789" w:rsidR="00814868" w:rsidRDefault="00814868" w:rsidP="005F11BB">
      <w:pPr>
        <w:rPr>
          <w:i/>
        </w:rPr>
      </w:pPr>
    </w:p>
    <w:p w14:paraId="37E017B3" w14:textId="4312D7B7" w:rsidR="00814868" w:rsidRDefault="00814868" w:rsidP="005F11BB">
      <w:pPr>
        <w:rPr>
          <w:i/>
        </w:rPr>
      </w:pPr>
    </w:p>
    <w:p w14:paraId="44EA5B66" w14:textId="77777777" w:rsidR="00436F0B" w:rsidRDefault="00436F0B" w:rsidP="005F11BB">
      <w:pPr>
        <w:rPr>
          <w:i/>
        </w:rPr>
      </w:pPr>
    </w:p>
    <w:p w14:paraId="3C1DCE50" w14:textId="1E83558F" w:rsidR="00814868" w:rsidRDefault="00814868" w:rsidP="005F11BB">
      <w:pPr>
        <w:rPr>
          <w:i/>
        </w:rPr>
      </w:pPr>
    </w:p>
    <w:p w14:paraId="2F75FE75" w14:textId="77777777" w:rsidR="00814868" w:rsidRDefault="00814868" w:rsidP="005F11BB">
      <w:pPr>
        <w:rPr>
          <w:i/>
        </w:rPr>
      </w:pPr>
    </w:p>
    <w:p w14:paraId="7F8CF5F0" w14:textId="4F632ED8" w:rsidR="005E21EA" w:rsidRDefault="005E21EA" w:rsidP="005F11BB">
      <w:pPr>
        <w:rPr>
          <w:i/>
        </w:rPr>
      </w:pPr>
    </w:p>
    <w:p w14:paraId="3FA48287" w14:textId="0F42B9A5" w:rsidR="005E21EA" w:rsidRDefault="006D5333" w:rsidP="00011CED">
      <w:pPr>
        <w:pStyle w:val="Titre2"/>
        <w:rPr>
          <w:i/>
        </w:rPr>
      </w:pPr>
      <w:bookmarkStart w:id="73" w:name="_Toc201856071"/>
      <w:r>
        <w:lastRenderedPageBreak/>
        <w:t>Ré</w:t>
      </w:r>
      <w:r w:rsidRPr="006D5333">
        <w:t>partitio</w:t>
      </w:r>
      <w:r>
        <w:t>n des d</w:t>
      </w:r>
      <w:r w:rsidRPr="006D5333">
        <w:t xml:space="preserve">épenses payées par carte </w:t>
      </w:r>
      <w:proofErr w:type="spellStart"/>
      <w:r>
        <w:t>corporate</w:t>
      </w:r>
      <w:proofErr w:type="spellEnd"/>
      <w:r w:rsidRPr="006D5333">
        <w:t xml:space="preserve"> par nature de </w:t>
      </w:r>
      <w:r>
        <w:t>prestation</w:t>
      </w:r>
      <w:r w:rsidRPr="006D5333">
        <w:t xml:space="preserve"> en 2024</w:t>
      </w:r>
      <w:bookmarkEnd w:id="73"/>
    </w:p>
    <w:p w14:paraId="482CB2D6" w14:textId="659490A3" w:rsidR="005E21EA" w:rsidRDefault="005E21EA" w:rsidP="005F11BB">
      <w:pPr>
        <w:rPr>
          <w:i/>
        </w:rPr>
      </w:pPr>
    </w:p>
    <w:p w14:paraId="1CE9B18A" w14:textId="5F507145" w:rsidR="005E21EA" w:rsidRDefault="005E21EA" w:rsidP="005F11BB">
      <w:pPr>
        <w:rPr>
          <w:i/>
        </w:rPr>
      </w:pPr>
    </w:p>
    <w:p w14:paraId="22DEE7FC" w14:textId="01266D73" w:rsidR="005F11BB" w:rsidRPr="008B4492" w:rsidRDefault="005112F0" w:rsidP="008B4492">
      <w:pPr>
        <w:jc w:val="center"/>
        <w:rPr>
          <w:rFonts w:ascii="Raleway" w:hAnsi="Raleway" w:cs="Times-Roman"/>
          <w:i/>
          <w:color w:val="00A3A6"/>
          <w:sz w:val="32"/>
          <w:szCs w:val="32"/>
        </w:rPr>
      </w:pPr>
      <w:r w:rsidRPr="005112F0">
        <w:rPr>
          <w:noProof/>
        </w:rPr>
        <w:drawing>
          <wp:anchor distT="0" distB="0" distL="114300" distR="114300" simplePos="0" relativeHeight="251668480" behindDoc="0" locked="0" layoutInCell="1" allowOverlap="1" wp14:anchorId="757A7BF9" wp14:editId="3A4193F1">
            <wp:simplePos x="0" y="0"/>
            <wp:positionH relativeFrom="margin">
              <wp:align>center</wp:align>
            </wp:positionH>
            <wp:positionV relativeFrom="paragraph">
              <wp:posOffset>333997</wp:posOffset>
            </wp:positionV>
            <wp:extent cx="7024370" cy="3345815"/>
            <wp:effectExtent l="0" t="0" r="5080" b="6985"/>
            <wp:wrapTopAndBottom/>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7024370" cy="3345815"/>
                    </a:xfrm>
                    <a:prstGeom prst="rect">
                      <a:avLst/>
                    </a:prstGeom>
                  </pic:spPr>
                </pic:pic>
              </a:graphicData>
            </a:graphic>
            <wp14:sizeRelH relativeFrom="margin">
              <wp14:pctWidth>0</wp14:pctWidth>
            </wp14:sizeRelH>
            <wp14:sizeRelV relativeFrom="margin">
              <wp14:pctHeight>0</wp14:pctHeight>
            </wp14:sizeRelV>
          </wp:anchor>
        </w:drawing>
      </w:r>
    </w:p>
    <w:p w14:paraId="7105706F" w14:textId="2D8C79B9" w:rsidR="00072664" w:rsidRDefault="00072664" w:rsidP="00C13B2D"/>
    <w:p w14:paraId="2B5EBCCB" w14:textId="0EEC37BA" w:rsidR="00072664" w:rsidRDefault="00072664" w:rsidP="00C13B2D"/>
    <w:p w14:paraId="55E76529" w14:textId="33D142E9" w:rsidR="00FE4016" w:rsidRDefault="00FE4016" w:rsidP="00C13B2D"/>
    <w:p w14:paraId="4AFF6100" w14:textId="5DB5F5A2" w:rsidR="00FE4016" w:rsidRDefault="00FE4016" w:rsidP="00C13B2D"/>
    <w:p w14:paraId="78BE262D" w14:textId="6E4C669C" w:rsidR="00072664" w:rsidRDefault="00072664" w:rsidP="00C13B2D"/>
    <w:p w14:paraId="685D54A8" w14:textId="227A7D51" w:rsidR="00072664" w:rsidRDefault="00072664" w:rsidP="00C13B2D"/>
    <w:p w14:paraId="4DC5A6D5" w14:textId="0DD43ED1" w:rsidR="00F63974" w:rsidRPr="00C13B2D" w:rsidRDefault="00F63974" w:rsidP="00C13B2D"/>
    <w:sectPr w:rsidR="00F63974" w:rsidRPr="00C13B2D" w:rsidSect="00FD4A55">
      <w:footerReference w:type="default" r:id="rId19"/>
      <w:pgSz w:w="11906" w:h="16838"/>
      <w:pgMar w:top="1417" w:right="1417" w:bottom="1417" w:left="1417" w:header="708" w:footer="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CB785" w14:textId="77777777" w:rsidR="00F222EE" w:rsidRDefault="00F222EE" w:rsidP="00FD4A55">
      <w:r>
        <w:separator/>
      </w:r>
    </w:p>
  </w:endnote>
  <w:endnote w:type="continuationSeparator" w:id="0">
    <w:p w14:paraId="7EDD0932" w14:textId="77777777" w:rsidR="00F222EE" w:rsidRDefault="00F222EE" w:rsidP="00FD4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Next LT Pro Cn">
    <w:panose1 w:val="020B0506020202020204"/>
    <w:charset w:val="00"/>
    <w:family w:val="swiss"/>
    <w:notTrueType/>
    <w:pitch w:val="variable"/>
    <w:sig w:usb0="800000AF" w:usb1="5000204A" w:usb2="00000000" w:usb3="00000000" w:csb0="00000093" w:csb1="00000000"/>
  </w:font>
  <w:font w:name="Raleway">
    <w:panose1 w:val="020B0503030101060003"/>
    <w:charset w:val="00"/>
    <w:family w:val="swiss"/>
    <w:pitch w:val="variable"/>
    <w:sig w:usb0="A00002FF" w:usb1="5000205B" w:usb2="00000000" w:usb3="00000000" w:csb0="00000097"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yriadPro-SemiCn">
    <w:altName w:val="Calibri"/>
    <w:panose1 w:val="00000000000000000000"/>
    <w:charset w:val="00"/>
    <w:family w:val="auto"/>
    <w:notTrueType/>
    <w:pitch w:val="default"/>
    <w:sig w:usb0="00000003" w:usb1="00000000" w:usb2="00000000" w:usb3="00000000" w:csb0="00000001" w:csb1="00000000"/>
  </w:font>
  <w:font w:name="AvenirNextLTPro-Cn">
    <w:altName w:val="Arial Nova Con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0823522"/>
      <w:docPartObj>
        <w:docPartGallery w:val="Page Numbers (Bottom of Page)"/>
        <w:docPartUnique/>
      </w:docPartObj>
    </w:sdtPr>
    <w:sdtEndPr/>
    <w:sdtContent>
      <w:p w14:paraId="16C891E2" w14:textId="30072A4C" w:rsidR="00F222EE" w:rsidRDefault="00F222EE" w:rsidP="004B68FC">
        <w:pPr>
          <w:pStyle w:val="Pieddepage"/>
          <w:tabs>
            <w:tab w:val="clear" w:pos="4536"/>
            <w:tab w:val="center" w:pos="6379"/>
          </w:tabs>
          <w:jc w:val="left"/>
        </w:pPr>
        <w:r>
          <w:t>2025_INRAE_AOO_CARTES_CCTP</w:t>
        </w:r>
        <w:r>
          <w:tab/>
        </w:r>
        <w:r>
          <w:tab/>
        </w:r>
        <w:r w:rsidRPr="00FD4A55">
          <w:t xml:space="preserve"> </w:t>
        </w:r>
        <w:r>
          <w:fldChar w:fldCharType="begin"/>
        </w:r>
        <w:r>
          <w:instrText>PAGE   \* MERGEFORMAT</w:instrText>
        </w:r>
        <w:r>
          <w:fldChar w:fldCharType="separate"/>
        </w:r>
        <w:r>
          <w:rPr>
            <w:noProof/>
          </w:rPr>
          <w:t>12</w:t>
        </w:r>
        <w:r>
          <w:fldChar w:fldCharType="end"/>
        </w:r>
      </w:p>
      <w:p w14:paraId="279136B6" w14:textId="6CF98F69" w:rsidR="00F222EE" w:rsidRDefault="00436F0B" w:rsidP="00FD4A55">
        <w:pPr>
          <w:pStyle w:val="Pieddepage"/>
        </w:pPr>
      </w:p>
    </w:sdtContent>
  </w:sdt>
  <w:p w14:paraId="08ECB305" w14:textId="77777777" w:rsidR="00F222EE" w:rsidRDefault="00F222E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2F265" w14:textId="77777777" w:rsidR="00F222EE" w:rsidRDefault="00F222EE" w:rsidP="00FD4A55">
      <w:r>
        <w:separator/>
      </w:r>
    </w:p>
  </w:footnote>
  <w:footnote w:type="continuationSeparator" w:id="0">
    <w:p w14:paraId="7DE5AE65" w14:textId="77777777" w:rsidR="00F222EE" w:rsidRDefault="00F222EE" w:rsidP="00FD4A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1EE5370"/>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28E3767"/>
    <w:multiLevelType w:val="multilevel"/>
    <w:tmpl w:val="3F5AABF4"/>
    <w:lvl w:ilvl="0">
      <w:start w:val="1"/>
      <w:numFmt w:val="bullet"/>
      <w:lvlText w:val="‐"/>
      <w:lvlJc w:val="left"/>
      <w:pPr>
        <w:tabs>
          <w:tab w:val="num" w:pos="720"/>
        </w:tabs>
        <w:ind w:left="720" w:hanging="360"/>
      </w:pPr>
      <w:rPr>
        <w:rFonts w:ascii="Calibri" w:hAnsi="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BF0F91"/>
    <w:multiLevelType w:val="multilevel"/>
    <w:tmpl w:val="E56CEE02"/>
    <w:lvl w:ilvl="0">
      <w:start w:val="1"/>
      <w:numFmt w:val="bullet"/>
      <w:lvlText w:val=""/>
      <w:lvlJc w:val="left"/>
      <w:pPr>
        <w:tabs>
          <w:tab w:val="num" w:pos="1068"/>
        </w:tabs>
        <w:ind w:left="1068" w:hanging="360"/>
      </w:pPr>
      <w:rPr>
        <w:rFonts w:ascii="Symbol" w:hAnsi="Symbol" w:hint="default"/>
        <w:sz w:val="20"/>
      </w:rPr>
    </w:lvl>
    <w:lvl w:ilvl="1">
      <w:start w:val="5"/>
      <w:numFmt w:val="decimal"/>
      <w:lvlText w:val="%2"/>
      <w:lvlJc w:val="left"/>
      <w:pPr>
        <w:ind w:left="1788" w:hanging="360"/>
      </w:pPr>
      <w:rPr>
        <w:rFonts w:hint="default"/>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3" w15:restartNumberingAfterBreak="0">
    <w:nsid w:val="05860EB4"/>
    <w:multiLevelType w:val="hybridMultilevel"/>
    <w:tmpl w:val="BC2EAEDC"/>
    <w:lvl w:ilvl="0" w:tplc="6654FEAA">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07C965D0"/>
    <w:multiLevelType w:val="multilevel"/>
    <w:tmpl w:val="77D6D8EA"/>
    <w:lvl w:ilvl="0">
      <w:start w:val="1"/>
      <w:numFmt w:val="bullet"/>
      <w:lvlText w:val="‐"/>
      <w:lvlJc w:val="left"/>
      <w:pPr>
        <w:tabs>
          <w:tab w:val="num" w:pos="720"/>
        </w:tabs>
        <w:ind w:left="720" w:hanging="360"/>
      </w:pPr>
      <w:rPr>
        <w:rFonts w:ascii="Calibri" w:hAnsi="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467030"/>
    <w:multiLevelType w:val="multilevel"/>
    <w:tmpl w:val="803C0238"/>
    <w:lvl w:ilvl="0">
      <w:start w:val="1"/>
      <w:numFmt w:val="bullet"/>
      <w:lvlText w:val="‐"/>
      <w:lvlJc w:val="left"/>
      <w:pPr>
        <w:tabs>
          <w:tab w:val="num" w:pos="720"/>
        </w:tabs>
        <w:ind w:left="720" w:hanging="360"/>
      </w:pPr>
      <w:rPr>
        <w:rFonts w:ascii="Calibri" w:hAnsi="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A81F49"/>
    <w:multiLevelType w:val="multilevel"/>
    <w:tmpl w:val="C08EB3A6"/>
    <w:lvl w:ilvl="0">
      <w:start w:val="1"/>
      <w:numFmt w:val="bullet"/>
      <w:lvlText w:val="‐"/>
      <w:lvlJc w:val="left"/>
      <w:pPr>
        <w:tabs>
          <w:tab w:val="num" w:pos="720"/>
        </w:tabs>
        <w:ind w:left="720" w:hanging="360"/>
      </w:pPr>
      <w:rPr>
        <w:rFonts w:ascii="Calibri" w:hAnsi="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B85FBF"/>
    <w:multiLevelType w:val="multilevel"/>
    <w:tmpl w:val="DEFCF800"/>
    <w:lvl w:ilvl="0">
      <w:start w:val="1"/>
      <w:numFmt w:val="bullet"/>
      <w:lvlText w:val="‐"/>
      <w:lvlJc w:val="left"/>
      <w:pPr>
        <w:tabs>
          <w:tab w:val="num" w:pos="720"/>
        </w:tabs>
        <w:ind w:left="720" w:hanging="360"/>
      </w:pPr>
      <w:rPr>
        <w:rFonts w:ascii="Calibri" w:hAnsi="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D95BEF"/>
    <w:multiLevelType w:val="hybridMultilevel"/>
    <w:tmpl w:val="DDBAE7A8"/>
    <w:lvl w:ilvl="0" w:tplc="6654FEAA">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1C029A"/>
    <w:multiLevelType w:val="hybridMultilevel"/>
    <w:tmpl w:val="65EC74E4"/>
    <w:lvl w:ilvl="0" w:tplc="6654FEAA">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45B7687"/>
    <w:multiLevelType w:val="hybridMultilevel"/>
    <w:tmpl w:val="9E38420E"/>
    <w:lvl w:ilvl="0" w:tplc="6654FEAA">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427621D8">
      <w:start w:val="5"/>
      <w:numFmt w:val="bullet"/>
      <w:lvlText w:val="-"/>
      <w:lvlJc w:val="left"/>
      <w:pPr>
        <w:ind w:left="2160" w:hanging="360"/>
      </w:pPr>
      <w:rPr>
        <w:rFonts w:ascii="AvenirNext LT Pro Cn" w:eastAsiaTheme="minorHAnsi" w:hAnsi="AvenirNext LT Pro Cn" w:cstheme="minorBidi"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86F7473"/>
    <w:multiLevelType w:val="multilevel"/>
    <w:tmpl w:val="5876FD3A"/>
    <w:lvl w:ilvl="0">
      <w:start w:val="1"/>
      <w:numFmt w:val="bullet"/>
      <w:lvlText w:val="‐"/>
      <w:lvlJc w:val="left"/>
      <w:pPr>
        <w:tabs>
          <w:tab w:val="num" w:pos="720"/>
        </w:tabs>
        <w:ind w:left="720" w:hanging="360"/>
      </w:pPr>
      <w:rPr>
        <w:rFonts w:ascii="Calibri" w:hAnsi="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F3343B"/>
    <w:multiLevelType w:val="hybridMultilevel"/>
    <w:tmpl w:val="85A21220"/>
    <w:lvl w:ilvl="0" w:tplc="6654FEAA">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2FE636B6"/>
    <w:multiLevelType w:val="multilevel"/>
    <w:tmpl w:val="326CE078"/>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4" w15:restartNumberingAfterBreak="0">
    <w:nsid w:val="302E0469"/>
    <w:multiLevelType w:val="hybridMultilevel"/>
    <w:tmpl w:val="7E8EABE4"/>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0B1CA4"/>
    <w:multiLevelType w:val="hybridMultilevel"/>
    <w:tmpl w:val="FD08D926"/>
    <w:lvl w:ilvl="0" w:tplc="6654FEAA">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B421798"/>
    <w:multiLevelType w:val="multilevel"/>
    <w:tmpl w:val="970ACC9C"/>
    <w:lvl w:ilvl="0">
      <w:start w:val="1"/>
      <w:numFmt w:val="bullet"/>
      <w:lvlText w:val="‐"/>
      <w:lvlJc w:val="left"/>
      <w:pPr>
        <w:tabs>
          <w:tab w:val="num" w:pos="720"/>
        </w:tabs>
        <w:ind w:left="720" w:hanging="360"/>
      </w:pPr>
      <w:rPr>
        <w:rFonts w:ascii="Calibri" w:hAnsi="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BA55F22"/>
    <w:multiLevelType w:val="multilevel"/>
    <w:tmpl w:val="D7184A32"/>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8" w15:restartNumberingAfterBreak="0">
    <w:nsid w:val="3EEE7FB5"/>
    <w:multiLevelType w:val="hybridMultilevel"/>
    <w:tmpl w:val="210ADF5A"/>
    <w:lvl w:ilvl="0" w:tplc="6654FEAA">
      <w:start w:val="1"/>
      <w:numFmt w:val="bullet"/>
      <w:lvlText w:val="‐"/>
      <w:lvlJc w:val="left"/>
      <w:pPr>
        <w:ind w:left="720" w:hanging="360"/>
      </w:pPr>
      <w:rPr>
        <w:rFonts w:ascii="Calibri" w:hAnsi="Calibri" w:hint="default"/>
      </w:rPr>
    </w:lvl>
    <w:lvl w:ilvl="1" w:tplc="040C000B">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4E969CE"/>
    <w:multiLevelType w:val="multilevel"/>
    <w:tmpl w:val="A704D1C6"/>
    <w:lvl w:ilvl="0">
      <w:start w:val="1"/>
      <w:numFmt w:val="bullet"/>
      <w:lvlText w:val="‐"/>
      <w:lvlJc w:val="left"/>
      <w:pPr>
        <w:tabs>
          <w:tab w:val="num" w:pos="720"/>
        </w:tabs>
        <w:ind w:left="720" w:hanging="360"/>
      </w:pPr>
      <w:rPr>
        <w:rFonts w:ascii="Calibri" w:hAnsi="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6A033AF"/>
    <w:multiLevelType w:val="hybridMultilevel"/>
    <w:tmpl w:val="F170F6BA"/>
    <w:lvl w:ilvl="0" w:tplc="6654FEAA">
      <w:start w:val="1"/>
      <w:numFmt w:val="bullet"/>
      <w:lvlText w:val="‐"/>
      <w:lvlJc w:val="left"/>
      <w:pPr>
        <w:ind w:left="795" w:hanging="360"/>
      </w:pPr>
      <w:rPr>
        <w:rFonts w:ascii="Calibri" w:hAnsi="Calibri"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21" w15:restartNumberingAfterBreak="0">
    <w:nsid w:val="4A2A5F07"/>
    <w:multiLevelType w:val="hybridMultilevel"/>
    <w:tmpl w:val="BBB21626"/>
    <w:lvl w:ilvl="0" w:tplc="30A22898">
      <w:start w:val="1"/>
      <w:numFmt w:val="bullet"/>
      <w:lvlText w:val="-"/>
      <w:lvlJc w:val="left"/>
      <w:pPr>
        <w:ind w:left="720" w:hanging="360"/>
      </w:pPr>
      <w:rPr>
        <w:rFonts w:ascii="AvenirNext LT Pro Cn" w:eastAsiaTheme="minorHAnsi" w:hAnsi="AvenirNext LT Pro Cn"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B4C79FC"/>
    <w:multiLevelType w:val="multilevel"/>
    <w:tmpl w:val="F844E7C6"/>
    <w:lvl w:ilvl="0">
      <w:start w:val="1"/>
      <w:numFmt w:val="bullet"/>
      <w:lvlText w:val="‐"/>
      <w:lvlJc w:val="left"/>
      <w:pPr>
        <w:tabs>
          <w:tab w:val="num" w:pos="720"/>
        </w:tabs>
        <w:ind w:left="720" w:hanging="360"/>
      </w:pPr>
      <w:rPr>
        <w:rFonts w:ascii="Calibri" w:hAnsi="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438417D"/>
    <w:multiLevelType w:val="multilevel"/>
    <w:tmpl w:val="318E71FE"/>
    <w:lvl w:ilvl="0">
      <w:start w:val="1"/>
      <w:numFmt w:val="bullet"/>
      <w:lvlText w:val="‐"/>
      <w:lvlJc w:val="left"/>
      <w:pPr>
        <w:tabs>
          <w:tab w:val="num" w:pos="720"/>
        </w:tabs>
        <w:ind w:left="720" w:hanging="360"/>
      </w:pPr>
      <w:rPr>
        <w:rFonts w:ascii="Calibri" w:hAnsi="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47F591D"/>
    <w:multiLevelType w:val="hybridMultilevel"/>
    <w:tmpl w:val="9C226732"/>
    <w:lvl w:ilvl="0" w:tplc="6654FEAA">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580748CB"/>
    <w:multiLevelType w:val="multilevel"/>
    <w:tmpl w:val="C4688466"/>
    <w:lvl w:ilvl="0">
      <w:start w:val="1"/>
      <w:numFmt w:val="bullet"/>
      <w:lvlText w:val="‐"/>
      <w:lvlJc w:val="left"/>
      <w:pPr>
        <w:tabs>
          <w:tab w:val="num" w:pos="720"/>
        </w:tabs>
        <w:ind w:left="720" w:hanging="360"/>
      </w:pPr>
      <w:rPr>
        <w:rFonts w:ascii="Calibri" w:hAnsi="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A357481"/>
    <w:multiLevelType w:val="multilevel"/>
    <w:tmpl w:val="B978DBCC"/>
    <w:lvl w:ilvl="0">
      <w:start w:val="1"/>
      <w:numFmt w:val="bullet"/>
      <w:lvlText w:val="‐"/>
      <w:lvlJc w:val="left"/>
      <w:pPr>
        <w:tabs>
          <w:tab w:val="num" w:pos="720"/>
        </w:tabs>
        <w:ind w:left="720" w:hanging="360"/>
      </w:pPr>
      <w:rPr>
        <w:rFonts w:ascii="Calibri" w:hAnsi="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00732F4"/>
    <w:multiLevelType w:val="hybridMultilevel"/>
    <w:tmpl w:val="D404356C"/>
    <w:lvl w:ilvl="0" w:tplc="6654FEAA">
      <w:start w:val="1"/>
      <w:numFmt w:val="bullet"/>
      <w:lvlText w:val="‐"/>
      <w:lvlJc w:val="left"/>
      <w:pPr>
        <w:ind w:left="795" w:hanging="360"/>
      </w:pPr>
      <w:rPr>
        <w:rFonts w:ascii="Calibri" w:hAnsi="Calibri"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28" w15:restartNumberingAfterBreak="0">
    <w:nsid w:val="61122FD1"/>
    <w:multiLevelType w:val="hybridMultilevel"/>
    <w:tmpl w:val="BF104BA6"/>
    <w:lvl w:ilvl="0" w:tplc="6654FEAA">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12C26B0"/>
    <w:multiLevelType w:val="hybridMultilevel"/>
    <w:tmpl w:val="2E805EC2"/>
    <w:lvl w:ilvl="0" w:tplc="FFFFFFFF">
      <w:start w:val="1"/>
      <w:numFmt w:val="bullet"/>
      <w:pStyle w:val="Paragraphe1"/>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18A2574"/>
    <w:multiLevelType w:val="hybridMultilevel"/>
    <w:tmpl w:val="17E89CD2"/>
    <w:lvl w:ilvl="0" w:tplc="6654FEAA">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2E11D6D"/>
    <w:multiLevelType w:val="multilevel"/>
    <w:tmpl w:val="4F90A728"/>
    <w:lvl w:ilvl="0">
      <w:start w:val="1"/>
      <w:numFmt w:val="decimal"/>
      <w:pStyle w:val="Titre1"/>
      <w:lvlText w:val="%1"/>
      <w:lvlJc w:val="left"/>
      <w:pPr>
        <w:ind w:left="432" w:hanging="432"/>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b w:val="0"/>
        <w:bCs w:val="0"/>
        <w:i w:val="0"/>
        <w:iCs w:val="0"/>
        <w:caps w:val="0"/>
        <w:smallCaps w:val="0"/>
        <w:strike w:val="0"/>
        <w:dstrike w:val="0"/>
        <w:outline w:val="0"/>
        <w:shadow w:val="0"/>
        <w:emboss w:val="0"/>
        <w:imprint w:val="0"/>
        <w:noProof w:val="0"/>
        <w:vanish w:val="0"/>
        <w:color w:val="00A3A6"/>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b w:val="0"/>
        <w:bCs w:val="0"/>
        <w:i/>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2" w15:restartNumberingAfterBreak="0">
    <w:nsid w:val="64BD02D8"/>
    <w:multiLevelType w:val="multilevel"/>
    <w:tmpl w:val="D4789208"/>
    <w:lvl w:ilvl="0">
      <w:start w:val="1"/>
      <w:numFmt w:val="bullet"/>
      <w:lvlText w:val="‐"/>
      <w:lvlJc w:val="left"/>
      <w:pPr>
        <w:tabs>
          <w:tab w:val="num" w:pos="720"/>
        </w:tabs>
        <w:ind w:left="720" w:hanging="360"/>
      </w:pPr>
      <w:rPr>
        <w:rFonts w:ascii="Calibri" w:hAnsi="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A7557D1"/>
    <w:multiLevelType w:val="multilevel"/>
    <w:tmpl w:val="695415B8"/>
    <w:lvl w:ilvl="0">
      <w:start w:val="1"/>
      <w:numFmt w:val="bullet"/>
      <w:lvlText w:val="‐"/>
      <w:lvlJc w:val="left"/>
      <w:pPr>
        <w:tabs>
          <w:tab w:val="num" w:pos="720"/>
        </w:tabs>
        <w:ind w:left="720" w:hanging="360"/>
      </w:pPr>
      <w:rPr>
        <w:rFonts w:ascii="Calibri" w:hAnsi="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B044A1A"/>
    <w:multiLevelType w:val="multilevel"/>
    <w:tmpl w:val="230C1092"/>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35" w15:restartNumberingAfterBreak="0">
    <w:nsid w:val="70040625"/>
    <w:multiLevelType w:val="hybridMultilevel"/>
    <w:tmpl w:val="A9328922"/>
    <w:lvl w:ilvl="0" w:tplc="48BA6448">
      <w:numFmt w:val="bullet"/>
      <w:lvlText w:val="-"/>
      <w:lvlJc w:val="left"/>
      <w:pPr>
        <w:ind w:left="720" w:hanging="360"/>
      </w:pPr>
      <w:rPr>
        <w:rFonts w:ascii="AvenirNext LT Pro Cn" w:eastAsiaTheme="minorHAnsi" w:hAnsi="AvenirNext LT Pro Cn"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29049AD"/>
    <w:multiLevelType w:val="hybridMultilevel"/>
    <w:tmpl w:val="64905D68"/>
    <w:lvl w:ilvl="0" w:tplc="6654FEAA">
      <w:start w:val="1"/>
      <w:numFmt w:val="bullet"/>
      <w:lvlText w:val="‐"/>
      <w:lvlJc w:val="left"/>
      <w:pPr>
        <w:ind w:left="720" w:hanging="360"/>
      </w:pPr>
      <w:rPr>
        <w:rFonts w:ascii="Calibri" w:hAnsi="Calibri" w:hint="default"/>
      </w:rPr>
    </w:lvl>
    <w:lvl w:ilvl="1" w:tplc="040C000B">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31"/>
  </w:num>
  <w:num w:numId="2">
    <w:abstractNumId w:val="0"/>
  </w:num>
  <w:num w:numId="3">
    <w:abstractNumId w:val="29"/>
  </w:num>
  <w:num w:numId="4">
    <w:abstractNumId w:val="28"/>
  </w:num>
  <w:num w:numId="5">
    <w:abstractNumId w:val="17"/>
  </w:num>
  <w:num w:numId="6">
    <w:abstractNumId w:val="32"/>
  </w:num>
  <w:num w:numId="7">
    <w:abstractNumId w:val="9"/>
  </w:num>
  <w:num w:numId="8">
    <w:abstractNumId w:val="8"/>
  </w:num>
  <w:num w:numId="9">
    <w:abstractNumId w:val="13"/>
  </w:num>
  <w:num w:numId="10">
    <w:abstractNumId w:val="3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num>
  <w:num w:numId="12">
    <w:abstractNumId w:val="2"/>
  </w:num>
  <w:num w:numId="13">
    <w:abstractNumId w:val="14"/>
  </w:num>
  <w:num w:numId="14">
    <w:abstractNumId w:val="35"/>
  </w:num>
  <w:num w:numId="15">
    <w:abstractNumId w:val="12"/>
  </w:num>
  <w:num w:numId="16">
    <w:abstractNumId w:val="3"/>
  </w:num>
  <w:num w:numId="17">
    <w:abstractNumId w:val="24"/>
  </w:num>
  <w:num w:numId="18">
    <w:abstractNumId w:val="18"/>
  </w:num>
  <w:num w:numId="19">
    <w:abstractNumId w:val="36"/>
  </w:num>
  <w:num w:numId="20">
    <w:abstractNumId w:val="10"/>
  </w:num>
  <w:num w:numId="21">
    <w:abstractNumId w:val="33"/>
  </w:num>
  <w:num w:numId="22">
    <w:abstractNumId w:val="11"/>
  </w:num>
  <w:num w:numId="23">
    <w:abstractNumId w:val="15"/>
  </w:num>
  <w:num w:numId="24">
    <w:abstractNumId w:val="21"/>
  </w:num>
  <w:num w:numId="25">
    <w:abstractNumId w:val="22"/>
  </w:num>
  <w:num w:numId="26">
    <w:abstractNumId w:val="19"/>
  </w:num>
  <w:num w:numId="27">
    <w:abstractNumId w:val="23"/>
  </w:num>
  <w:num w:numId="28">
    <w:abstractNumId w:val="7"/>
  </w:num>
  <w:num w:numId="29">
    <w:abstractNumId w:val="4"/>
  </w:num>
  <w:num w:numId="30">
    <w:abstractNumId w:val="27"/>
  </w:num>
  <w:num w:numId="31">
    <w:abstractNumId w:val="20"/>
  </w:num>
  <w:num w:numId="32">
    <w:abstractNumId w:val="25"/>
  </w:num>
  <w:num w:numId="33">
    <w:abstractNumId w:val="5"/>
  </w:num>
  <w:num w:numId="34">
    <w:abstractNumId w:val="16"/>
  </w:num>
  <w:num w:numId="35">
    <w:abstractNumId w:val="26"/>
  </w:num>
  <w:num w:numId="36">
    <w:abstractNumId w:val="1"/>
  </w:num>
  <w:num w:numId="37">
    <w:abstractNumId w:val="30"/>
  </w:num>
  <w:num w:numId="38">
    <w:abstractNumId w:val="6"/>
  </w:num>
  <w:num w:numId="39">
    <w:abstractNumId w:val="31"/>
    <w:lvlOverride w:ilvl="0">
      <w:startOverride w:val="6"/>
    </w:lvlOverride>
    <w:lvlOverride w:ilvl="1">
      <w:startOverride w:val="2"/>
    </w:lvlOverride>
    <w:lvlOverride w:ilvl="2">
      <w:startOverride w:val="2"/>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28B4"/>
    <w:rsid w:val="00000C56"/>
    <w:rsid w:val="00001B46"/>
    <w:rsid w:val="00001C6D"/>
    <w:rsid w:val="00005BC4"/>
    <w:rsid w:val="00005D75"/>
    <w:rsid w:val="00010113"/>
    <w:rsid w:val="00010A1A"/>
    <w:rsid w:val="00011721"/>
    <w:rsid w:val="00011CED"/>
    <w:rsid w:val="000136A3"/>
    <w:rsid w:val="000147A3"/>
    <w:rsid w:val="00017A45"/>
    <w:rsid w:val="000217F3"/>
    <w:rsid w:val="000232D1"/>
    <w:rsid w:val="00024565"/>
    <w:rsid w:val="00024C1F"/>
    <w:rsid w:val="00027005"/>
    <w:rsid w:val="000326F4"/>
    <w:rsid w:val="00032F3D"/>
    <w:rsid w:val="00032F66"/>
    <w:rsid w:val="000341ED"/>
    <w:rsid w:val="000367A6"/>
    <w:rsid w:val="00037DB1"/>
    <w:rsid w:val="00041AD5"/>
    <w:rsid w:val="00045DFE"/>
    <w:rsid w:val="00046A27"/>
    <w:rsid w:val="00046E79"/>
    <w:rsid w:val="00046E7E"/>
    <w:rsid w:val="000478B0"/>
    <w:rsid w:val="00051DA5"/>
    <w:rsid w:val="00052B8E"/>
    <w:rsid w:val="00053C8C"/>
    <w:rsid w:val="00053CA3"/>
    <w:rsid w:val="00055A36"/>
    <w:rsid w:val="00060629"/>
    <w:rsid w:val="00061BEA"/>
    <w:rsid w:val="000639E3"/>
    <w:rsid w:val="000669AB"/>
    <w:rsid w:val="00067A80"/>
    <w:rsid w:val="0007002C"/>
    <w:rsid w:val="000706C8"/>
    <w:rsid w:val="00072664"/>
    <w:rsid w:val="00073531"/>
    <w:rsid w:val="000776F0"/>
    <w:rsid w:val="00077837"/>
    <w:rsid w:val="00082798"/>
    <w:rsid w:val="00082DB2"/>
    <w:rsid w:val="00083276"/>
    <w:rsid w:val="00083E8C"/>
    <w:rsid w:val="00085AA2"/>
    <w:rsid w:val="00086017"/>
    <w:rsid w:val="00086CC3"/>
    <w:rsid w:val="00087B24"/>
    <w:rsid w:val="000938C9"/>
    <w:rsid w:val="000960D7"/>
    <w:rsid w:val="00096449"/>
    <w:rsid w:val="000A5EAB"/>
    <w:rsid w:val="000B1AD6"/>
    <w:rsid w:val="000B4268"/>
    <w:rsid w:val="000B50B1"/>
    <w:rsid w:val="000C191B"/>
    <w:rsid w:val="000C2D6A"/>
    <w:rsid w:val="000C343F"/>
    <w:rsid w:val="000C64EF"/>
    <w:rsid w:val="000C6966"/>
    <w:rsid w:val="000C7192"/>
    <w:rsid w:val="000D2719"/>
    <w:rsid w:val="000D418B"/>
    <w:rsid w:val="000D60AB"/>
    <w:rsid w:val="000D6518"/>
    <w:rsid w:val="000D709A"/>
    <w:rsid w:val="000E5F02"/>
    <w:rsid w:val="000F02E1"/>
    <w:rsid w:val="000F2D0A"/>
    <w:rsid w:val="000F2DD6"/>
    <w:rsid w:val="000F5C28"/>
    <w:rsid w:val="000F68CA"/>
    <w:rsid w:val="00102AF0"/>
    <w:rsid w:val="00103DE1"/>
    <w:rsid w:val="0010521B"/>
    <w:rsid w:val="001064B2"/>
    <w:rsid w:val="001127EF"/>
    <w:rsid w:val="00112BDB"/>
    <w:rsid w:val="001138A4"/>
    <w:rsid w:val="00113C2B"/>
    <w:rsid w:val="0011676D"/>
    <w:rsid w:val="001202C7"/>
    <w:rsid w:val="0012048E"/>
    <w:rsid w:val="00120752"/>
    <w:rsid w:val="00122C0C"/>
    <w:rsid w:val="001230EB"/>
    <w:rsid w:val="00123AD3"/>
    <w:rsid w:val="0012573F"/>
    <w:rsid w:val="00133259"/>
    <w:rsid w:val="00141C24"/>
    <w:rsid w:val="001420A7"/>
    <w:rsid w:val="00144BA6"/>
    <w:rsid w:val="00145D1C"/>
    <w:rsid w:val="00147663"/>
    <w:rsid w:val="00151D17"/>
    <w:rsid w:val="0015285C"/>
    <w:rsid w:val="00154687"/>
    <w:rsid w:val="001561FF"/>
    <w:rsid w:val="001574B1"/>
    <w:rsid w:val="00161309"/>
    <w:rsid w:val="00162412"/>
    <w:rsid w:val="001648C2"/>
    <w:rsid w:val="00166A3C"/>
    <w:rsid w:val="00172188"/>
    <w:rsid w:val="0017249A"/>
    <w:rsid w:val="001725FD"/>
    <w:rsid w:val="00172CD6"/>
    <w:rsid w:val="00174B13"/>
    <w:rsid w:val="00175B4C"/>
    <w:rsid w:val="00176209"/>
    <w:rsid w:val="00176789"/>
    <w:rsid w:val="001779D3"/>
    <w:rsid w:val="00177DC1"/>
    <w:rsid w:val="00181720"/>
    <w:rsid w:val="001820F5"/>
    <w:rsid w:val="00182679"/>
    <w:rsid w:val="0018457B"/>
    <w:rsid w:val="00184608"/>
    <w:rsid w:val="00191490"/>
    <w:rsid w:val="00192347"/>
    <w:rsid w:val="00192801"/>
    <w:rsid w:val="00192AE0"/>
    <w:rsid w:val="00196215"/>
    <w:rsid w:val="001972D1"/>
    <w:rsid w:val="001A0886"/>
    <w:rsid w:val="001A1DDC"/>
    <w:rsid w:val="001A247A"/>
    <w:rsid w:val="001A5AF5"/>
    <w:rsid w:val="001A7973"/>
    <w:rsid w:val="001B0FA1"/>
    <w:rsid w:val="001B1B88"/>
    <w:rsid w:val="001B444A"/>
    <w:rsid w:val="001B44AF"/>
    <w:rsid w:val="001B4A52"/>
    <w:rsid w:val="001B593B"/>
    <w:rsid w:val="001B5CFF"/>
    <w:rsid w:val="001B6F61"/>
    <w:rsid w:val="001B73C4"/>
    <w:rsid w:val="001C04B5"/>
    <w:rsid w:val="001C0530"/>
    <w:rsid w:val="001C0F74"/>
    <w:rsid w:val="001C1351"/>
    <w:rsid w:val="001C2254"/>
    <w:rsid w:val="001C2EEC"/>
    <w:rsid w:val="001C34F0"/>
    <w:rsid w:val="001C4EEE"/>
    <w:rsid w:val="001C54BB"/>
    <w:rsid w:val="001C6FD4"/>
    <w:rsid w:val="001D62A4"/>
    <w:rsid w:val="001E06D5"/>
    <w:rsid w:val="001E0A42"/>
    <w:rsid w:val="001E3E5E"/>
    <w:rsid w:val="001E45A5"/>
    <w:rsid w:val="001E5AC3"/>
    <w:rsid w:val="001E6372"/>
    <w:rsid w:val="001E63F7"/>
    <w:rsid w:val="001E6FC7"/>
    <w:rsid w:val="001F1594"/>
    <w:rsid w:val="001F3B35"/>
    <w:rsid w:val="001F6FC5"/>
    <w:rsid w:val="00201CAD"/>
    <w:rsid w:val="002031F4"/>
    <w:rsid w:val="00205103"/>
    <w:rsid w:val="00205F56"/>
    <w:rsid w:val="00206508"/>
    <w:rsid w:val="00213647"/>
    <w:rsid w:val="00215215"/>
    <w:rsid w:val="00216DE6"/>
    <w:rsid w:val="002207C3"/>
    <w:rsid w:val="00222A3A"/>
    <w:rsid w:val="002271A8"/>
    <w:rsid w:val="002310EF"/>
    <w:rsid w:val="002351A7"/>
    <w:rsid w:val="00235CFE"/>
    <w:rsid w:val="00241BEB"/>
    <w:rsid w:val="00242CA0"/>
    <w:rsid w:val="0024360A"/>
    <w:rsid w:val="0024419D"/>
    <w:rsid w:val="002511CF"/>
    <w:rsid w:val="00254712"/>
    <w:rsid w:val="00255739"/>
    <w:rsid w:val="002577C0"/>
    <w:rsid w:val="00260761"/>
    <w:rsid w:val="00261B07"/>
    <w:rsid w:val="0026327A"/>
    <w:rsid w:val="0026581B"/>
    <w:rsid w:val="00270BE8"/>
    <w:rsid w:val="00272F25"/>
    <w:rsid w:val="00273361"/>
    <w:rsid w:val="002734E7"/>
    <w:rsid w:val="00274834"/>
    <w:rsid w:val="002750AF"/>
    <w:rsid w:val="00275572"/>
    <w:rsid w:val="00277B0D"/>
    <w:rsid w:val="0028118D"/>
    <w:rsid w:val="002826CE"/>
    <w:rsid w:val="002829ED"/>
    <w:rsid w:val="0028300F"/>
    <w:rsid w:val="0029076C"/>
    <w:rsid w:val="00290BC5"/>
    <w:rsid w:val="00290D80"/>
    <w:rsid w:val="002922A7"/>
    <w:rsid w:val="00295C8D"/>
    <w:rsid w:val="00296706"/>
    <w:rsid w:val="002A07DD"/>
    <w:rsid w:val="002A0E7E"/>
    <w:rsid w:val="002A154B"/>
    <w:rsid w:val="002A2A10"/>
    <w:rsid w:val="002A2D72"/>
    <w:rsid w:val="002A2F96"/>
    <w:rsid w:val="002A4B10"/>
    <w:rsid w:val="002A60C2"/>
    <w:rsid w:val="002B0381"/>
    <w:rsid w:val="002B0EE2"/>
    <w:rsid w:val="002B20F9"/>
    <w:rsid w:val="002B4500"/>
    <w:rsid w:val="002B50AB"/>
    <w:rsid w:val="002B6F98"/>
    <w:rsid w:val="002C21D6"/>
    <w:rsid w:val="002C2690"/>
    <w:rsid w:val="002C2F68"/>
    <w:rsid w:val="002C34EF"/>
    <w:rsid w:val="002C3A9A"/>
    <w:rsid w:val="002C4BF0"/>
    <w:rsid w:val="002C6822"/>
    <w:rsid w:val="002C7905"/>
    <w:rsid w:val="002D0FFF"/>
    <w:rsid w:val="002D14CE"/>
    <w:rsid w:val="002D2384"/>
    <w:rsid w:val="002D2E36"/>
    <w:rsid w:val="002D3FDE"/>
    <w:rsid w:val="002D50CB"/>
    <w:rsid w:val="002D554B"/>
    <w:rsid w:val="002D6B6D"/>
    <w:rsid w:val="002D7112"/>
    <w:rsid w:val="002D736D"/>
    <w:rsid w:val="002E509C"/>
    <w:rsid w:val="002E5EC2"/>
    <w:rsid w:val="002E6B75"/>
    <w:rsid w:val="002E6C1F"/>
    <w:rsid w:val="002F02D6"/>
    <w:rsid w:val="002F08BC"/>
    <w:rsid w:val="00301517"/>
    <w:rsid w:val="0030515A"/>
    <w:rsid w:val="0030567D"/>
    <w:rsid w:val="00306BF5"/>
    <w:rsid w:val="00306FDB"/>
    <w:rsid w:val="00313F23"/>
    <w:rsid w:val="00322D02"/>
    <w:rsid w:val="00322E14"/>
    <w:rsid w:val="00324E43"/>
    <w:rsid w:val="00324F18"/>
    <w:rsid w:val="00325D4E"/>
    <w:rsid w:val="00327F32"/>
    <w:rsid w:val="00330CF2"/>
    <w:rsid w:val="00330D5B"/>
    <w:rsid w:val="003311FF"/>
    <w:rsid w:val="00331E9C"/>
    <w:rsid w:val="00333EA0"/>
    <w:rsid w:val="003350B1"/>
    <w:rsid w:val="00340C0A"/>
    <w:rsid w:val="00343BD4"/>
    <w:rsid w:val="00345E42"/>
    <w:rsid w:val="00351A4F"/>
    <w:rsid w:val="003547D5"/>
    <w:rsid w:val="00355E4E"/>
    <w:rsid w:val="00356877"/>
    <w:rsid w:val="003568E5"/>
    <w:rsid w:val="00357EAE"/>
    <w:rsid w:val="00361286"/>
    <w:rsid w:val="003639A4"/>
    <w:rsid w:val="003642CE"/>
    <w:rsid w:val="00366177"/>
    <w:rsid w:val="003667EB"/>
    <w:rsid w:val="003713F9"/>
    <w:rsid w:val="00372504"/>
    <w:rsid w:val="00373242"/>
    <w:rsid w:val="00380A74"/>
    <w:rsid w:val="00380C79"/>
    <w:rsid w:val="003820C5"/>
    <w:rsid w:val="003844B4"/>
    <w:rsid w:val="003846F1"/>
    <w:rsid w:val="00387D02"/>
    <w:rsid w:val="00390F4D"/>
    <w:rsid w:val="00391E96"/>
    <w:rsid w:val="00392ACC"/>
    <w:rsid w:val="00393B6D"/>
    <w:rsid w:val="00394E53"/>
    <w:rsid w:val="003A194F"/>
    <w:rsid w:val="003A4796"/>
    <w:rsid w:val="003A6843"/>
    <w:rsid w:val="003A6A77"/>
    <w:rsid w:val="003B116A"/>
    <w:rsid w:val="003B22F1"/>
    <w:rsid w:val="003B35DA"/>
    <w:rsid w:val="003B3810"/>
    <w:rsid w:val="003B4561"/>
    <w:rsid w:val="003B5A33"/>
    <w:rsid w:val="003B75DC"/>
    <w:rsid w:val="003B7AC3"/>
    <w:rsid w:val="003B7DDC"/>
    <w:rsid w:val="003C076F"/>
    <w:rsid w:val="003C10DC"/>
    <w:rsid w:val="003C1681"/>
    <w:rsid w:val="003C1D32"/>
    <w:rsid w:val="003C288E"/>
    <w:rsid w:val="003C3634"/>
    <w:rsid w:val="003C3D1D"/>
    <w:rsid w:val="003C40DA"/>
    <w:rsid w:val="003C4157"/>
    <w:rsid w:val="003C68DF"/>
    <w:rsid w:val="003C6A41"/>
    <w:rsid w:val="003C6C8E"/>
    <w:rsid w:val="003C7CA9"/>
    <w:rsid w:val="003D3A5D"/>
    <w:rsid w:val="003D4307"/>
    <w:rsid w:val="003D44B7"/>
    <w:rsid w:val="003D7CFA"/>
    <w:rsid w:val="003E0093"/>
    <w:rsid w:val="003E127D"/>
    <w:rsid w:val="003E1460"/>
    <w:rsid w:val="003E24DF"/>
    <w:rsid w:val="003E3C34"/>
    <w:rsid w:val="003E5140"/>
    <w:rsid w:val="003E5A21"/>
    <w:rsid w:val="003E67C0"/>
    <w:rsid w:val="003E6A93"/>
    <w:rsid w:val="003F07D3"/>
    <w:rsid w:val="003F3149"/>
    <w:rsid w:val="003F4084"/>
    <w:rsid w:val="003F5365"/>
    <w:rsid w:val="0040081B"/>
    <w:rsid w:val="00400BAB"/>
    <w:rsid w:val="00400C87"/>
    <w:rsid w:val="00401DED"/>
    <w:rsid w:val="00406B36"/>
    <w:rsid w:val="00413350"/>
    <w:rsid w:val="00414798"/>
    <w:rsid w:val="00415360"/>
    <w:rsid w:val="00416C63"/>
    <w:rsid w:val="00421466"/>
    <w:rsid w:val="00422092"/>
    <w:rsid w:val="00422A74"/>
    <w:rsid w:val="00422AE4"/>
    <w:rsid w:val="00424510"/>
    <w:rsid w:val="00426F31"/>
    <w:rsid w:val="00427014"/>
    <w:rsid w:val="004329A6"/>
    <w:rsid w:val="004349AC"/>
    <w:rsid w:val="004358A3"/>
    <w:rsid w:val="00435D81"/>
    <w:rsid w:val="004361A8"/>
    <w:rsid w:val="00436605"/>
    <w:rsid w:val="00436703"/>
    <w:rsid w:val="00436B9C"/>
    <w:rsid w:val="00436F0B"/>
    <w:rsid w:val="00442C8C"/>
    <w:rsid w:val="0044416B"/>
    <w:rsid w:val="004442D3"/>
    <w:rsid w:val="004458A5"/>
    <w:rsid w:val="00445AAE"/>
    <w:rsid w:val="00447A75"/>
    <w:rsid w:val="00450EA4"/>
    <w:rsid w:val="00452331"/>
    <w:rsid w:val="00454475"/>
    <w:rsid w:val="004560D3"/>
    <w:rsid w:val="0045696C"/>
    <w:rsid w:val="004572CB"/>
    <w:rsid w:val="00457AC4"/>
    <w:rsid w:val="0046049F"/>
    <w:rsid w:val="00461269"/>
    <w:rsid w:val="00462126"/>
    <w:rsid w:val="00462A7E"/>
    <w:rsid w:val="0046707F"/>
    <w:rsid w:val="00471E8B"/>
    <w:rsid w:val="00473B41"/>
    <w:rsid w:val="00474F63"/>
    <w:rsid w:val="004758A4"/>
    <w:rsid w:val="00476567"/>
    <w:rsid w:val="004800DC"/>
    <w:rsid w:val="00481045"/>
    <w:rsid w:val="004824A7"/>
    <w:rsid w:val="00486582"/>
    <w:rsid w:val="00491DB6"/>
    <w:rsid w:val="00495962"/>
    <w:rsid w:val="004A39A6"/>
    <w:rsid w:val="004A6BAD"/>
    <w:rsid w:val="004A7EF7"/>
    <w:rsid w:val="004B3629"/>
    <w:rsid w:val="004B385C"/>
    <w:rsid w:val="004B4249"/>
    <w:rsid w:val="004B51B0"/>
    <w:rsid w:val="004B59AB"/>
    <w:rsid w:val="004B6391"/>
    <w:rsid w:val="004B68FC"/>
    <w:rsid w:val="004B6DFF"/>
    <w:rsid w:val="004C3342"/>
    <w:rsid w:val="004C55EE"/>
    <w:rsid w:val="004D0060"/>
    <w:rsid w:val="004D0C92"/>
    <w:rsid w:val="004D2C20"/>
    <w:rsid w:val="004D3374"/>
    <w:rsid w:val="004D6D48"/>
    <w:rsid w:val="004D6F6D"/>
    <w:rsid w:val="004D7157"/>
    <w:rsid w:val="004E091E"/>
    <w:rsid w:val="004E10A0"/>
    <w:rsid w:val="004E1239"/>
    <w:rsid w:val="004E1805"/>
    <w:rsid w:val="004E1F28"/>
    <w:rsid w:val="004E528F"/>
    <w:rsid w:val="004E56A8"/>
    <w:rsid w:val="004E6E6C"/>
    <w:rsid w:val="004F0B70"/>
    <w:rsid w:val="004F250E"/>
    <w:rsid w:val="004F5228"/>
    <w:rsid w:val="005043BA"/>
    <w:rsid w:val="00506861"/>
    <w:rsid w:val="00507704"/>
    <w:rsid w:val="005108FA"/>
    <w:rsid w:val="005112F0"/>
    <w:rsid w:val="005133F3"/>
    <w:rsid w:val="00513447"/>
    <w:rsid w:val="0051361E"/>
    <w:rsid w:val="0051686C"/>
    <w:rsid w:val="005171BD"/>
    <w:rsid w:val="005177A1"/>
    <w:rsid w:val="00521E5B"/>
    <w:rsid w:val="0052204F"/>
    <w:rsid w:val="00523585"/>
    <w:rsid w:val="005235FA"/>
    <w:rsid w:val="00523BA2"/>
    <w:rsid w:val="00523D7E"/>
    <w:rsid w:val="005251E6"/>
    <w:rsid w:val="00525740"/>
    <w:rsid w:val="0053032F"/>
    <w:rsid w:val="0053193B"/>
    <w:rsid w:val="00536030"/>
    <w:rsid w:val="00536539"/>
    <w:rsid w:val="00536EA1"/>
    <w:rsid w:val="00537424"/>
    <w:rsid w:val="00537876"/>
    <w:rsid w:val="005406B1"/>
    <w:rsid w:val="00546025"/>
    <w:rsid w:val="005464A7"/>
    <w:rsid w:val="005476AD"/>
    <w:rsid w:val="00547CFB"/>
    <w:rsid w:val="00547EB7"/>
    <w:rsid w:val="00550ADE"/>
    <w:rsid w:val="0055218D"/>
    <w:rsid w:val="005521AA"/>
    <w:rsid w:val="005539AF"/>
    <w:rsid w:val="00554114"/>
    <w:rsid w:val="0055460F"/>
    <w:rsid w:val="005553B0"/>
    <w:rsid w:val="005554F9"/>
    <w:rsid w:val="00555A7D"/>
    <w:rsid w:val="00565C2A"/>
    <w:rsid w:val="00566939"/>
    <w:rsid w:val="00570668"/>
    <w:rsid w:val="00570B36"/>
    <w:rsid w:val="00571D87"/>
    <w:rsid w:val="0057313F"/>
    <w:rsid w:val="005742E9"/>
    <w:rsid w:val="00577C7F"/>
    <w:rsid w:val="005810C2"/>
    <w:rsid w:val="00582634"/>
    <w:rsid w:val="00582B60"/>
    <w:rsid w:val="00582DD6"/>
    <w:rsid w:val="00584999"/>
    <w:rsid w:val="00586307"/>
    <w:rsid w:val="00587EC8"/>
    <w:rsid w:val="0059168A"/>
    <w:rsid w:val="0059358D"/>
    <w:rsid w:val="00593DD9"/>
    <w:rsid w:val="00597586"/>
    <w:rsid w:val="005A017F"/>
    <w:rsid w:val="005A028B"/>
    <w:rsid w:val="005A13A5"/>
    <w:rsid w:val="005A2889"/>
    <w:rsid w:val="005A2F4D"/>
    <w:rsid w:val="005A42E5"/>
    <w:rsid w:val="005A470D"/>
    <w:rsid w:val="005A5745"/>
    <w:rsid w:val="005A58D5"/>
    <w:rsid w:val="005A6981"/>
    <w:rsid w:val="005B1699"/>
    <w:rsid w:val="005C0296"/>
    <w:rsid w:val="005C34F3"/>
    <w:rsid w:val="005C68A3"/>
    <w:rsid w:val="005D1F28"/>
    <w:rsid w:val="005D224F"/>
    <w:rsid w:val="005D340B"/>
    <w:rsid w:val="005D399D"/>
    <w:rsid w:val="005D4328"/>
    <w:rsid w:val="005D47DA"/>
    <w:rsid w:val="005D67DA"/>
    <w:rsid w:val="005D79FD"/>
    <w:rsid w:val="005D7FBA"/>
    <w:rsid w:val="005E0554"/>
    <w:rsid w:val="005E09D0"/>
    <w:rsid w:val="005E1C06"/>
    <w:rsid w:val="005E21EA"/>
    <w:rsid w:val="005E29B0"/>
    <w:rsid w:val="005E6DC5"/>
    <w:rsid w:val="005E735A"/>
    <w:rsid w:val="005F06E3"/>
    <w:rsid w:val="005F11BB"/>
    <w:rsid w:val="005F1321"/>
    <w:rsid w:val="005F2CCA"/>
    <w:rsid w:val="005F33D2"/>
    <w:rsid w:val="005F48E8"/>
    <w:rsid w:val="005F4C1A"/>
    <w:rsid w:val="006020A4"/>
    <w:rsid w:val="006020A7"/>
    <w:rsid w:val="00604A8D"/>
    <w:rsid w:val="0060765C"/>
    <w:rsid w:val="006078BB"/>
    <w:rsid w:val="00607A0D"/>
    <w:rsid w:val="00612B96"/>
    <w:rsid w:val="006159B0"/>
    <w:rsid w:val="00615DEB"/>
    <w:rsid w:val="00617F02"/>
    <w:rsid w:val="006250AA"/>
    <w:rsid w:val="006258F9"/>
    <w:rsid w:val="006319AC"/>
    <w:rsid w:val="006335CA"/>
    <w:rsid w:val="006370B9"/>
    <w:rsid w:val="0064031B"/>
    <w:rsid w:val="00643488"/>
    <w:rsid w:val="00643BDB"/>
    <w:rsid w:val="00644809"/>
    <w:rsid w:val="0064645E"/>
    <w:rsid w:val="006464F7"/>
    <w:rsid w:val="00646AF3"/>
    <w:rsid w:val="00651CE0"/>
    <w:rsid w:val="00652595"/>
    <w:rsid w:val="00653FA4"/>
    <w:rsid w:val="00654F4B"/>
    <w:rsid w:val="0065751C"/>
    <w:rsid w:val="0066255F"/>
    <w:rsid w:val="00663BBE"/>
    <w:rsid w:val="006640AF"/>
    <w:rsid w:val="00664252"/>
    <w:rsid w:val="00664F37"/>
    <w:rsid w:val="00667DE3"/>
    <w:rsid w:val="0067132E"/>
    <w:rsid w:val="006725B8"/>
    <w:rsid w:val="0067531F"/>
    <w:rsid w:val="00680A40"/>
    <w:rsid w:val="00680D1D"/>
    <w:rsid w:val="0068736D"/>
    <w:rsid w:val="006921B7"/>
    <w:rsid w:val="00696B1F"/>
    <w:rsid w:val="006A0119"/>
    <w:rsid w:val="006A3CE7"/>
    <w:rsid w:val="006A51BD"/>
    <w:rsid w:val="006A57AC"/>
    <w:rsid w:val="006A75EC"/>
    <w:rsid w:val="006B0D34"/>
    <w:rsid w:val="006B0D49"/>
    <w:rsid w:val="006B491E"/>
    <w:rsid w:val="006B524C"/>
    <w:rsid w:val="006B6473"/>
    <w:rsid w:val="006B7DE1"/>
    <w:rsid w:val="006C0AB4"/>
    <w:rsid w:val="006C15F2"/>
    <w:rsid w:val="006C2DBA"/>
    <w:rsid w:val="006C351E"/>
    <w:rsid w:val="006C4F85"/>
    <w:rsid w:val="006C6D62"/>
    <w:rsid w:val="006C77B4"/>
    <w:rsid w:val="006D10AB"/>
    <w:rsid w:val="006D1C81"/>
    <w:rsid w:val="006D5333"/>
    <w:rsid w:val="006D62AD"/>
    <w:rsid w:val="006E11AB"/>
    <w:rsid w:val="006E464F"/>
    <w:rsid w:val="006E4BF3"/>
    <w:rsid w:val="006E705B"/>
    <w:rsid w:val="006E74B3"/>
    <w:rsid w:val="006F0BD2"/>
    <w:rsid w:val="006F4982"/>
    <w:rsid w:val="006F5A1E"/>
    <w:rsid w:val="00700633"/>
    <w:rsid w:val="007032DE"/>
    <w:rsid w:val="00707516"/>
    <w:rsid w:val="007101F7"/>
    <w:rsid w:val="007126AE"/>
    <w:rsid w:val="0071490E"/>
    <w:rsid w:val="007153C8"/>
    <w:rsid w:val="00721137"/>
    <w:rsid w:val="007232E1"/>
    <w:rsid w:val="0072417B"/>
    <w:rsid w:val="007252DD"/>
    <w:rsid w:val="00731BA6"/>
    <w:rsid w:val="00731CC2"/>
    <w:rsid w:val="0073233E"/>
    <w:rsid w:val="007323A3"/>
    <w:rsid w:val="007326EF"/>
    <w:rsid w:val="00734BE9"/>
    <w:rsid w:val="00735707"/>
    <w:rsid w:val="0073629D"/>
    <w:rsid w:val="007367D3"/>
    <w:rsid w:val="00746061"/>
    <w:rsid w:val="00751CA2"/>
    <w:rsid w:val="0075464A"/>
    <w:rsid w:val="00755A6F"/>
    <w:rsid w:val="00755B3D"/>
    <w:rsid w:val="00760AF0"/>
    <w:rsid w:val="00760C33"/>
    <w:rsid w:val="00761008"/>
    <w:rsid w:val="00761550"/>
    <w:rsid w:val="0076180C"/>
    <w:rsid w:val="00761843"/>
    <w:rsid w:val="00766544"/>
    <w:rsid w:val="0076670A"/>
    <w:rsid w:val="007678CE"/>
    <w:rsid w:val="00767BA0"/>
    <w:rsid w:val="00774344"/>
    <w:rsid w:val="0077514E"/>
    <w:rsid w:val="00777DA4"/>
    <w:rsid w:val="007809F4"/>
    <w:rsid w:val="00781E92"/>
    <w:rsid w:val="00782201"/>
    <w:rsid w:val="00783509"/>
    <w:rsid w:val="00785C6C"/>
    <w:rsid w:val="00786483"/>
    <w:rsid w:val="00787AB7"/>
    <w:rsid w:val="00790AE7"/>
    <w:rsid w:val="007911A3"/>
    <w:rsid w:val="00792156"/>
    <w:rsid w:val="00792FB4"/>
    <w:rsid w:val="00794B7F"/>
    <w:rsid w:val="00794D6C"/>
    <w:rsid w:val="00794DFC"/>
    <w:rsid w:val="0079719D"/>
    <w:rsid w:val="00797392"/>
    <w:rsid w:val="00797A68"/>
    <w:rsid w:val="007A2199"/>
    <w:rsid w:val="007A3557"/>
    <w:rsid w:val="007A4783"/>
    <w:rsid w:val="007A4AB6"/>
    <w:rsid w:val="007A57C6"/>
    <w:rsid w:val="007A7FC5"/>
    <w:rsid w:val="007B1407"/>
    <w:rsid w:val="007B2758"/>
    <w:rsid w:val="007B2F4A"/>
    <w:rsid w:val="007B3F58"/>
    <w:rsid w:val="007B40BC"/>
    <w:rsid w:val="007B5166"/>
    <w:rsid w:val="007B6E7D"/>
    <w:rsid w:val="007C14AA"/>
    <w:rsid w:val="007C3716"/>
    <w:rsid w:val="007C3992"/>
    <w:rsid w:val="007C44D0"/>
    <w:rsid w:val="007C49FE"/>
    <w:rsid w:val="007C6118"/>
    <w:rsid w:val="007C6284"/>
    <w:rsid w:val="007D26ED"/>
    <w:rsid w:val="007D3D11"/>
    <w:rsid w:val="007D410E"/>
    <w:rsid w:val="007D482E"/>
    <w:rsid w:val="007D5E0B"/>
    <w:rsid w:val="007E1CA7"/>
    <w:rsid w:val="007E4AAF"/>
    <w:rsid w:val="007E4BCD"/>
    <w:rsid w:val="007E6474"/>
    <w:rsid w:val="007E777A"/>
    <w:rsid w:val="007F2777"/>
    <w:rsid w:val="007F2E59"/>
    <w:rsid w:val="007F460A"/>
    <w:rsid w:val="007F5273"/>
    <w:rsid w:val="007F53EA"/>
    <w:rsid w:val="00800364"/>
    <w:rsid w:val="008029B3"/>
    <w:rsid w:val="00804E5C"/>
    <w:rsid w:val="00804F45"/>
    <w:rsid w:val="008057A4"/>
    <w:rsid w:val="008111FC"/>
    <w:rsid w:val="008119A6"/>
    <w:rsid w:val="00813B32"/>
    <w:rsid w:val="00814868"/>
    <w:rsid w:val="008155F4"/>
    <w:rsid w:val="00815705"/>
    <w:rsid w:val="0081586F"/>
    <w:rsid w:val="008177CE"/>
    <w:rsid w:val="0082007A"/>
    <w:rsid w:val="00820510"/>
    <w:rsid w:val="0082183D"/>
    <w:rsid w:val="00825EA4"/>
    <w:rsid w:val="00826567"/>
    <w:rsid w:val="00826B36"/>
    <w:rsid w:val="00836D83"/>
    <w:rsid w:val="00837E4F"/>
    <w:rsid w:val="00841CE6"/>
    <w:rsid w:val="00843869"/>
    <w:rsid w:val="00843F3C"/>
    <w:rsid w:val="0084405F"/>
    <w:rsid w:val="00845A3A"/>
    <w:rsid w:val="00850D08"/>
    <w:rsid w:val="00850E63"/>
    <w:rsid w:val="00853D30"/>
    <w:rsid w:val="00854B06"/>
    <w:rsid w:val="00854C8B"/>
    <w:rsid w:val="00856416"/>
    <w:rsid w:val="00857F33"/>
    <w:rsid w:val="0086344D"/>
    <w:rsid w:val="0086668B"/>
    <w:rsid w:val="00872D85"/>
    <w:rsid w:val="00872FC7"/>
    <w:rsid w:val="0087339A"/>
    <w:rsid w:val="008738BD"/>
    <w:rsid w:val="00874C77"/>
    <w:rsid w:val="00875E05"/>
    <w:rsid w:val="00876368"/>
    <w:rsid w:val="00876DCD"/>
    <w:rsid w:val="008813FE"/>
    <w:rsid w:val="0088170C"/>
    <w:rsid w:val="00881C54"/>
    <w:rsid w:val="00884E91"/>
    <w:rsid w:val="00885D8C"/>
    <w:rsid w:val="00886281"/>
    <w:rsid w:val="0089242C"/>
    <w:rsid w:val="00893C6B"/>
    <w:rsid w:val="00894544"/>
    <w:rsid w:val="00895332"/>
    <w:rsid w:val="008A2360"/>
    <w:rsid w:val="008A3342"/>
    <w:rsid w:val="008A4D85"/>
    <w:rsid w:val="008A60BC"/>
    <w:rsid w:val="008A654A"/>
    <w:rsid w:val="008A6DA0"/>
    <w:rsid w:val="008B0853"/>
    <w:rsid w:val="008B24C0"/>
    <w:rsid w:val="008B2724"/>
    <w:rsid w:val="008B4492"/>
    <w:rsid w:val="008B5C6D"/>
    <w:rsid w:val="008B61C8"/>
    <w:rsid w:val="008B72F3"/>
    <w:rsid w:val="008C2478"/>
    <w:rsid w:val="008C2530"/>
    <w:rsid w:val="008D2612"/>
    <w:rsid w:val="008D335D"/>
    <w:rsid w:val="008D3CDE"/>
    <w:rsid w:val="008D3F40"/>
    <w:rsid w:val="008D57A5"/>
    <w:rsid w:val="008E04DA"/>
    <w:rsid w:val="008E0D85"/>
    <w:rsid w:val="008E129C"/>
    <w:rsid w:val="008E4F32"/>
    <w:rsid w:val="008F3B80"/>
    <w:rsid w:val="008F6F57"/>
    <w:rsid w:val="008F76EB"/>
    <w:rsid w:val="008F7817"/>
    <w:rsid w:val="008F78D6"/>
    <w:rsid w:val="008F7D50"/>
    <w:rsid w:val="00900797"/>
    <w:rsid w:val="00901DC1"/>
    <w:rsid w:val="009021B6"/>
    <w:rsid w:val="00904E4B"/>
    <w:rsid w:val="00912AAA"/>
    <w:rsid w:val="009131CE"/>
    <w:rsid w:val="00913EF9"/>
    <w:rsid w:val="00913FC2"/>
    <w:rsid w:val="00914674"/>
    <w:rsid w:val="00914AE1"/>
    <w:rsid w:val="00924DE9"/>
    <w:rsid w:val="0092508E"/>
    <w:rsid w:val="00925399"/>
    <w:rsid w:val="009305CF"/>
    <w:rsid w:val="009308AB"/>
    <w:rsid w:val="0093273A"/>
    <w:rsid w:val="0093350A"/>
    <w:rsid w:val="00935645"/>
    <w:rsid w:val="009405D6"/>
    <w:rsid w:val="00940CA3"/>
    <w:rsid w:val="009426EB"/>
    <w:rsid w:val="009437A2"/>
    <w:rsid w:val="00946771"/>
    <w:rsid w:val="00946A8C"/>
    <w:rsid w:val="0095047B"/>
    <w:rsid w:val="00950985"/>
    <w:rsid w:val="00951969"/>
    <w:rsid w:val="00952058"/>
    <w:rsid w:val="00952B8B"/>
    <w:rsid w:val="0095445D"/>
    <w:rsid w:val="00954BB2"/>
    <w:rsid w:val="00956A12"/>
    <w:rsid w:val="00956D80"/>
    <w:rsid w:val="009610A9"/>
    <w:rsid w:val="0096148D"/>
    <w:rsid w:val="00961DD8"/>
    <w:rsid w:val="00963846"/>
    <w:rsid w:val="009639CF"/>
    <w:rsid w:val="00963B4E"/>
    <w:rsid w:val="009645D4"/>
    <w:rsid w:val="009702CD"/>
    <w:rsid w:val="0097281F"/>
    <w:rsid w:val="00972D12"/>
    <w:rsid w:val="00975017"/>
    <w:rsid w:val="0097763B"/>
    <w:rsid w:val="00981A6C"/>
    <w:rsid w:val="00982292"/>
    <w:rsid w:val="00985C39"/>
    <w:rsid w:val="009876D9"/>
    <w:rsid w:val="00987DFE"/>
    <w:rsid w:val="009922A2"/>
    <w:rsid w:val="00993DAE"/>
    <w:rsid w:val="00995C99"/>
    <w:rsid w:val="009A01E9"/>
    <w:rsid w:val="009A0947"/>
    <w:rsid w:val="009A18DC"/>
    <w:rsid w:val="009A73F0"/>
    <w:rsid w:val="009B2ABF"/>
    <w:rsid w:val="009C0D16"/>
    <w:rsid w:val="009C13DD"/>
    <w:rsid w:val="009C1BF7"/>
    <w:rsid w:val="009C24F1"/>
    <w:rsid w:val="009C46EE"/>
    <w:rsid w:val="009C6F84"/>
    <w:rsid w:val="009C72DF"/>
    <w:rsid w:val="009D03E6"/>
    <w:rsid w:val="009D067A"/>
    <w:rsid w:val="009D0A53"/>
    <w:rsid w:val="009D1082"/>
    <w:rsid w:val="009D2952"/>
    <w:rsid w:val="009D3D9E"/>
    <w:rsid w:val="009D41E7"/>
    <w:rsid w:val="009D4816"/>
    <w:rsid w:val="009D5732"/>
    <w:rsid w:val="009D6F50"/>
    <w:rsid w:val="009E0ECA"/>
    <w:rsid w:val="009E1DAF"/>
    <w:rsid w:val="009E209A"/>
    <w:rsid w:val="009E701C"/>
    <w:rsid w:val="009F0013"/>
    <w:rsid w:val="009F16FE"/>
    <w:rsid w:val="009F31EF"/>
    <w:rsid w:val="009F3F61"/>
    <w:rsid w:val="009F7E52"/>
    <w:rsid w:val="00A01D53"/>
    <w:rsid w:val="00A03E07"/>
    <w:rsid w:val="00A069C5"/>
    <w:rsid w:val="00A103FD"/>
    <w:rsid w:val="00A12980"/>
    <w:rsid w:val="00A14D72"/>
    <w:rsid w:val="00A14FB5"/>
    <w:rsid w:val="00A150FA"/>
    <w:rsid w:val="00A16DD3"/>
    <w:rsid w:val="00A17987"/>
    <w:rsid w:val="00A17C1A"/>
    <w:rsid w:val="00A21D71"/>
    <w:rsid w:val="00A22B21"/>
    <w:rsid w:val="00A25875"/>
    <w:rsid w:val="00A25BC6"/>
    <w:rsid w:val="00A32411"/>
    <w:rsid w:val="00A32851"/>
    <w:rsid w:val="00A33EED"/>
    <w:rsid w:val="00A36E30"/>
    <w:rsid w:val="00A408CD"/>
    <w:rsid w:val="00A4100F"/>
    <w:rsid w:val="00A47898"/>
    <w:rsid w:val="00A47E0D"/>
    <w:rsid w:val="00A53F93"/>
    <w:rsid w:val="00A53FBC"/>
    <w:rsid w:val="00A567A1"/>
    <w:rsid w:val="00A57227"/>
    <w:rsid w:val="00A60BC1"/>
    <w:rsid w:val="00A60F12"/>
    <w:rsid w:val="00A6625B"/>
    <w:rsid w:val="00A66F8B"/>
    <w:rsid w:val="00A67E70"/>
    <w:rsid w:val="00A71E99"/>
    <w:rsid w:val="00A721E1"/>
    <w:rsid w:val="00A725B4"/>
    <w:rsid w:val="00A73AAF"/>
    <w:rsid w:val="00A73D6C"/>
    <w:rsid w:val="00A75ECC"/>
    <w:rsid w:val="00A77E73"/>
    <w:rsid w:val="00A84998"/>
    <w:rsid w:val="00A854CB"/>
    <w:rsid w:val="00A86793"/>
    <w:rsid w:val="00A9242E"/>
    <w:rsid w:val="00A92C32"/>
    <w:rsid w:val="00A93573"/>
    <w:rsid w:val="00A97FFC"/>
    <w:rsid w:val="00AA220C"/>
    <w:rsid w:val="00AA311C"/>
    <w:rsid w:val="00AA3B0D"/>
    <w:rsid w:val="00AA4027"/>
    <w:rsid w:val="00AA7CCB"/>
    <w:rsid w:val="00AB0312"/>
    <w:rsid w:val="00AB5931"/>
    <w:rsid w:val="00AB676A"/>
    <w:rsid w:val="00AC0C51"/>
    <w:rsid w:val="00AC12A5"/>
    <w:rsid w:val="00AC22CE"/>
    <w:rsid w:val="00AC259A"/>
    <w:rsid w:val="00AC2674"/>
    <w:rsid w:val="00AC2F56"/>
    <w:rsid w:val="00AC38A8"/>
    <w:rsid w:val="00AD0457"/>
    <w:rsid w:val="00AD47AE"/>
    <w:rsid w:val="00AD50BF"/>
    <w:rsid w:val="00AD52D3"/>
    <w:rsid w:val="00AD55BC"/>
    <w:rsid w:val="00AD7AFB"/>
    <w:rsid w:val="00AE145F"/>
    <w:rsid w:val="00AE30C6"/>
    <w:rsid w:val="00AE3167"/>
    <w:rsid w:val="00AE33E9"/>
    <w:rsid w:val="00AE3E10"/>
    <w:rsid w:val="00AE674F"/>
    <w:rsid w:val="00AF0D1C"/>
    <w:rsid w:val="00AF0FC3"/>
    <w:rsid w:val="00AF327A"/>
    <w:rsid w:val="00AF343B"/>
    <w:rsid w:val="00AF3EC7"/>
    <w:rsid w:val="00AF4A81"/>
    <w:rsid w:val="00AF4DFC"/>
    <w:rsid w:val="00AF6FF2"/>
    <w:rsid w:val="00AF7173"/>
    <w:rsid w:val="00AF7A57"/>
    <w:rsid w:val="00B00F75"/>
    <w:rsid w:val="00B013DA"/>
    <w:rsid w:val="00B02CDF"/>
    <w:rsid w:val="00B04CF7"/>
    <w:rsid w:val="00B05046"/>
    <w:rsid w:val="00B0671D"/>
    <w:rsid w:val="00B06F87"/>
    <w:rsid w:val="00B1262C"/>
    <w:rsid w:val="00B130E3"/>
    <w:rsid w:val="00B14A0D"/>
    <w:rsid w:val="00B16182"/>
    <w:rsid w:val="00B249AB"/>
    <w:rsid w:val="00B30850"/>
    <w:rsid w:val="00B32415"/>
    <w:rsid w:val="00B328B4"/>
    <w:rsid w:val="00B34FEF"/>
    <w:rsid w:val="00B35390"/>
    <w:rsid w:val="00B3541F"/>
    <w:rsid w:val="00B401D7"/>
    <w:rsid w:val="00B4122F"/>
    <w:rsid w:val="00B43182"/>
    <w:rsid w:val="00B44828"/>
    <w:rsid w:val="00B462D8"/>
    <w:rsid w:val="00B468CC"/>
    <w:rsid w:val="00B46DAF"/>
    <w:rsid w:val="00B46E3F"/>
    <w:rsid w:val="00B52299"/>
    <w:rsid w:val="00B53FD5"/>
    <w:rsid w:val="00B55BE5"/>
    <w:rsid w:val="00B65AB5"/>
    <w:rsid w:val="00B679AF"/>
    <w:rsid w:val="00B71B22"/>
    <w:rsid w:val="00B73808"/>
    <w:rsid w:val="00B73D4F"/>
    <w:rsid w:val="00B746B1"/>
    <w:rsid w:val="00B760DD"/>
    <w:rsid w:val="00B76321"/>
    <w:rsid w:val="00B77BFC"/>
    <w:rsid w:val="00B81E8A"/>
    <w:rsid w:val="00B82E63"/>
    <w:rsid w:val="00B830BD"/>
    <w:rsid w:val="00B84344"/>
    <w:rsid w:val="00B85569"/>
    <w:rsid w:val="00B87793"/>
    <w:rsid w:val="00B95835"/>
    <w:rsid w:val="00B96C0D"/>
    <w:rsid w:val="00B976A0"/>
    <w:rsid w:val="00BA1DA4"/>
    <w:rsid w:val="00BA2730"/>
    <w:rsid w:val="00BA2F64"/>
    <w:rsid w:val="00BA6B75"/>
    <w:rsid w:val="00BB085B"/>
    <w:rsid w:val="00BB09A0"/>
    <w:rsid w:val="00BB26A0"/>
    <w:rsid w:val="00BB35FF"/>
    <w:rsid w:val="00BB3803"/>
    <w:rsid w:val="00BB52C6"/>
    <w:rsid w:val="00BB5DF1"/>
    <w:rsid w:val="00BB6815"/>
    <w:rsid w:val="00BB72F4"/>
    <w:rsid w:val="00BC0236"/>
    <w:rsid w:val="00BC205D"/>
    <w:rsid w:val="00BC433E"/>
    <w:rsid w:val="00BC57A8"/>
    <w:rsid w:val="00BD69CD"/>
    <w:rsid w:val="00BD7CFE"/>
    <w:rsid w:val="00BD7EF5"/>
    <w:rsid w:val="00BE1B99"/>
    <w:rsid w:val="00BE2250"/>
    <w:rsid w:val="00BE394B"/>
    <w:rsid w:val="00BE514E"/>
    <w:rsid w:val="00BE53FD"/>
    <w:rsid w:val="00BE62D6"/>
    <w:rsid w:val="00BF0544"/>
    <w:rsid w:val="00BF0CF1"/>
    <w:rsid w:val="00BF1F4E"/>
    <w:rsid w:val="00BF5349"/>
    <w:rsid w:val="00BF6A28"/>
    <w:rsid w:val="00BF7721"/>
    <w:rsid w:val="00C00A4D"/>
    <w:rsid w:val="00C01372"/>
    <w:rsid w:val="00C049BF"/>
    <w:rsid w:val="00C04A85"/>
    <w:rsid w:val="00C04B36"/>
    <w:rsid w:val="00C04F68"/>
    <w:rsid w:val="00C066CC"/>
    <w:rsid w:val="00C06EDE"/>
    <w:rsid w:val="00C10EE7"/>
    <w:rsid w:val="00C1193F"/>
    <w:rsid w:val="00C13729"/>
    <w:rsid w:val="00C13B2D"/>
    <w:rsid w:val="00C13F84"/>
    <w:rsid w:val="00C14C37"/>
    <w:rsid w:val="00C14F76"/>
    <w:rsid w:val="00C158FD"/>
    <w:rsid w:val="00C16EA1"/>
    <w:rsid w:val="00C16EED"/>
    <w:rsid w:val="00C17692"/>
    <w:rsid w:val="00C20E8B"/>
    <w:rsid w:val="00C2150B"/>
    <w:rsid w:val="00C219A1"/>
    <w:rsid w:val="00C234F5"/>
    <w:rsid w:val="00C253C8"/>
    <w:rsid w:val="00C271BA"/>
    <w:rsid w:val="00C2790E"/>
    <w:rsid w:val="00C31912"/>
    <w:rsid w:val="00C37659"/>
    <w:rsid w:val="00C40942"/>
    <w:rsid w:val="00C4237A"/>
    <w:rsid w:val="00C425E1"/>
    <w:rsid w:val="00C43222"/>
    <w:rsid w:val="00C43EB3"/>
    <w:rsid w:val="00C4474C"/>
    <w:rsid w:val="00C451CF"/>
    <w:rsid w:val="00C46899"/>
    <w:rsid w:val="00C5010F"/>
    <w:rsid w:val="00C502C5"/>
    <w:rsid w:val="00C520CE"/>
    <w:rsid w:val="00C522BC"/>
    <w:rsid w:val="00C5540B"/>
    <w:rsid w:val="00C55448"/>
    <w:rsid w:val="00C57A8F"/>
    <w:rsid w:val="00C60176"/>
    <w:rsid w:val="00C61FD4"/>
    <w:rsid w:val="00C6296F"/>
    <w:rsid w:val="00C63F99"/>
    <w:rsid w:val="00C70232"/>
    <w:rsid w:val="00C70FC7"/>
    <w:rsid w:val="00C724DC"/>
    <w:rsid w:val="00C7588B"/>
    <w:rsid w:val="00C768B4"/>
    <w:rsid w:val="00C81C24"/>
    <w:rsid w:val="00C83990"/>
    <w:rsid w:val="00C851C3"/>
    <w:rsid w:val="00C859DC"/>
    <w:rsid w:val="00C85CB5"/>
    <w:rsid w:val="00C8644B"/>
    <w:rsid w:val="00C87576"/>
    <w:rsid w:val="00C87F8B"/>
    <w:rsid w:val="00C90B6D"/>
    <w:rsid w:val="00C95816"/>
    <w:rsid w:val="00C9794C"/>
    <w:rsid w:val="00C97F73"/>
    <w:rsid w:val="00CA017B"/>
    <w:rsid w:val="00CA1E93"/>
    <w:rsid w:val="00CA4064"/>
    <w:rsid w:val="00CA4EFC"/>
    <w:rsid w:val="00CA509C"/>
    <w:rsid w:val="00CA551B"/>
    <w:rsid w:val="00CA576C"/>
    <w:rsid w:val="00CB1AC6"/>
    <w:rsid w:val="00CB1F2F"/>
    <w:rsid w:val="00CB4B77"/>
    <w:rsid w:val="00CB7628"/>
    <w:rsid w:val="00CB7EA7"/>
    <w:rsid w:val="00CC1A8C"/>
    <w:rsid w:val="00CC337D"/>
    <w:rsid w:val="00CC3D45"/>
    <w:rsid w:val="00CD0984"/>
    <w:rsid w:val="00CD1ACB"/>
    <w:rsid w:val="00CD3565"/>
    <w:rsid w:val="00CD3E76"/>
    <w:rsid w:val="00CD4385"/>
    <w:rsid w:val="00CE0B94"/>
    <w:rsid w:val="00CE13D5"/>
    <w:rsid w:val="00CE3B0A"/>
    <w:rsid w:val="00CE47EC"/>
    <w:rsid w:val="00CE50E2"/>
    <w:rsid w:val="00CF0892"/>
    <w:rsid w:val="00CF7096"/>
    <w:rsid w:val="00D03494"/>
    <w:rsid w:val="00D06413"/>
    <w:rsid w:val="00D06C61"/>
    <w:rsid w:val="00D10ED6"/>
    <w:rsid w:val="00D11CD3"/>
    <w:rsid w:val="00D143B2"/>
    <w:rsid w:val="00D14C8D"/>
    <w:rsid w:val="00D175BC"/>
    <w:rsid w:val="00D215AA"/>
    <w:rsid w:val="00D22547"/>
    <w:rsid w:val="00D22B0A"/>
    <w:rsid w:val="00D26B80"/>
    <w:rsid w:val="00D33726"/>
    <w:rsid w:val="00D354F0"/>
    <w:rsid w:val="00D3772A"/>
    <w:rsid w:val="00D3779F"/>
    <w:rsid w:val="00D41BC9"/>
    <w:rsid w:val="00D42884"/>
    <w:rsid w:val="00D4340A"/>
    <w:rsid w:val="00D4346E"/>
    <w:rsid w:val="00D437CF"/>
    <w:rsid w:val="00D458D7"/>
    <w:rsid w:val="00D464DA"/>
    <w:rsid w:val="00D47165"/>
    <w:rsid w:val="00D5024E"/>
    <w:rsid w:val="00D5037C"/>
    <w:rsid w:val="00D51D5D"/>
    <w:rsid w:val="00D527BD"/>
    <w:rsid w:val="00D53EFB"/>
    <w:rsid w:val="00D53F2F"/>
    <w:rsid w:val="00D543D2"/>
    <w:rsid w:val="00D553EE"/>
    <w:rsid w:val="00D572D1"/>
    <w:rsid w:val="00D576BA"/>
    <w:rsid w:val="00D57FD5"/>
    <w:rsid w:val="00D60AF5"/>
    <w:rsid w:val="00D60F49"/>
    <w:rsid w:val="00D61EF2"/>
    <w:rsid w:val="00D631ED"/>
    <w:rsid w:val="00D63B20"/>
    <w:rsid w:val="00D711D3"/>
    <w:rsid w:val="00D719D5"/>
    <w:rsid w:val="00D73956"/>
    <w:rsid w:val="00D7614A"/>
    <w:rsid w:val="00D76A66"/>
    <w:rsid w:val="00D779A5"/>
    <w:rsid w:val="00D8049E"/>
    <w:rsid w:val="00D808B2"/>
    <w:rsid w:val="00D80B37"/>
    <w:rsid w:val="00D8385F"/>
    <w:rsid w:val="00D91A2A"/>
    <w:rsid w:val="00D92C57"/>
    <w:rsid w:val="00D9330B"/>
    <w:rsid w:val="00D9403C"/>
    <w:rsid w:val="00D94AB2"/>
    <w:rsid w:val="00D94F5C"/>
    <w:rsid w:val="00D9724B"/>
    <w:rsid w:val="00DA0592"/>
    <w:rsid w:val="00DA4897"/>
    <w:rsid w:val="00DB31D5"/>
    <w:rsid w:val="00DB37D6"/>
    <w:rsid w:val="00DB4D24"/>
    <w:rsid w:val="00DB5272"/>
    <w:rsid w:val="00DB6F16"/>
    <w:rsid w:val="00DB7DF8"/>
    <w:rsid w:val="00DB7E35"/>
    <w:rsid w:val="00DC1CF2"/>
    <w:rsid w:val="00DC4383"/>
    <w:rsid w:val="00DC50DF"/>
    <w:rsid w:val="00DC55D8"/>
    <w:rsid w:val="00DD0AB0"/>
    <w:rsid w:val="00DD5F5A"/>
    <w:rsid w:val="00DD68D7"/>
    <w:rsid w:val="00DE2987"/>
    <w:rsid w:val="00DE4DD8"/>
    <w:rsid w:val="00DE7F9E"/>
    <w:rsid w:val="00DF355D"/>
    <w:rsid w:val="00DF762B"/>
    <w:rsid w:val="00E01A58"/>
    <w:rsid w:val="00E029E0"/>
    <w:rsid w:val="00E02B1D"/>
    <w:rsid w:val="00E04C73"/>
    <w:rsid w:val="00E07291"/>
    <w:rsid w:val="00E07FBE"/>
    <w:rsid w:val="00E13728"/>
    <w:rsid w:val="00E1596F"/>
    <w:rsid w:val="00E15FA4"/>
    <w:rsid w:val="00E16D82"/>
    <w:rsid w:val="00E16F2E"/>
    <w:rsid w:val="00E1770F"/>
    <w:rsid w:val="00E30FDC"/>
    <w:rsid w:val="00E32766"/>
    <w:rsid w:val="00E33587"/>
    <w:rsid w:val="00E33E35"/>
    <w:rsid w:val="00E34036"/>
    <w:rsid w:val="00E3518B"/>
    <w:rsid w:val="00E357FA"/>
    <w:rsid w:val="00E36C66"/>
    <w:rsid w:val="00E37E17"/>
    <w:rsid w:val="00E408EC"/>
    <w:rsid w:val="00E425CB"/>
    <w:rsid w:val="00E433B8"/>
    <w:rsid w:val="00E4385A"/>
    <w:rsid w:val="00E44C6D"/>
    <w:rsid w:val="00E4539E"/>
    <w:rsid w:val="00E4572D"/>
    <w:rsid w:val="00E50E4B"/>
    <w:rsid w:val="00E513F6"/>
    <w:rsid w:val="00E55B79"/>
    <w:rsid w:val="00E60D74"/>
    <w:rsid w:val="00E61AFB"/>
    <w:rsid w:val="00E6233D"/>
    <w:rsid w:val="00E63F5D"/>
    <w:rsid w:val="00E64825"/>
    <w:rsid w:val="00E65156"/>
    <w:rsid w:val="00E66281"/>
    <w:rsid w:val="00E67B0A"/>
    <w:rsid w:val="00E70436"/>
    <w:rsid w:val="00E7075F"/>
    <w:rsid w:val="00E708AF"/>
    <w:rsid w:val="00E72191"/>
    <w:rsid w:val="00E7318E"/>
    <w:rsid w:val="00E801D7"/>
    <w:rsid w:val="00E824C7"/>
    <w:rsid w:val="00E84E61"/>
    <w:rsid w:val="00E879FF"/>
    <w:rsid w:val="00E90514"/>
    <w:rsid w:val="00E91A40"/>
    <w:rsid w:val="00E9329B"/>
    <w:rsid w:val="00E95C81"/>
    <w:rsid w:val="00EA0F01"/>
    <w:rsid w:val="00EA170A"/>
    <w:rsid w:val="00EA256C"/>
    <w:rsid w:val="00EA3339"/>
    <w:rsid w:val="00EA45E8"/>
    <w:rsid w:val="00EA5F2E"/>
    <w:rsid w:val="00EA71A5"/>
    <w:rsid w:val="00EA7951"/>
    <w:rsid w:val="00EA7B31"/>
    <w:rsid w:val="00EB02D8"/>
    <w:rsid w:val="00EB41A2"/>
    <w:rsid w:val="00EB67DE"/>
    <w:rsid w:val="00EB698F"/>
    <w:rsid w:val="00EB72B8"/>
    <w:rsid w:val="00EB749B"/>
    <w:rsid w:val="00EC236A"/>
    <w:rsid w:val="00EC4B7B"/>
    <w:rsid w:val="00EC5675"/>
    <w:rsid w:val="00EC593A"/>
    <w:rsid w:val="00EC6B36"/>
    <w:rsid w:val="00EC7951"/>
    <w:rsid w:val="00ED3287"/>
    <w:rsid w:val="00ED36F3"/>
    <w:rsid w:val="00ED471E"/>
    <w:rsid w:val="00EE05AA"/>
    <w:rsid w:val="00EE0822"/>
    <w:rsid w:val="00EF2253"/>
    <w:rsid w:val="00EF255A"/>
    <w:rsid w:val="00EF2737"/>
    <w:rsid w:val="00EF34F1"/>
    <w:rsid w:val="00EF3A98"/>
    <w:rsid w:val="00EF44C4"/>
    <w:rsid w:val="00F05316"/>
    <w:rsid w:val="00F055CE"/>
    <w:rsid w:val="00F05E7D"/>
    <w:rsid w:val="00F10031"/>
    <w:rsid w:val="00F11CF4"/>
    <w:rsid w:val="00F11E22"/>
    <w:rsid w:val="00F12138"/>
    <w:rsid w:val="00F12F5A"/>
    <w:rsid w:val="00F13296"/>
    <w:rsid w:val="00F13B95"/>
    <w:rsid w:val="00F15AED"/>
    <w:rsid w:val="00F17B44"/>
    <w:rsid w:val="00F222EE"/>
    <w:rsid w:val="00F26E95"/>
    <w:rsid w:val="00F27D08"/>
    <w:rsid w:val="00F31D83"/>
    <w:rsid w:val="00F32814"/>
    <w:rsid w:val="00F330A4"/>
    <w:rsid w:val="00F332E0"/>
    <w:rsid w:val="00F34573"/>
    <w:rsid w:val="00F363CC"/>
    <w:rsid w:val="00F37F50"/>
    <w:rsid w:val="00F37F6C"/>
    <w:rsid w:val="00F40639"/>
    <w:rsid w:val="00F40ABB"/>
    <w:rsid w:val="00F4195E"/>
    <w:rsid w:val="00F41E11"/>
    <w:rsid w:val="00F439EE"/>
    <w:rsid w:val="00F43B83"/>
    <w:rsid w:val="00F45092"/>
    <w:rsid w:val="00F4691C"/>
    <w:rsid w:val="00F52C14"/>
    <w:rsid w:val="00F5361B"/>
    <w:rsid w:val="00F5532D"/>
    <w:rsid w:val="00F5541A"/>
    <w:rsid w:val="00F5674D"/>
    <w:rsid w:val="00F57EA2"/>
    <w:rsid w:val="00F6122F"/>
    <w:rsid w:val="00F62717"/>
    <w:rsid w:val="00F63974"/>
    <w:rsid w:val="00F64B1F"/>
    <w:rsid w:val="00F70969"/>
    <w:rsid w:val="00F71A2A"/>
    <w:rsid w:val="00F71F01"/>
    <w:rsid w:val="00F74EEC"/>
    <w:rsid w:val="00F750B1"/>
    <w:rsid w:val="00F856D4"/>
    <w:rsid w:val="00F85FEB"/>
    <w:rsid w:val="00F9047A"/>
    <w:rsid w:val="00FA175C"/>
    <w:rsid w:val="00FA2110"/>
    <w:rsid w:val="00FA4E81"/>
    <w:rsid w:val="00FA6B09"/>
    <w:rsid w:val="00FA6D99"/>
    <w:rsid w:val="00FB1011"/>
    <w:rsid w:val="00FB3385"/>
    <w:rsid w:val="00FB4D17"/>
    <w:rsid w:val="00FB568F"/>
    <w:rsid w:val="00FC0356"/>
    <w:rsid w:val="00FC0A43"/>
    <w:rsid w:val="00FC2751"/>
    <w:rsid w:val="00FC5595"/>
    <w:rsid w:val="00FC7159"/>
    <w:rsid w:val="00FC7929"/>
    <w:rsid w:val="00FD2934"/>
    <w:rsid w:val="00FD3112"/>
    <w:rsid w:val="00FD4A55"/>
    <w:rsid w:val="00FD61C0"/>
    <w:rsid w:val="00FE09FF"/>
    <w:rsid w:val="00FE16A6"/>
    <w:rsid w:val="00FE351B"/>
    <w:rsid w:val="00FE4016"/>
    <w:rsid w:val="00FE7408"/>
    <w:rsid w:val="00FF12D0"/>
    <w:rsid w:val="00FF465D"/>
    <w:rsid w:val="00FF64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1A4BAD5B"/>
  <w15:chartTrackingRefBased/>
  <w15:docId w15:val="{2C5EB137-27CC-4724-9662-BD040C1B4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674"/>
    <w:pPr>
      <w:spacing w:after="0" w:line="240" w:lineRule="auto"/>
      <w:jc w:val="both"/>
    </w:pPr>
    <w:rPr>
      <w:rFonts w:ascii="AvenirNext LT Pro Cn" w:hAnsi="AvenirNext LT Pro Cn"/>
      <w:sz w:val="24"/>
    </w:rPr>
  </w:style>
  <w:style w:type="paragraph" w:styleId="Titre1">
    <w:name w:val="heading 1"/>
    <w:basedOn w:val="Normal"/>
    <w:next w:val="Normal"/>
    <w:link w:val="Titre1Car"/>
    <w:qFormat/>
    <w:rsid w:val="00EB02D8"/>
    <w:pPr>
      <w:keepNext/>
      <w:keepLines/>
      <w:numPr>
        <w:numId w:val="1"/>
      </w:numPr>
      <w:spacing w:before="240"/>
      <w:outlineLvl w:val="0"/>
    </w:pPr>
    <w:rPr>
      <w:rFonts w:ascii="Raleway" w:eastAsiaTheme="majorEastAsia" w:hAnsi="Raleway" w:cstheme="majorBidi"/>
      <w:b/>
      <w:color w:val="00A3A6"/>
      <w:sz w:val="40"/>
      <w:szCs w:val="32"/>
    </w:rPr>
  </w:style>
  <w:style w:type="paragraph" w:styleId="Titre2">
    <w:name w:val="heading 2"/>
    <w:basedOn w:val="Titre1"/>
    <w:next w:val="Normal"/>
    <w:link w:val="Titre2Car"/>
    <w:autoRedefine/>
    <w:unhideWhenUsed/>
    <w:qFormat/>
    <w:rsid w:val="00011CED"/>
    <w:pPr>
      <w:numPr>
        <w:ilvl w:val="1"/>
        <w:numId w:val="0"/>
      </w:numPr>
      <w:spacing w:before="40" w:after="240"/>
      <w:outlineLvl w:val="1"/>
    </w:pPr>
    <w:rPr>
      <w:rFonts w:eastAsiaTheme="minorHAnsi" w:cs="Times-Roman"/>
      <w:b w:val="0"/>
      <w:sz w:val="24"/>
      <w:szCs w:val="18"/>
      <w:u w:val="single"/>
    </w:rPr>
  </w:style>
  <w:style w:type="paragraph" w:styleId="Titre3">
    <w:name w:val="heading 3"/>
    <w:aliases w:val="Titre 3 SQ,T3,Section,Section1,Section2,Section3,Section4,Section5,Section6,Section7,Section8,Section9,Section10,Section11,Section12,Section21,Section31,Section41,Section51,Section61,Section71,Section81,Section91,Section101,Section111,Section22"/>
    <w:basedOn w:val="Titre2"/>
    <w:next w:val="Normal"/>
    <w:link w:val="Titre3Car"/>
    <w:unhideWhenUsed/>
    <w:qFormat/>
    <w:rsid w:val="00DA4897"/>
    <w:pPr>
      <w:numPr>
        <w:ilvl w:val="2"/>
      </w:numPr>
      <w:spacing w:before="120"/>
      <w:ind w:left="578" w:hanging="578"/>
      <w:outlineLvl w:val="2"/>
    </w:pPr>
    <w:rPr>
      <w:i/>
      <w:szCs w:val="24"/>
      <w:u w:val="none"/>
    </w:rPr>
  </w:style>
  <w:style w:type="paragraph" w:styleId="Titre4">
    <w:name w:val="heading 4"/>
    <w:basedOn w:val="Normal"/>
    <w:next w:val="Normal"/>
    <w:link w:val="Titre4Car"/>
    <w:unhideWhenUsed/>
    <w:qFormat/>
    <w:rsid w:val="00372504"/>
    <w:pPr>
      <w:keepNext/>
      <w:keepLines/>
      <w:numPr>
        <w:ilvl w:val="3"/>
        <w:numId w:val="1"/>
      </w:numPr>
      <w:spacing w:before="40"/>
      <w:outlineLvl w:val="3"/>
    </w:pPr>
    <w:rPr>
      <w:rFonts w:asciiTheme="majorHAnsi" w:eastAsiaTheme="majorEastAsia" w:hAnsiTheme="majorHAnsi" w:cstheme="majorBidi"/>
      <w:i/>
      <w:iCs/>
      <w:color w:val="275662"/>
    </w:rPr>
  </w:style>
  <w:style w:type="paragraph" w:styleId="Titre5">
    <w:name w:val="heading 5"/>
    <w:basedOn w:val="Normal"/>
    <w:next w:val="Normal"/>
    <w:link w:val="Titre5Car"/>
    <w:unhideWhenUsed/>
    <w:qFormat/>
    <w:rsid w:val="005108F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semiHidden/>
    <w:unhideWhenUsed/>
    <w:qFormat/>
    <w:rsid w:val="005108F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9"/>
    <w:semiHidden/>
    <w:unhideWhenUsed/>
    <w:qFormat/>
    <w:rsid w:val="005108F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9"/>
    <w:semiHidden/>
    <w:unhideWhenUsed/>
    <w:qFormat/>
    <w:rsid w:val="005108F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9"/>
    <w:semiHidden/>
    <w:unhideWhenUsed/>
    <w:qFormat/>
    <w:rsid w:val="005108F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B02D8"/>
    <w:rPr>
      <w:rFonts w:ascii="Raleway" w:eastAsiaTheme="majorEastAsia" w:hAnsi="Raleway" w:cstheme="majorBidi"/>
      <w:b/>
      <w:color w:val="00A3A6"/>
      <w:sz w:val="40"/>
      <w:szCs w:val="32"/>
    </w:rPr>
  </w:style>
  <w:style w:type="character" w:customStyle="1" w:styleId="Titre2Car">
    <w:name w:val="Titre 2 Car"/>
    <w:basedOn w:val="Policepardfaut"/>
    <w:link w:val="Titre2"/>
    <w:rsid w:val="00011CED"/>
    <w:rPr>
      <w:rFonts w:ascii="Raleway" w:hAnsi="Raleway" w:cs="Times-Roman"/>
      <w:color w:val="00A3A6"/>
      <w:sz w:val="24"/>
      <w:szCs w:val="18"/>
      <w:u w:val="single"/>
    </w:rPr>
  </w:style>
  <w:style w:type="paragraph" w:styleId="Titre">
    <w:name w:val="Title"/>
    <w:basedOn w:val="Normal"/>
    <w:next w:val="Normal"/>
    <w:link w:val="TitreCar"/>
    <w:uiPriority w:val="10"/>
    <w:qFormat/>
    <w:rsid w:val="00956A12"/>
    <w:pPr>
      <w:contextualSpacing/>
      <w:jc w:val="center"/>
    </w:pPr>
    <w:rPr>
      <w:rFonts w:ascii="Raleway" w:eastAsiaTheme="majorEastAsia" w:hAnsi="Raleway" w:cstheme="majorBidi"/>
      <w:b/>
      <w:spacing w:val="-10"/>
      <w:kern w:val="28"/>
      <w:sz w:val="56"/>
      <w:szCs w:val="56"/>
    </w:rPr>
  </w:style>
  <w:style w:type="character" w:customStyle="1" w:styleId="TitreCar">
    <w:name w:val="Titre Car"/>
    <w:basedOn w:val="Policepardfaut"/>
    <w:link w:val="Titre"/>
    <w:uiPriority w:val="10"/>
    <w:rsid w:val="00956A12"/>
    <w:rPr>
      <w:rFonts w:ascii="Raleway" w:eastAsiaTheme="majorEastAsia" w:hAnsi="Raleway" w:cstheme="majorBidi"/>
      <w:b/>
      <w:spacing w:val="-10"/>
      <w:kern w:val="28"/>
      <w:sz w:val="56"/>
      <w:szCs w:val="56"/>
    </w:rPr>
  </w:style>
  <w:style w:type="character" w:customStyle="1" w:styleId="Titre3Car">
    <w:name w:val="Titre 3 Car"/>
    <w:aliases w:val="Titre 3 SQ Car,T3 Car,Section Car,Section1 Car,Section2 Car,Section3 Car,Section4 Car,Section5 Car,Section6 Car,Section7 Car,Section8 Car,Section9 Car,Section10 Car,Section11 Car,Section12 Car,Section21 Car,Section31 Car,Section41 Car"/>
    <w:basedOn w:val="Policepardfaut"/>
    <w:link w:val="Titre3"/>
    <w:rsid w:val="00DA4897"/>
    <w:rPr>
      <w:rFonts w:ascii="Raleway" w:hAnsi="Raleway" w:cs="Times-Roman"/>
      <w:i/>
      <w:color w:val="00A3A6"/>
      <w:sz w:val="24"/>
      <w:szCs w:val="24"/>
    </w:rPr>
  </w:style>
  <w:style w:type="paragraph" w:styleId="En-tte">
    <w:name w:val="header"/>
    <w:basedOn w:val="Normal"/>
    <w:link w:val="En-tteCar"/>
    <w:uiPriority w:val="99"/>
    <w:unhideWhenUsed/>
    <w:rsid w:val="00FD4A55"/>
    <w:pPr>
      <w:tabs>
        <w:tab w:val="center" w:pos="4536"/>
        <w:tab w:val="right" w:pos="9072"/>
      </w:tabs>
    </w:pPr>
  </w:style>
  <w:style w:type="character" w:customStyle="1" w:styleId="En-tteCar">
    <w:name w:val="En-tête Car"/>
    <w:basedOn w:val="Policepardfaut"/>
    <w:link w:val="En-tte"/>
    <w:uiPriority w:val="99"/>
    <w:rsid w:val="00FD4A55"/>
    <w:rPr>
      <w:rFonts w:ascii="AvenirNext LT Pro Cn" w:hAnsi="AvenirNext LT Pro Cn"/>
    </w:rPr>
  </w:style>
  <w:style w:type="paragraph" w:styleId="Pieddepage">
    <w:name w:val="footer"/>
    <w:basedOn w:val="Normal"/>
    <w:link w:val="PieddepageCar"/>
    <w:uiPriority w:val="99"/>
    <w:unhideWhenUsed/>
    <w:rsid w:val="00FD4A55"/>
    <w:pPr>
      <w:tabs>
        <w:tab w:val="center" w:pos="4536"/>
        <w:tab w:val="right" w:pos="9072"/>
      </w:tabs>
    </w:pPr>
  </w:style>
  <w:style w:type="character" w:customStyle="1" w:styleId="PieddepageCar">
    <w:name w:val="Pied de page Car"/>
    <w:basedOn w:val="Policepardfaut"/>
    <w:link w:val="Pieddepage"/>
    <w:uiPriority w:val="99"/>
    <w:rsid w:val="00FD4A55"/>
    <w:rPr>
      <w:rFonts w:ascii="AvenirNext LT Pro Cn" w:hAnsi="AvenirNext LT Pro Cn"/>
    </w:rPr>
  </w:style>
  <w:style w:type="paragraph" w:styleId="En-ttedetabledesmatires">
    <w:name w:val="TOC Heading"/>
    <w:basedOn w:val="Titre1"/>
    <w:next w:val="Normal"/>
    <w:uiPriority w:val="39"/>
    <w:unhideWhenUsed/>
    <w:qFormat/>
    <w:rsid w:val="00FD4A55"/>
    <w:pPr>
      <w:numPr>
        <w:numId w:val="0"/>
      </w:numPr>
      <w:outlineLvl w:val="9"/>
    </w:pPr>
    <w:rPr>
      <w:rFonts w:asciiTheme="majorHAnsi" w:hAnsiTheme="majorHAnsi"/>
      <w:color w:val="2E74B5" w:themeColor="accent1" w:themeShade="BF"/>
      <w:lang w:eastAsia="fr-FR"/>
    </w:rPr>
  </w:style>
  <w:style w:type="paragraph" w:styleId="Corpsdetexte">
    <w:name w:val="Body Text"/>
    <w:basedOn w:val="Normal"/>
    <w:link w:val="CorpsdetexteCar"/>
    <w:semiHidden/>
    <w:unhideWhenUsed/>
    <w:rsid w:val="00A53F93"/>
    <w:rPr>
      <w:rFonts w:ascii="Arial" w:eastAsia="MS Mincho" w:hAnsi="Arial" w:cs="Arial"/>
      <w:szCs w:val="24"/>
      <w:lang w:eastAsia="ja-JP"/>
    </w:rPr>
  </w:style>
  <w:style w:type="character" w:customStyle="1" w:styleId="CorpsdetexteCar">
    <w:name w:val="Corps de texte Car"/>
    <w:basedOn w:val="Policepardfaut"/>
    <w:link w:val="Corpsdetexte"/>
    <w:semiHidden/>
    <w:rsid w:val="00A53F93"/>
    <w:rPr>
      <w:rFonts w:ascii="Arial" w:eastAsia="MS Mincho" w:hAnsi="Arial" w:cs="Arial"/>
      <w:szCs w:val="24"/>
      <w:lang w:eastAsia="ja-JP"/>
    </w:rPr>
  </w:style>
  <w:style w:type="paragraph" w:styleId="Paragraphedeliste">
    <w:name w:val="List Paragraph"/>
    <w:aliases w:val="Paragraphe 3,lp1"/>
    <w:basedOn w:val="Normal"/>
    <w:link w:val="ParagraphedelisteCar"/>
    <w:uiPriority w:val="34"/>
    <w:qFormat/>
    <w:rsid w:val="00AB0312"/>
    <w:pPr>
      <w:ind w:left="708"/>
    </w:pPr>
    <w:rPr>
      <w:rFonts w:eastAsia="Times New Roman" w:cs="Times New Roman"/>
      <w:szCs w:val="24"/>
      <w:lang w:eastAsia="fr-FR"/>
    </w:rPr>
  </w:style>
  <w:style w:type="character" w:styleId="Marquedecommentaire">
    <w:name w:val="annotation reference"/>
    <w:basedOn w:val="Policepardfaut"/>
    <w:uiPriority w:val="99"/>
    <w:unhideWhenUsed/>
    <w:rsid w:val="00AB0312"/>
    <w:rPr>
      <w:sz w:val="16"/>
      <w:szCs w:val="16"/>
    </w:rPr>
  </w:style>
  <w:style w:type="paragraph" w:styleId="Commentaire">
    <w:name w:val="annotation text"/>
    <w:basedOn w:val="Normal"/>
    <w:link w:val="CommentaireCar"/>
    <w:uiPriority w:val="99"/>
    <w:semiHidden/>
    <w:unhideWhenUsed/>
    <w:rsid w:val="00AB0312"/>
    <w:rPr>
      <w:sz w:val="20"/>
      <w:szCs w:val="20"/>
    </w:rPr>
  </w:style>
  <w:style w:type="character" w:customStyle="1" w:styleId="CommentaireCar">
    <w:name w:val="Commentaire Car"/>
    <w:basedOn w:val="Policepardfaut"/>
    <w:link w:val="Commentaire"/>
    <w:uiPriority w:val="99"/>
    <w:semiHidden/>
    <w:rsid w:val="00AB0312"/>
    <w:rPr>
      <w:rFonts w:ascii="AvenirNext LT Pro Cn" w:hAnsi="AvenirNext LT Pro Cn"/>
      <w:sz w:val="20"/>
      <w:szCs w:val="20"/>
    </w:rPr>
  </w:style>
  <w:style w:type="paragraph" w:styleId="Objetducommentaire">
    <w:name w:val="annotation subject"/>
    <w:basedOn w:val="Commentaire"/>
    <w:next w:val="Commentaire"/>
    <w:link w:val="ObjetducommentaireCar"/>
    <w:uiPriority w:val="99"/>
    <w:semiHidden/>
    <w:unhideWhenUsed/>
    <w:rsid w:val="00AB0312"/>
    <w:rPr>
      <w:b/>
      <w:bCs/>
    </w:rPr>
  </w:style>
  <w:style w:type="character" w:customStyle="1" w:styleId="ObjetducommentaireCar">
    <w:name w:val="Objet du commentaire Car"/>
    <w:basedOn w:val="CommentaireCar"/>
    <w:link w:val="Objetducommentaire"/>
    <w:uiPriority w:val="99"/>
    <w:semiHidden/>
    <w:rsid w:val="00AB0312"/>
    <w:rPr>
      <w:rFonts w:ascii="AvenirNext LT Pro Cn" w:hAnsi="AvenirNext LT Pro Cn"/>
      <w:b/>
      <w:bCs/>
      <w:sz w:val="20"/>
      <w:szCs w:val="20"/>
    </w:rPr>
  </w:style>
  <w:style w:type="paragraph" w:styleId="Textedebulles">
    <w:name w:val="Balloon Text"/>
    <w:basedOn w:val="Normal"/>
    <w:link w:val="TextedebullesCar"/>
    <w:uiPriority w:val="99"/>
    <w:semiHidden/>
    <w:unhideWhenUsed/>
    <w:rsid w:val="00AB0312"/>
    <w:rPr>
      <w:rFonts w:ascii="Segoe UI" w:hAnsi="Segoe UI" w:cs="Segoe UI"/>
      <w:sz w:val="18"/>
      <w:szCs w:val="18"/>
    </w:rPr>
  </w:style>
  <w:style w:type="character" w:customStyle="1" w:styleId="TextedebullesCar">
    <w:name w:val="Texte de bulles Car"/>
    <w:basedOn w:val="Policepardfaut"/>
    <w:link w:val="Textedebulles"/>
    <w:uiPriority w:val="99"/>
    <w:semiHidden/>
    <w:rsid w:val="00AB0312"/>
    <w:rPr>
      <w:rFonts w:ascii="Segoe UI" w:hAnsi="Segoe UI" w:cs="Segoe UI"/>
      <w:sz w:val="18"/>
      <w:szCs w:val="18"/>
    </w:rPr>
  </w:style>
  <w:style w:type="table" w:styleId="Grilledutableau">
    <w:name w:val="Table Grid"/>
    <w:basedOn w:val="TableauNormal"/>
    <w:uiPriority w:val="39"/>
    <w:rsid w:val="00845A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rsid w:val="00372504"/>
    <w:rPr>
      <w:rFonts w:asciiTheme="majorHAnsi" w:eastAsiaTheme="majorEastAsia" w:hAnsiTheme="majorHAnsi" w:cstheme="majorBidi"/>
      <w:i/>
      <w:iCs/>
      <w:color w:val="275662"/>
      <w:sz w:val="24"/>
    </w:rPr>
  </w:style>
  <w:style w:type="character" w:customStyle="1" w:styleId="Titre5Car">
    <w:name w:val="Titre 5 Car"/>
    <w:basedOn w:val="Policepardfaut"/>
    <w:link w:val="Titre5"/>
    <w:rsid w:val="005108FA"/>
    <w:rPr>
      <w:rFonts w:asciiTheme="majorHAnsi" w:eastAsiaTheme="majorEastAsia" w:hAnsiTheme="majorHAnsi" w:cstheme="majorBidi"/>
      <w:color w:val="2E74B5" w:themeColor="accent1" w:themeShade="BF"/>
      <w:sz w:val="24"/>
    </w:rPr>
  </w:style>
  <w:style w:type="character" w:customStyle="1" w:styleId="Titre6Car">
    <w:name w:val="Titre 6 Car"/>
    <w:basedOn w:val="Policepardfaut"/>
    <w:link w:val="Titre6"/>
    <w:semiHidden/>
    <w:rsid w:val="005108FA"/>
    <w:rPr>
      <w:rFonts w:asciiTheme="majorHAnsi" w:eastAsiaTheme="majorEastAsia" w:hAnsiTheme="majorHAnsi" w:cstheme="majorBidi"/>
      <w:color w:val="1F4D78" w:themeColor="accent1" w:themeShade="7F"/>
      <w:sz w:val="24"/>
    </w:rPr>
  </w:style>
  <w:style w:type="character" w:customStyle="1" w:styleId="Titre7Car">
    <w:name w:val="Titre 7 Car"/>
    <w:basedOn w:val="Policepardfaut"/>
    <w:link w:val="Titre7"/>
    <w:uiPriority w:val="99"/>
    <w:semiHidden/>
    <w:rsid w:val="005108FA"/>
    <w:rPr>
      <w:rFonts w:asciiTheme="majorHAnsi" w:eastAsiaTheme="majorEastAsia" w:hAnsiTheme="majorHAnsi" w:cstheme="majorBidi"/>
      <w:i/>
      <w:iCs/>
      <w:color w:val="1F4D78" w:themeColor="accent1" w:themeShade="7F"/>
      <w:sz w:val="24"/>
    </w:rPr>
  </w:style>
  <w:style w:type="character" w:customStyle="1" w:styleId="Titre8Car">
    <w:name w:val="Titre 8 Car"/>
    <w:basedOn w:val="Policepardfaut"/>
    <w:link w:val="Titre8"/>
    <w:uiPriority w:val="99"/>
    <w:semiHidden/>
    <w:rsid w:val="005108FA"/>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9"/>
    <w:semiHidden/>
    <w:rsid w:val="005108FA"/>
    <w:rPr>
      <w:rFonts w:asciiTheme="majorHAnsi" w:eastAsiaTheme="majorEastAsia" w:hAnsiTheme="majorHAnsi" w:cstheme="majorBidi"/>
      <w:i/>
      <w:iCs/>
      <w:color w:val="272727" w:themeColor="text1" w:themeTint="D8"/>
      <w:sz w:val="21"/>
      <w:szCs w:val="21"/>
    </w:rPr>
  </w:style>
  <w:style w:type="paragraph" w:styleId="TM1">
    <w:name w:val="toc 1"/>
    <w:basedOn w:val="Normal"/>
    <w:next w:val="Normal"/>
    <w:autoRedefine/>
    <w:uiPriority w:val="39"/>
    <w:unhideWhenUsed/>
    <w:rsid w:val="00AF327A"/>
    <w:pPr>
      <w:spacing w:after="100"/>
    </w:pPr>
  </w:style>
  <w:style w:type="paragraph" w:styleId="TM2">
    <w:name w:val="toc 2"/>
    <w:basedOn w:val="Normal"/>
    <w:next w:val="Normal"/>
    <w:autoRedefine/>
    <w:uiPriority w:val="39"/>
    <w:unhideWhenUsed/>
    <w:rsid w:val="00AF327A"/>
    <w:pPr>
      <w:spacing w:after="100"/>
      <w:ind w:left="240"/>
    </w:pPr>
  </w:style>
  <w:style w:type="paragraph" w:styleId="TM3">
    <w:name w:val="toc 3"/>
    <w:basedOn w:val="Normal"/>
    <w:next w:val="Normal"/>
    <w:autoRedefine/>
    <w:uiPriority w:val="39"/>
    <w:unhideWhenUsed/>
    <w:rsid w:val="009C1BF7"/>
    <w:pPr>
      <w:tabs>
        <w:tab w:val="right" w:leader="dot" w:pos="9062"/>
      </w:tabs>
      <w:spacing w:after="100"/>
      <w:ind w:left="708"/>
    </w:pPr>
  </w:style>
  <w:style w:type="character" w:styleId="Lienhypertexte">
    <w:name w:val="Hyperlink"/>
    <w:basedOn w:val="Policepardfaut"/>
    <w:uiPriority w:val="99"/>
    <w:unhideWhenUsed/>
    <w:rsid w:val="00AF327A"/>
    <w:rPr>
      <w:color w:val="0563C1" w:themeColor="hyperlink"/>
      <w:u w:val="single"/>
    </w:rPr>
  </w:style>
  <w:style w:type="paragraph" w:styleId="Listepuces">
    <w:name w:val="List Bullet"/>
    <w:basedOn w:val="Normal"/>
    <w:uiPriority w:val="99"/>
    <w:unhideWhenUsed/>
    <w:rsid w:val="00415360"/>
    <w:pPr>
      <w:numPr>
        <w:numId w:val="2"/>
      </w:numPr>
      <w:contextualSpacing/>
    </w:pPr>
  </w:style>
  <w:style w:type="paragraph" w:customStyle="1" w:styleId="Paragraphe1">
    <w:name w:val="Paragraphe 1"/>
    <w:basedOn w:val="Normal"/>
    <w:link w:val="Paragraphe1Car"/>
    <w:qFormat/>
    <w:rsid w:val="00272F25"/>
    <w:pPr>
      <w:numPr>
        <w:numId w:val="3"/>
      </w:numPr>
      <w:autoSpaceDE w:val="0"/>
      <w:ind w:right="567"/>
    </w:pPr>
    <w:rPr>
      <w:rFonts w:ascii="Arial" w:eastAsia="Times New Roman" w:hAnsi="Arial" w:cs="Times New Roman"/>
      <w:sz w:val="20"/>
      <w:lang w:val="x-none" w:eastAsia="x-none"/>
    </w:rPr>
  </w:style>
  <w:style w:type="character" w:customStyle="1" w:styleId="Paragraphe1Car">
    <w:name w:val="Paragraphe 1 Car"/>
    <w:link w:val="Paragraphe1"/>
    <w:rsid w:val="00272F25"/>
    <w:rPr>
      <w:rFonts w:ascii="Arial" w:eastAsia="Times New Roman" w:hAnsi="Arial" w:cs="Times New Roman"/>
      <w:sz w:val="20"/>
      <w:lang w:val="x-none" w:eastAsia="x-none"/>
    </w:rPr>
  </w:style>
  <w:style w:type="character" w:customStyle="1" w:styleId="ParagraphedelisteCar">
    <w:name w:val="Paragraphe de liste Car"/>
    <w:aliases w:val="Paragraphe 3 Car,lp1 Car"/>
    <w:link w:val="Paragraphedeliste"/>
    <w:uiPriority w:val="34"/>
    <w:locked/>
    <w:rsid w:val="00DE2987"/>
    <w:rPr>
      <w:rFonts w:ascii="AvenirNext LT Pro Cn" w:eastAsia="Times New Roman" w:hAnsi="AvenirNext LT Pro Cn" w:cs="Times New Roman"/>
      <w:sz w:val="24"/>
      <w:szCs w:val="24"/>
      <w:lang w:eastAsia="fr-FR"/>
    </w:rPr>
  </w:style>
  <w:style w:type="paragraph" w:styleId="Rvision">
    <w:name w:val="Revision"/>
    <w:hidden/>
    <w:uiPriority w:val="99"/>
    <w:semiHidden/>
    <w:rsid w:val="00082798"/>
    <w:pPr>
      <w:spacing w:after="0" w:line="240" w:lineRule="auto"/>
    </w:pPr>
    <w:rPr>
      <w:rFonts w:ascii="AvenirNext LT Pro Cn" w:hAnsi="AvenirNext LT Pro Cn"/>
      <w:sz w:val="24"/>
    </w:rPr>
  </w:style>
  <w:style w:type="character" w:styleId="Lienhypertextesuivivisit">
    <w:name w:val="FollowedHyperlink"/>
    <w:basedOn w:val="Policepardfaut"/>
    <w:uiPriority w:val="99"/>
    <w:semiHidden/>
    <w:unhideWhenUsed/>
    <w:rsid w:val="00331E9C"/>
    <w:rPr>
      <w:color w:val="954F72" w:themeColor="followedHyperlink"/>
      <w:u w:val="single"/>
    </w:rPr>
  </w:style>
  <w:style w:type="character" w:styleId="lev">
    <w:name w:val="Strong"/>
    <w:basedOn w:val="Policepardfaut"/>
    <w:uiPriority w:val="22"/>
    <w:qFormat/>
    <w:rsid w:val="00235CFE"/>
    <w:rPr>
      <w:b/>
      <w:bCs/>
    </w:rPr>
  </w:style>
  <w:style w:type="character" w:styleId="Accentuation">
    <w:name w:val="Emphasis"/>
    <w:basedOn w:val="Policepardfaut"/>
    <w:uiPriority w:val="20"/>
    <w:qFormat/>
    <w:rsid w:val="00DC55D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64482">
      <w:bodyDiv w:val="1"/>
      <w:marLeft w:val="0"/>
      <w:marRight w:val="0"/>
      <w:marTop w:val="0"/>
      <w:marBottom w:val="0"/>
      <w:divBdr>
        <w:top w:val="none" w:sz="0" w:space="0" w:color="auto"/>
        <w:left w:val="none" w:sz="0" w:space="0" w:color="auto"/>
        <w:bottom w:val="none" w:sz="0" w:space="0" w:color="auto"/>
        <w:right w:val="none" w:sz="0" w:space="0" w:color="auto"/>
      </w:divBdr>
    </w:div>
    <w:div w:id="18513661">
      <w:bodyDiv w:val="1"/>
      <w:marLeft w:val="0"/>
      <w:marRight w:val="0"/>
      <w:marTop w:val="0"/>
      <w:marBottom w:val="0"/>
      <w:divBdr>
        <w:top w:val="none" w:sz="0" w:space="0" w:color="auto"/>
        <w:left w:val="none" w:sz="0" w:space="0" w:color="auto"/>
        <w:bottom w:val="none" w:sz="0" w:space="0" w:color="auto"/>
        <w:right w:val="none" w:sz="0" w:space="0" w:color="auto"/>
      </w:divBdr>
    </w:div>
    <w:div w:id="43530183">
      <w:bodyDiv w:val="1"/>
      <w:marLeft w:val="0"/>
      <w:marRight w:val="0"/>
      <w:marTop w:val="0"/>
      <w:marBottom w:val="0"/>
      <w:divBdr>
        <w:top w:val="none" w:sz="0" w:space="0" w:color="auto"/>
        <w:left w:val="none" w:sz="0" w:space="0" w:color="auto"/>
        <w:bottom w:val="none" w:sz="0" w:space="0" w:color="auto"/>
        <w:right w:val="none" w:sz="0" w:space="0" w:color="auto"/>
      </w:divBdr>
    </w:div>
    <w:div w:id="53042213">
      <w:bodyDiv w:val="1"/>
      <w:marLeft w:val="0"/>
      <w:marRight w:val="0"/>
      <w:marTop w:val="0"/>
      <w:marBottom w:val="0"/>
      <w:divBdr>
        <w:top w:val="none" w:sz="0" w:space="0" w:color="auto"/>
        <w:left w:val="none" w:sz="0" w:space="0" w:color="auto"/>
        <w:bottom w:val="none" w:sz="0" w:space="0" w:color="auto"/>
        <w:right w:val="none" w:sz="0" w:space="0" w:color="auto"/>
      </w:divBdr>
    </w:div>
    <w:div w:id="55588503">
      <w:bodyDiv w:val="1"/>
      <w:marLeft w:val="0"/>
      <w:marRight w:val="0"/>
      <w:marTop w:val="0"/>
      <w:marBottom w:val="0"/>
      <w:divBdr>
        <w:top w:val="none" w:sz="0" w:space="0" w:color="auto"/>
        <w:left w:val="none" w:sz="0" w:space="0" w:color="auto"/>
        <w:bottom w:val="none" w:sz="0" w:space="0" w:color="auto"/>
        <w:right w:val="none" w:sz="0" w:space="0" w:color="auto"/>
      </w:divBdr>
    </w:div>
    <w:div w:id="61955552">
      <w:bodyDiv w:val="1"/>
      <w:marLeft w:val="0"/>
      <w:marRight w:val="0"/>
      <w:marTop w:val="0"/>
      <w:marBottom w:val="0"/>
      <w:divBdr>
        <w:top w:val="none" w:sz="0" w:space="0" w:color="auto"/>
        <w:left w:val="none" w:sz="0" w:space="0" w:color="auto"/>
        <w:bottom w:val="none" w:sz="0" w:space="0" w:color="auto"/>
        <w:right w:val="none" w:sz="0" w:space="0" w:color="auto"/>
      </w:divBdr>
    </w:div>
    <w:div w:id="68112388">
      <w:bodyDiv w:val="1"/>
      <w:marLeft w:val="0"/>
      <w:marRight w:val="0"/>
      <w:marTop w:val="0"/>
      <w:marBottom w:val="0"/>
      <w:divBdr>
        <w:top w:val="none" w:sz="0" w:space="0" w:color="auto"/>
        <w:left w:val="none" w:sz="0" w:space="0" w:color="auto"/>
        <w:bottom w:val="none" w:sz="0" w:space="0" w:color="auto"/>
        <w:right w:val="none" w:sz="0" w:space="0" w:color="auto"/>
      </w:divBdr>
    </w:div>
    <w:div w:id="119305523">
      <w:bodyDiv w:val="1"/>
      <w:marLeft w:val="0"/>
      <w:marRight w:val="0"/>
      <w:marTop w:val="0"/>
      <w:marBottom w:val="0"/>
      <w:divBdr>
        <w:top w:val="none" w:sz="0" w:space="0" w:color="auto"/>
        <w:left w:val="none" w:sz="0" w:space="0" w:color="auto"/>
        <w:bottom w:val="none" w:sz="0" w:space="0" w:color="auto"/>
        <w:right w:val="none" w:sz="0" w:space="0" w:color="auto"/>
      </w:divBdr>
    </w:div>
    <w:div w:id="153959945">
      <w:bodyDiv w:val="1"/>
      <w:marLeft w:val="0"/>
      <w:marRight w:val="0"/>
      <w:marTop w:val="0"/>
      <w:marBottom w:val="0"/>
      <w:divBdr>
        <w:top w:val="none" w:sz="0" w:space="0" w:color="auto"/>
        <w:left w:val="none" w:sz="0" w:space="0" w:color="auto"/>
        <w:bottom w:val="none" w:sz="0" w:space="0" w:color="auto"/>
        <w:right w:val="none" w:sz="0" w:space="0" w:color="auto"/>
      </w:divBdr>
    </w:div>
    <w:div w:id="155149779">
      <w:bodyDiv w:val="1"/>
      <w:marLeft w:val="0"/>
      <w:marRight w:val="0"/>
      <w:marTop w:val="0"/>
      <w:marBottom w:val="0"/>
      <w:divBdr>
        <w:top w:val="none" w:sz="0" w:space="0" w:color="auto"/>
        <w:left w:val="none" w:sz="0" w:space="0" w:color="auto"/>
        <w:bottom w:val="none" w:sz="0" w:space="0" w:color="auto"/>
        <w:right w:val="none" w:sz="0" w:space="0" w:color="auto"/>
      </w:divBdr>
    </w:div>
    <w:div w:id="158346535">
      <w:bodyDiv w:val="1"/>
      <w:marLeft w:val="0"/>
      <w:marRight w:val="0"/>
      <w:marTop w:val="0"/>
      <w:marBottom w:val="0"/>
      <w:divBdr>
        <w:top w:val="none" w:sz="0" w:space="0" w:color="auto"/>
        <w:left w:val="none" w:sz="0" w:space="0" w:color="auto"/>
        <w:bottom w:val="none" w:sz="0" w:space="0" w:color="auto"/>
        <w:right w:val="none" w:sz="0" w:space="0" w:color="auto"/>
      </w:divBdr>
    </w:div>
    <w:div w:id="173571693">
      <w:bodyDiv w:val="1"/>
      <w:marLeft w:val="0"/>
      <w:marRight w:val="0"/>
      <w:marTop w:val="0"/>
      <w:marBottom w:val="0"/>
      <w:divBdr>
        <w:top w:val="none" w:sz="0" w:space="0" w:color="auto"/>
        <w:left w:val="none" w:sz="0" w:space="0" w:color="auto"/>
        <w:bottom w:val="none" w:sz="0" w:space="0" w:color="auto"/>
        <w:right w:val="none" w:sz="0" w:space="0" w:color="auto"/>
      </w:divBdr>
    </w:div>
    <w:div w:id="206335702">
      <w:bodyDiv w:val="1"/>
      <w:marLeft w:val="0"/>
      <w:marRight w:val="0"/>
      <w:marTop w:val="0"/>
      <w:marBottom w:val="0"/>
      <w:divBdr>
        <w:top w:val="none" w:sz="0" w:space="0" w:color="auto"/>
        <w:left w:val="none" w:sz="0" w:space="0" w:color="auto"/>
        <w:bottom w:val="none" w:sz="0" w:space="0" w:color="auto"/>
        <w:right w:val="none" w:sz="0" w:space="0" w:color="auto"/>
      </w:divBdr>
    </w:div>
    <w:div w:id="210192989">
      <w:bodyDiv w:val="1"/>
      <w:marLeft w:val="0"/>
      <w:marRight w:val="0"/>
      <w:marTop w:val="0"/>
      <w:marBottom w:val="0"/>
      <w:divBdr>
        <w:top w:val="none" w:sz="0" w:space="0" w:color="auto"/>
        <w:left w:val="none" w:sz="0" w:space="0" w:color="auto"/>
        <w:bottom w:val="none" w:sz="0" w:space="0" w:color="auto"/>
        <w:right w:val="none" w:sz="0" w:space="0" w:color="auto"/>
      </w:divBdr>
    </w:div>
    <w:div w:id="214507114">
      <w:bodyDiv w:val="1"/>
      <w:marLeft w:val="0"/>
      <w:marRight w:val="0"/>
      <w:marTop w:val="0"/>
      <w:marBottom w:val="0"/>
      <w:divBdr>
        <w:top w:val="none" w:sz="0" w:space="0" w:color="auto"/>
        <w:left w:val="none" w:sz="0" w:space="0" w:color="auto"/>
        <w:bottom w:val="none" w:sz="0" w:space="0" w:color="auto"/>
        <w:right w:val="none" w:sz="0" w:space="0" w:color="auto"/>
      </w:divBdr>
    </w:div>
    <w:div w:id="216286438">
      <w:bodyDiv w:val="1"/>
      <w:marLeft w:val="0"/>
      <w:marRight w:val="0"/>
      <w:marTop w:val="0"/>
      <w:marBottom w:val="0"/>
      <w:divBdr>
        <w:top w:val="none" w:sz="0" w:space="0" w:color="auto"/>
        <w:left w:val="none" w:sz="0" w:space="0" w:color="auto"/>
        <w:bottom w:val="none" w:sz="0" w:space="0" w:color="auto"/>
        <w:right w:val="none" w:sz="0" w:space="0" w:color="auto"/>
      </w:divBdr>
    </w:div>
    <w:div w:id="237444690">
      <w:bodyDiv w:val="1"/>
      <w:marLeft w:val="0"/>
      <w:marRight w:val="0"/>
      <w:marTop w:val="0"/>
      <w:marBottom w:val="0"/>
      <w:divBdr>
        <w:top w:val="none" w:sz="0" w:space="0" w:color="auto"/>
        <w:left w:val="none" w:sz="0" w:space="0" w:color="auto"/>
        <w:bottom w:val="none" w:sz="0" w:space="0" w:color="auto"/>
        <w:right w:val="none" w:sz="0" w:space="0" w:color="auto"/>
      </w:divBdr>
    </w:div>
    <w:div w:id="243686980">
      <w:bodyDiv w:val="1"/>
      <w:marLeft w:val="0"/>
      <w:marRight w:val="0"/>
      <w:marTop w:val="0"/>
      <w:marBottom w:val="0"/>
      <w:divBdr>
        <w:top w:val="none" w:sz="0" w:space="0" w:color="auto"/>
        <w:left w:val="none" w:sz="0" w:space="0" w:color="auto"/>
        <w:bottom w:val="none" w:sz="0" w:space="0" w:color="auto"/>
        <w:right w:val="none" w:sz="0" w:space="0" w:color="auto"/>
      </w:divBdr>
    </w:div>
    <w:div w:id="265357432">
      <w:bodyDiv w:val="1"/>
      <w:marLeft w:val="0"/>
      <w:marRight w:val="0"/>
      <w:marTop w:val="0"/>
      <w:marBottom w:val="0"/>
      <w:divBdr>
        <w:top w:val="none" w:sz="0" w:space="0" w:color="auto"/>
        <w:left w:val="none" w:sz="0" w:space="0" w:color="auto"/>
        <w:bottom w:val="none" w:sz="0" w:space="0" w:color="auto"/>
        <w:right w:val="none" w:sz="0" w:space="0" w:color="auto"/>
      </w:divBdr>
    </w:div>
    <w:div w:id="270019795">
      <w:bodyDiv w:val="1"/>
      <w:marLeft w:val="0"/>
      <w:marRight w:val="0"/>
      <w:marTop w:val="0"/>
      <w:marBottom w:val="0"/>
      <w:divBdr>
        <w:top w:val="none" w:sz="0" w:space="0" w:color="auto"/>
        <w:left w:val="none" w:sz="0" w:space="0" w:color="auto"/>
        <w:bottom w:val="none" w:sz="0" w:space="0" w:color="auto"/>
        <w:right w:val="none" w:sz="0" w:space="0" w:color="auto"/>
      </w:divBdr>
    </w:div>
    <w:div w:id="276956399">
      <w:bodyDiv w:val="1"/>
      <w:marLeft w:val="0"/>
      <w:marRight w:val="0"/>
      <w:marTop w:val="0"/>
      <w:marBottom w:val="0"/>
      <w:divBdr>
        <w:top w:val="none" w:sz="0" w:space="0" w:color="auto"/>
        <w:left w:val="none" w:sz="0" w:space="0" w:color="auto"/>
        <w:bottom w:val="none" w:sz="0" w:space="0" w:color="auto"/>
        <w:right w:val="none" w:sz="0" w:space="0" w:color="auto"/>
      </w:divBdr>
    </w:div>
    <w:div w:id="281571122">
      <w:bodyDiv w:val="1"/>
      <w:marLeft w:val="0"/>
      <w:marRight w:val="0"/>
      <w:marTop w:val="0"/>
      <w:marBottom w:val="0"/>
      <w:divBdr>
        <w:top w:val="none" w:sz="0" w:space="0" w:color="auto"/>
        <w:left w:val="none" w:sz="0" w:space="0" w:color="auto"/>
        <w:bottom w:val="none" w:sz="0" w:space="0" w:color="auto"/>
        <w:right w:val="none" w:sz="0" w:space="0" w:color="auto"/>
      </w:divBdr>
    </w:div>
    <w:div w:id="302397007">
      <w:bodyDiv w:val="1"/>
      <w:marLeft w:val="0"/>
      <w:marRight w:val="0"/>
      <w:marTop w:val="0"/>
      <w:marBottom w:val="0"/>
      <w:divBdr>
        <w:top w:val="none" w:sz="0" w:space="0" w:color="auto"/>
        <w:left w:val="none" w:sz="0" w:space="0" w:color="auto"/>
        <w:bottom w:val="none" w:sz="0" w:space="0" w:color="auto"/>
        <w:right w:val="none" w:sz="0" w:space="0" w:color="auto"/>
      </w:divBdr>
    </w:div>
    <w:div w:id="310595040">
      <w:bodyDiv w:val="1"/>
      <w:marLeft w:val="0"/>
      <w:marRight w:val="0"/>
      <w:marTop w:val="0"/>
      <w:marBottom w:val="0"/>
      <w:divBdr>
        <w:top w:val="none" w:sz="0" w:space="0" w:color="auto"/>
        <w:left w:val="none" w:sz="0" w:space="0" w:color="auto"/>
        <w:bottom w:val="none" w:sz="0" w:space="0" w:color="auto"/>
        <w:right w:val="none" w:sz="0" w:space="0" w:color="auto"/>
      </w:divBdr>
    </w:div>
    <w:div w:id="310910964">
      <w:bodyDiv w:val="1"/>
      <w:marLeft w:val="0"/>
      <w:marRight w:val="0"/>
      <w:marTop w:val="0"/>
      <w:marBottom w:val="0"/>
      <w:divBdr>
        <w:top w:val="none" w:sz="0" w:space="0" w:color="auto"/>
        <w:left w:val="none" w:sz="0" w:space="0" w:color="auto"/>
        <w:bottom w:val="none" w:sz="0" w:space="0" w:color="auto"/>
        <w:right w:val="none" w:sz="0" w:space="0" w:color="auto"/>
      </w:divBdr>
    </w:div>
    <w:div w:id="341709326">
      <w:bodyDiv w:val="1"/>
      <w:marLeft w:val="0"/>
      <w:marRight w:val="0"/>
      <w:marTop w:val="0"/>
      <w:marBottom w:val="0"/>
      <w:divBdr>
        <w:top w:val="none" w:sz="0" w:space="0" w:color="auto"/>
        <w:left w:val="none" w:sz="0" w:space="0" w:color="auto"/>
        <w:bottom w:val="none" w:sz="0" w:space="0" w:color="auto"/>
        <w:right w:val="none" w:sz="0" w:space="0" w:color="auto"/>
      </w:divBdr>
    </w:div>
    <w:div w:id="343868893">
      <w:bodyDiv w:val="1"/>
      <w:marLeft w:val="0"/>
      <w:marRight w:val="0"/>
      <w:marTop w:val="0"/>
      <w:marBottom w:val="0"/>
      <w:divBdr>
        <w:top w:val="none" w:sz="0" w:space="0" w:color="auto"/>
        <w:left w:val="none" w:sz="0" w:space="0" w:color="auto"/>
        <w:bottom w:val="none" w:sz="0" w:space="0" w:color="auto"/>
        <w:right w:val="none" w:sz="0" w:space="0" w:color="auto"/>
      </w:divBdr>
    </w:div>
    <w:div w:id="351416305">
      <w:bodyDiv w:val="1"/>
      <w:marLeft w:val="0"/>
      <w:marRight w:val="0"/>
      <w:marTop w:val="0"/>
      <w:marBottom w:val="0"/>
      <w:divBdr>
        <w:top w:val="none" w:sz="0" w:space="0" w:color="auto"/>
        <w:left w:val="none" w:sz="0" w:space="0" w:color="auto"/>
        <w:bottom w:val="none" w:sz="0" w:space="0" w:color="auto"/>
        <w:right w:val="none" w:sz="0" w:space="0" w:color="auto"/>
      </w:divBdr>
    </w:div>
    <w:div w:id="359088808">
      <w:bodyDiv w:val="1"/>
      <w:marLeft w:val="0"/>
      <w:marRight w:val="0"/>
      <w:marTop w:val="0"/>
      <w:marBottom w:val="0"/>
      <w:divBdr>
        <w:top w:val="none" w:sz="0" w:space="0" w:color="auto"/>
        <w:left w:val="none" w:sz="0" w:space="0" w:color="auto"/>
        <w:bottom w:val="none" w:sz="0" w:space="0" w:color="auto"/>
        <w:right w:val="none" w:sz="0" w:space="0" w:color="auto"/>
      </w:divBdr>
    </w:div>
    <w:div w:id="359165322">
      <w:bodyDiv w:val="1"/>
      <w:marLeft w:val="0"/>
      <w:marRight w:val="0"/>
      <w:marTop w:val="0"/>
      <w:marBottom w:val="0"/>
      <w:divBdr>
        <w:top w:val="none" w:sz="0" w:space="0" w:color="auto"/>
        <w:left w:val="none" w:sz="0" w:space="0" w:color="auto"/>
        <w:bottom w:val="none" w:sz="0" w:space="0" w:color="auto"/>
        <w:right w:val="none" w:sz="0" w:space="0" w:color="auto"/>
      </w:divBdr>
    </w:div>
    <w:div w:id="370881875">
      <w:bodyDiv w:val="1"/>
      <w:marLeft w:val="0"/>
      <w:marRight w:val="0"/>
      <w:marTop w:val="0"/>
      <w:marBottom w:val="0"/>
      <w:divBdr>
        <w:top w:val="none" w:sz="0" w:space="0" w:color="auto"/>
        <w:left w:val="none" w:sz="0" w:space="0" w:color="auto"/>
        <w:bottom w:val="none" w:sz="0" w:space="0" w:color="auto"/>
        <w:right w:val="none" w:sz="0" w:space="0" w:color="auto"/>
      </w:divBdr>
    </w:div>
    <w:div w:id="394088334">
      <w:bodyDiv w:val="1"/>
      <w:marLeft w:val="0"/>
      <w:marRight w:val="0"/>
      <w:marTop w:val="0"/>
      <w:marBottom w:val="0"/>
      <w:divBdr>
        <w:top w:val="none" w:sz="0" w:space="0" w:color="auto"/>
        <w:left w:val="none" w:sz="0" w:space="0" w:color="auto"/>
        <w:bottom w:val="none" w:sz="0" w:space="0" w:color="auto"/>
        <w:right w:val="none" w:sz="0" w:space="0" w:color="auto"/>
      </w:divBdr>
    </w:div>
    <w:div w:id="398403277">
      <w:bodyDiv w:val="1"/>
      <w:marLeft w:val="0"/>
      <w:marRight w:val="0"/>
      <w:marTop w:val="0"/>
      <w:marBottom w:val="0"/>
      <w:divBdr>
        <w:top w:val="none" w:sz="0" w:space="0" w:color="auto"/>
        <w:left w:val="none" w:sz="0" w:space="0" w:color="auto"/>
        <w:bottom w:val="none" w:sz="0" w:space="0" w:color="auto"/>
        <w:right w:val="none" w:sz="0" w:space="0" w:color="auto"/>
      </w:divBdr>
    </w:div>
    <w:div w:id="428164352">
      <w:bodyDiv w:val="1"/>
      <w:marLeft w:val="0"/>
      <w:marRight w:val="0"/>
      <w:marTop w:val="0"/>
      <w:marBottom w:val="0"/>
      <w:divBdr>
        <w:top w:val="none" w:sz="0" w:space="0" w:color="auto"/>
        <w:left w:val="none" w:sz="0" w:space="0" w:color="auto"/>
        <w:bottom w:val="none" w:sz="0" w:space="0" w:color="auto"/>
        <w:right w:val="none" w:sz="0" w:space="0" w:color="auto"/>
      </w:divBdr>
    </w:div>
    <w:div w:id="453403381">
      <w:bodyDiv w:val="1"/>
      <w:marLeft w:val="0"/>
      <w:marRight w:val="0"/>
      <w:marTop w:val="0"/>
      <w:marBottom w:val="0"/>
      <w:divBdr>
        <w:top w:val="none" w:sz="0" w:space="0" w:color="auto"/>
        <w:left w:val="none" w:sz="0" w:space="0" w:color="auto"/>
        <w:bottom w:val="none" w:sz="0" w:space="0" w:color="auto"/>
        <w:right w:val="none" w:sz="0" w:space="0" w:color="auto"/>
      </w:divBdr>
    </w:div>
    <w:div w:id="459155997">
      <w:bodyDiv w:val="1"/>
      <w:marLeft w:val="0"/>
      <w:marRight w:val="0"/>
      <w:marTop w:val="0"/>
      <w:marBottom w:val="0"/>
      <w:divBdr>
        <w:top w:val="none" w:sz="0" w:space="0" w:color="auto"/>
        <w:left w:val="none" w:sz="0" w:space="0" w:color="auto"/>
        <w:bottom w:val="none" w:sz="0" w:space="0" w:color="auto"/>
        <w:right w:val="none" w:sz="0" w:space="0" w:color="auto"/>
      </w:divBdr>
    </w:div>
    <w:div w:id="484055086">
      <w:bodyDiv w:val="1"/>
      <w:marLeft w:val="0"/>
      <w:marRight w:val="0"/>
      <w:marTop w:val="0"/>
      <w:marBottom w:val="0"/>
      <w:divBdr>
        <w:top w:val="none" w:sz="0" w:space="0" w:color="auto"/>
        <w:left w:val="none" w:sz="0" w:space="0" w:color="auto"/>
        <w:bottom w:val="none" w:sz="0" w:space="0" w:color="auto"/>
        <w:right w:val="none" w:sz="0" w:space="0" w:color="auto"/>
      </w:divBdr>
    </w:div>
    <w:div w:id="490685034">
      <w:bodyDiv w:val="1"/>
      <w:marLeft w:val="0"/>
      <w:marRight w:val="0"/>
      <w:marTop w:val="0"/>
      <w:marBottom w:val="0"/>
      <w:divBdr>
        <w:top w:val="none" w:sz="0" w:space="0" w:color="auto"/>
        <w:left w:val="none" w:sz="0" w:space="0" w:color="auto"/>
        <w:bottom w:val="none" w:sz="0" w:space="0" w:color="auto"/>
        <w:right w:val="none" w:sz="0" w:space="0" w:color="auto"/>
      </w:divBdr>
    </w:div>
    <w:div w:id="493104490">
      <w:bodyDiv w:val="1"/>
      <w:marLeft w:val="0"/>
      <w:marRight w:val="0"/>
      <w:marTop w:val="0"/>
      <w:marBottom w:val="0"/>
      <w:divBdr>
        <w:top w:val="none" w:sz="0" w:space="0" w:color="auto"/>
        <w:left w:val="none" w:sz="0" w:space="0" w:color="auto"/>
        <w:bottom w:val="none" w:sz="0" w:space="0" w:color="auto"/>
        <w:right w:val="none" w:sz="0" w:space="0" w:color="auto"/>
      </w:divBdr>
    </w:div>
    <w:div w:id="493494572">
      <w:bodyDiv w:val="1"/>
      <w:marLeft w:val="0"/>
      <w:marRight w:val="0"/>
      <w:marTop w:val="0"/>
      <w:marBottom w:val="0"/>
      <w:divBdr>
        <w:top w:val="none" w:sz="0" w:space="0" w:color="auto"/>
        <w:left w:val="none" w:sz="0" w:space="0" w:color="auto"/>
        <w:bottom w:val="none" w:sz="0" w:space="0" w:color="auto"/>
        <w:right w:val="none" w:sz="0" w:space="0" w:color="auto"/>
      </w:divBdr>
    </w:div>
    <w:div w:id="503398976">
      <w:bodyDiv w:val="1"/>
      <w:marLeft w:val="0"/>
      <w:marRight w:val="0"/>
      <w:marTop w:val="0"/>
      <w:marBottom w:val="0"/>
      <w:divBdr>
        <w:top w:val="none" w:sz="0" w:space="0" w:color="auto"/>
        <w:left w:val="none" w:sz="0" w:space="0" w:color="auto"/>
        <w:bottom w:val="none" w:sz="0" w:space="0" w:color="auto"/>
        <w:right w:val="none" w:sz="0" w:space="0" w:color="auto"/>
      </w:divBdr>
    </w:div>
    <w:div w:id="531840018">
      <w:bodyDiv w:val="1"/>
      <w:marLeft w:val="0"/>
      <w:marRight w:val="0"/>
      <w:marTop w:val="0"/>
      <w:marBottom w:val="0"/>
      <w:divBdr>
        <w:top w:val="none" w:sz="0" w:space="0" w:color="auto"/>
        <w:left w:val="none" w:sz="0" w:space="0" w:color="auto"/>
        <w:bottom w:val="none" w:sz="0" w:space="0" w:color="auto"/>
        <w:right w:val="none" w:sz="0" w:space="0" w:color="auto"/>
      </w:divBdr>
    </w:div>
    <w:div w:id="535772557">
      <w:bodyDiv w:val="1"/>
      <w:marLeft w:val="0"/>
      <w:marRight w:val="0"/>
      <w:marTop w:val="0"/>
      <w:marBottom w:val="0"/>
      <w:divBdr>
        <w:top w:val="none" w:sz="0" w:space="0" w:color="auto"/>
        <w:left w:val="none" w:sz="0" w:space="0" w:color="auto"/>
        <w:bottom w:val="none" w:sz="0" w:space="0" w:color="auto"/>
        <w:right w:val="none" w:sz="0" w:space="0" w:color="auto"/>
      </w:divBdr>
    </w:div>
    <w:div w:id="544953336">
      <w:bodyDiv w:val="1"/>
      <w:marLeft w:val="0"/>
      <w:marRight w:val="0"/>
      <w:marTop w:val="0"/>
      <w:marBottom w:val="0"/>
      <w:divBdr>
        <w:top w:val="none" w:sz="0" w:space="0" w:color="auto"/>
        <w:left w:val="none" w:sz="0" w:space="0" w:color="auto"/>
        <w:bottom w:val="none" w:sz="0" w:space="0" w:color="auto"/>
        <w:right w:val="none" w:sz="0" w:space="0" w:color="auto"/>
      </w:divBdr>
    </w:div>
    <w:div w:id="570698994">
      <w:bodyDiv w:val="1"/>
      <w:marLeft w:val="0"/>
      <w:marRight w:val="0"/>
      <w:marTop w:val="0"/>
      <w:marBottom w:val="0"/>
      <w:divBdr>
        <w:top w:val="none" w:sz="0" w:space="0" w:color="auto"/>
        <w:left w:val="none" w:sz="0" w:space="0" w:color="auto"/>
        <w:bottom w:val="none" w:sz="0" w:space="0" w:color="auto"/>
        <w:right w:val="none" w:sz="0" w:space="0" w:color="auto"/>
      </w:divBdr>
    </w:div>
    <w:div w:id="583339218">
      <w:bodyDiv w:val="1"/>
      <w:marLeft w:val="0"/>
      <w:marRight w:val="0"/>
      <w:marTop w:val="0"/>
      <w:marBottom w:val="0"/>
      <w:divBdr>
        <w:top w:val="none" w:sz="0" w:space="0" w:color="auto"/>
        <w:left w:val="none" w:sz="0" w:space="0" w:color="auto"/>
        <w:bottom w:val="none" w:sz="0" w:space="0" w:color="auto"/>
        <w:right w:val="none" w:sz="0" w:space="0" w:color="auto"/>
      </w:divBdr>
    </w:div>
    <w:div w:id="594286506">
      <w:bodyDiv w:val="1"/>
      <w:marLeft w:val="0"/>
      <w:marRight w:val="0"/>
      <w:marTop w:val="0"/>
      <w:marBottom w:val="0"/>
      <w:divBdr>
        <w:top w:val="none" w:sz="0" w:space="0" w:color="auto"/>
        <w:left w:val="none" w:sz="0" w:space="0" w:color="auto"/>
        <w:bottom w:val="none" w:sz="0" w:space="0" w:color="auto"/>
        <w:right w:val="none" w:sz="0" w:space="0" w:color="auto"/>
      </w:divBdr>
    </w:div>
    <w:div w:id="597760333">
      <w:bodyDiv w:val="1"/>
      <w:marLeft w:val="0"/>
      <w:marRight w:val="0"/>
      <w:marTop w:val="0"/>
      <w:marBottom w:val="0"/>
      <w:divBdr>
        <w:top w:val="none" w:sz="0" w:space="0" w:color="auto"/>
        <w:left w:val="none" w:sz="0" w:space="0" w:color="auto"/>
        <w:bottom w:val="none" w:sz="0" w:space="0" w:color="auto"/>
        <w:right w:val="none" w:sz="0" w:space="0" w:color="auto"/>
      </w:divBdr>
    </w:div>
    <w:div w:id="617221940">
      <w:bodyDiv w:val="1"/>
      <w:marLeft w:val="0"/>
      <w:marRight w:val="0"/>
      <w:marTop w:val="0"/>
      <w:marBottom w:val="0"/>
      <w:divBdr>
        <w:top w:val="none" w:sz="0" w:space="0" w:color="auto"/>
        <w:left w:val="none" w:sz="0" w:space="0" w:color="auto"/>
        <w:bottom w:val="none" w:sz="0" w:space="0" w:color="auto"/>
        <w:right w:val="none" w:sz="0" w:space="0" w:color="auto"/>
      </w:divBdr>
    </w:div>
    <w:div w:id="649290642">
      <w:bodyDiv w:val="1"/>
      <w:marLeft w:val="0"/>
      <w:marRight w:val="0"/>
      <w:marTop w:val="0"/>
      <w:marBottom w:val="0"/>
      <w:divBdr>
        <w:top w:val="none" w:sz="0" w:space="0" w:color="auto"/>
        <w:left w:val="none" w:sz="0" w:space="0" w:color="auto"/>
        <w:bottom w:val="none" w:sz="0" w:space="0" w:color="auto"/>
        <w:right w:val="none" w:sz="0" w:space="0" w:color="auto"/>
      </w:divBdr>
    </w:div>
    <w:div w:id="652292585">
      <w:bodyDiv w:val="1"/>
      <w:marLeft w:val="0"/>
      <w:marRight w:val="0"/>
      <w:marTop w:val="0"/>
      <w:marBottom w:val="0"/>
      <w:divBdr>
        <w:top w:val="none" w:sz="0" w:space="0" w:color="auto"/>
        <w:left w:val="none" w:sz="0" w:space="0" w:color="auto"/>
        <w:bottom w:val="none" w:sz="0" w:space="0" w:color="auto"/>
        <w:right w:val="none" w:sz="0" w:space="0" w:color="auto"/>
      </w:divBdr>
    </w:div>
    <w:div w:id="652416821">
      <w:bodyDiv w:val="1"/>
      <w:marLeft w:val="0"/>
      <w:marRight w:val="0"/>
      <w:marTop w:val="0"/>
      <w:marBottom w:val="0"/>
      <w:divBdr>
        <w:top w:val="none" w:sz="0" w:space="0" w:color="auto"/>
        <w:left w:val="none" w:sz="0" w:space="0" w:color="auto"/>
        <w:bottom w:val="none" w:sz="0" w:space="0" w:color="auto"/>
        <w:right w:val="none" w:sz="0" w:space="0" w:color="auto"/>
      </w:divBdr>
    </w:div>
    <w:div w:id="656954569">
      <w:bodyDiv w:val="1"/>
      <w:marLeft w:val="0"/>
      <w:marRight w:val="0"/>
      <w:marTop w:val="0"/>
      <w:marBottom w:val="0"/>
      <w:divBdr>
        <w:top w:val="none" w:sz="0" w:space="0" w:color="auto"/>
        <w:left w:val="none" w:sz="0" w:space="0" w:color="auto"/>
        <w:bottom w:val="none" w:sz="0" w:space="0" w:color="auto"/>
        <w:right w:val="none" w:sz="0" w:space="0" w:color="auto"/>
      </w:divBdr>
    </w:div>
    <w:div w:id="696657442">
      <w:bodyDiv w:val="1"/>
      <w:marLeft w:val="0"/>
      <w:marRight w:val="0"/>
      <w:marTop w:val="0"/>
      <w:marBottom w:val="0"/>
      <w:divBdr>
        <w:top w:val="none" w:sz="0" w:space="0" w:color="auto"/>
        <w:left w:val="none" w:sz="0" w:space="0" w:color="auto"/>
        <w:bottom w:val="none" w:sz="0" w:space="0" w:color="auto"/>
        <w:right w:val="none" w:sz="0" w:space="0" w:color="auto"/>
      </w:divBdr>
    </w:div>
    <w:div w:id="697967132">
      <w:bodyDiv w:val="1"/>
      <w:marLeft w:val="0"/>
      <w:marRight w:val="0"/>
      <w:marTop w:val="0"/>
      <w:marBottom w:val="0"/>
      <w:divBdr>
        <w:top w:val="none" w:sz="0" w:space="0" w:color="auto"/>
        <w:left w:val="none" w:sz="0" w:space="0" w:color="auto"/>
        <w:bottom w:val="none" w:sz="0" w:space="0" w:color="auto"/>
        <w:right w:val="none" w:sz="0" w:space="0" w:color="auto"/>
      </w:divBdr>
    </w:div>
    <w:div w:id="702093217">
      <w:bodyDiv w:val="1"/>
      <w:marLeft w:val="0"/>
      <w:marRight w:val="0"/>
      <w:marTop w:val="0"/>
      <w:marBottom w:val="0"/>
      <w:divBdr>
        <w:top w:val="none" w:sz="0" w:space="0" w:color="auto"/>
        <w:left w:val="none" w:sz="0" w:space="0" w:color="auto"/>
        <w:bottom w:val="none" w:sz="0" w:space="0" w:color="auto"/>
        <w:right w:val="none" w:sz="0" w:space="0" w:color="auto"/>
      </w:divBdr>
    </w:div>
    <w:div w:id="707141726">
      <w:bodyDiv w:val="1"/>
      <w:marLeft w:val="0"/>
      <w:marRight w:val="0"/>
      <w:marTop w:val="0"/>
      <w:marBottom w:val="0"/>
      <w:divBdr>
        <w:top w:val="none" w:sz="0" w:space="0" w:color="auto"/>
        <w:left w:val="none" w:sz="0" w:space="0" w:color="auto"/>
        <w:bottom w:val="none" w:sz="0" w:space="0" w:color="auto"/>
        <w:right w:val="none" w:sz="0" w:space="0" w:color="auto"/>
      </w:divBdr>
    </w:div>
    <w:div w:id="721252632">
      <w:bodyDiv w:val="1"/>
      <w:marLeft w:val="0"/>
      <w:marRight w:val="0"/>
      <w:marTop w:val="0"/>
      <w:marBottom w:val="0"/>
      <w:divBdr>
        <w:top w:val="none" w:sz="0" w:space="0" w:color="auto"/>
        <w:left w:val="none" w:sz="0" w:space="0" w:color="auto"/>
        <w:bottom w:val="none" w:sz="0" w:space="0" w:color="auto"/>
        <w:right w:val="none" w:sz="0" w:space="0" w:color="auto"/>
      </w:divBdr>
    </w:div>
    <w:div w:id="726143549">
      <w:bodyDiv w:val="1"/>
      <w:marLeft w:val="0"/>
      <w:marRight w:val="0"/>
      <w:marTop w:val="0"/>
      <w:marBottom w:val="0"/>
      <w:divBdr>
        <w:top w:val="none" w:sz="0" w:space="0" w:color="auto"/>
        <w:left w:val="none" w:sz="0" w:space="0" w:color="auto"/>
        <w:bottom w:val="none" w:sz="0" w:space="0" w:color="auto"/>
        <w:right w:val="none" w:sz="0" w:space="0" w:color="auto"/>
      </w:divBdr>
    </w:div>
    <w:div w:id="742803030">
      <w:bodyDiv w:val="1"/>
      <w:marLeft w:val="0"/>
      <w:marRight w:val="0"/>
      <w:marTop w:val="0"/>
      <w:marBottom w:val="0"/>
      <w:divBdr>
        <w:top w:val="none" w:sz="0" w:space="0" w:color="auto"/>
        <w:left w:val="none" w:sz="0" w:space="0" w:color="auto"/>
        <w:bottom w:val="none" w:sz="0" w:space="0" w:color="auto"/>
        <w:right w:val="none" w:sz="0" w:space="0" w:color="auto"/>
      </w:divBdr>
    </w:div>
    <w:div w:id="750658398">
      <w:bodyDiv w:val="1"/>
      <w:marLeft w:val="0"/>
      <w:marRight w:val="0"/>
      <w:marTop w:val="0"/>
      <w:marBottom w:val="0"/>
      <w:divBdr>
        <w:top w:val="none" w:sz="0" w:space="0" w:color="auto"/>
        <w:left w:val="none" w:sz="0" w:space="0" w:color="auto"/>
        <w:bottom w:val="none" w:sz="0" w:space="0" w:color="auto"/>
        <w:right w:val="none" w:sz="0" w:space="0" w:color="auto"/>
      </w:divBdr>
    </w:div>
    <w:div w:id="757403141">
      <w:bodyDiv w:val="1"/>
      <w:marLeft w:val="0"/>
      <w:marRight w:val="0"/>
      <w:marTop w:val="0"/>
      <w:marBottom w:val="0"/>
      <w:divBdr>
        <w:top w:val="none" w:sz="0" w:space="0" w:color="auto"/>
        <w:left w:val="none" w:sz="0" w:space="0" w:color="auto"/>
        <w:bottom w:val="none" w:sz="0" w:space="0" w:color="auto"/>
        <w:right w:val="none" w:sz="0" w:space="0" w:color="auto"/>
      </w:divBdr>
    </w:div>
    <w:div w:id="758982422">
      <w:bodyDiv w:val="1"/>
      <w:marLeft w:val="0"/>
      <w:marRight w:val="0"/>
      <w:marTop w:val="0"/>
      <w:marBottom w:val="0"/>
      <w:divBdr>
        <w:top w:val="none" w:sz="0" w:space="0" w:color="auto"/>
        <w:left w:val="none" w:sz="0" w:space="0" w:color="auto"/>
        <w:bottom w:val="none" w:sz="0" w:space="0" w:color="auto"/>
        <w:right w:val="none" w:sz="0" w:space="0" w:color="auto"/>
      </w:divBdr>
    </w:div>
    <w:div w:id="785121992">
      <w:bodyDiv w:val="1"/>
      <w:marLeft w:val="0"/>
      <w:marRight w:val="0"/>
      <w:marTop w:val="0"/>
      <w:marBottom w:val="0"/>
      <w:divBdr>
        <w:top w:val="none" w:sz="0" w:space="0" w:color="auto"/>
        <w:left w:val="none" w:sz="0" w:space="0" w:color="auto"/>
        <w:bottom w:val="none" w:sz="0" w:space="0" w:color="auto"/>
        <w:right w:val="none" w:sz="0" w:space="0" w:color="auto"/>
      </w:divBdr>
    </w:div>
    <w:div w:id="788277368">
      <w:bodyDiv w:val="1"/>
      <w:marLeft w:val="0"/>
      <w:marRight w:val="0"/>
      <w:marTop w:val="0"/>
      <w:marBottom w:val="0"/>
      <w:divBdr>
        <w:top w:val="none" w:sz="0" w:space="0" w:color="auto"/>
        <w:left w:val="none" w:sz="0" w:space="0" w:color="auto"/>
        <w:bottom w:val="none" w:sz="0" w:space="0" w:color="auto"/>
        <w:right w:val="none" w:sz="0" w:space="0" w:color="auto"/>
      </w:divBdr>
    </w:div>
    <w:div w:id="801995020">
      <w:bodyDiv w:val="1"/>
      <w:marLeft w:val="0"/>
      <w:marRight w:val="0"/>
      <w:marTop w:val="0"/>
      <w:marBottom w:val="0"/>
      <w:divBdr>
        <w:top w:val="none" w:sz="0" w:space="0" w:color="auto"/>
        <w:left w:val="none" w:sz="0" w:space="0" w:color="auto"/>
        <w:bottom w:val="none" w:sz="0" w:space="0" w:color="auto"/>
        <w:right w:val="none" w:sz="0" w:space="0" w:color="auto"/>
      </w:divBdr>
    </w:div>
    <w:div w:id="817111468">
      <w:bodyDiv w:val="1"/>
      <w:marLeft w:val="0"/>
      <w:marRight w:val="0"/>
      <w:marTop w:val="0"/>
      <w:marBottom w:val="0"/>
      <w:divBdr>
        <w:top w:val="none" w:sz="0" w:space="0" w:color="auto"/>
        <w:left w:val="none" w:sz="0" w:space="0" w:color="auto"/>
        <w:bottom w:val="none" w:sz="0" w:space="0" w:color="auto"/>
        <w:right w:val="none" w:sz="0" w:space="0" w:color="auto"/>
      </w:divBdr>
    </w:div>
    <w:div w:id="844443732">
      <w:bodyDiv w:val="1"/>
      <w:marLeft w:val="0"/>
      <w:marRight w:val="0"/>
      <w:marTop w:val="0"/>
      <w:marBottom w:val="0"/>
      <w:divBdr>
        <w:top w:val="none" w:sz="0" w:space="0" w:color="auto"/>
        <w:left w:val="none" w:sz="0" w:space="0" w:color="auto"/>
        <w:bottom w:val="none" w:sz="0" w:space="0" w:color="auto"/>
        <w:right w:val="none" w:sz="0" w:space="0" w:color="auto"/>
      </w:divBdr>
    </w:div>
    <w:div w:id="866286818">
      <w:bodyDiv w:val="1"/>
      <w:marLeft w:val="0"/>
      <w:marRight w:val="0"/>
      <w:marTop w:val="0"/>
      <w:marBottom w:val="0"/>
      <w:divBdr>
        <w:top w:val="none" w:sz="0" w:space="0" w:color="auto"/>
        <w:left w:val="none" w:sz="0" w:space="0" w:color="auto"/>
        <w:bottom w:val="none" w:sz="0" w:space="0" w:color="auto"/>
        <w:right w:val="none" w:sz="0" w:space="0" w:color="auto"/>
      </w:divBdr>
    </w:div>
    <w:div w:id="873426793">
      <w:bodyDiv w:val="1"/>
      <w:marLeft w:val="0"/>
      <w:marRight w:val="0"/>
      <w:marTop w:val="0"/>
      <w:marBottom w:val="0"/>
      <w:divBdr>
        <w:top w:val="none" w:sz="0" w:space="0" w:color="auto"/>
        <w:left w:val="none" w:sz="0" w:space="0" w:color="auto"/>
        <w:bottom w:val="none" w:sz="0" w:space="0" w:color="auto"/>
        <w:right w:val="none" w:sz="0" w:space="0" w:color="auto"/>
      </w:divBdr>
    </w:div>
    <w:div w:id="880477249">
      <w:bodyDiv w:val="1"/>
      <w:marLeft w:val="0"/>
      <w:marRight w:val="0"/>
      <w:marTop w:val="0"/>
      <w:marBottom w:val="0"/>
      <w:divBdr>
        <w:top w:val="none" w:sz="0" w:space="0" w:color="auto"/>
        <w:left w:val="none" w:sz="0" w:space="0" w:color="auto"/>
        <w:bottom w:val="none" w:sz="0" w:space="0" w:color="auto"/>
        <w:right w:val="none" w:sz="0" w:space="0" w:color="auto"/>
      </w:divBdr>
    </w:div>
    <w:div w:id="887180274">
      <w:bodyDiv w:val="1"/>
      <w:marLeft w:val="0"/>
      <w:marRight w:val="0"/>
      <w:marTop w:val="0"/>
      <w:marBottom w:val="0"/>
      <w:divBdr>
        <w:top w:val="none" w:sz="0" w:space="0" w:color="auto"/>
        <w:left w:val="none" w:sz="0" w:space="0" w:color="auto"/>
        <w:bottom w:val="none" w:sz="0" w:space="0" w:color="auto"/>
        <w:right w:val="none" w:sz="0" w:space="0" w:color="auto"/>
      </w:divBdr>
    </w:div>
    <w:div w:id="916324932">
      <w:bodyDiv w:val="1"/>
      <w:marLeft w:val="0"/>
      <w:marRight w:val="0"/>
      <w:marTop w:val="0"/>
      <w:marBottom w:val="0"/>
      <w:divBdr>
        <w:top w:val="none" w:sz="0" w:space="0" w:color="auto"/>
        <w:left w:val="none" w:sz="0" w:space="0" w:color="auto"/>
        <w:bottom w:val="none" w:sz="0" w:space="0" w:color="auto"/>
        <w:right w:val="none" w:sz="0" w:space="0" w:color="auto"/>
      </w:divBdr>
    </w:div>
    <w:div w:id="947930928">
      <w:bodyDiv w:val="1"/>
      <w:marLeft w:val="0"/>
      <w:marRight w:val="0"/>
      <w:marTop w:val="0"/>
      <w:marBottom w:val="0"/>
      <w:divBdr>
        <w:top w:val="none" w:sz="0" w:space="0" w:color="auto"/>
        <w:left w:val="none" w:sz="0" w:space="0" w:color="auto"/>
        <w:bottom w:val="none" w:sz="0" w:space="0" w:color="auto"/>
        <w:right w:val="none" w:sz="0" w:space="0" w:color="auto"/>
      </w:divBdr>
      <w:divsChild>
        <w:div w:id="587269205">
          <w:marLeft w:val="446"/>
          <w:marRight w:val="0"/>
          <w:marTop w:val="0"/>
          <w:marBottom w:val="0"/>
          <w:divBdr>
            <w:top w:val="none" w:sz="0" w:space="0" w:color="auto"/>
            <w:left w:val="none" w:sz="0" w:space="0" w:color="auto"/>
            <w:bottom w:val="none" w:sz="0" w:space="0" w:color="auto"/>
            <w:right w:val="none" w:sz="0" w:space="0" w:color="auto"/>
          </w:divBdr>
        </w:div>
        <w:div w:id="943535393">
          <w:marLeft w:val="446"/>
          <w:marRight w:val="0"/>
          <w:marTop w:val="0"/>
          <w:marBottom w:val="0"/>
          <w:divBdr>
            <w:top w:val="none" w:sz="0" w:space="0" w:color="auto"/>
            <w:left w:val="none" w:sz="0" w:space="0" w:color="auto"/>
            <w:bottom w:val="none" w:sz="0" w:space="0" w:color="auto"/>
            <w:right w:val="none" w:sz="0" w:space="0" w:color="auto"/>
          </w:divBdr>
        </w:div>
        <w:div w:id="1116752246">
          <w:marLeft w:val="446"/>
          <w:marRight w:val="0"/>
          <w:marTop w:val="0"/>
          <w:marBottom w:val="0"/>
          <w:divBdr>
            <w:top w:val="none" w:sz="0" w:space="0" w:color="auto"/>
            <w:left w:val="none" w:sz="0" w:space="0" w:color="auto"/>
            <w:bottom w:val="none" w:sz="0" w:space="0" w:color="auto"/>
            <w:right w:val="none" w:sz="0" w:space="0" w:color="auto"/>
          </w:divBdr>
        </w:div>
        <w:div w:id="1714773227">
          <w:marLeft w:val="446"/>
          <w:marRight w:val="0"/>
          <w:marTop w:val="0"/>
          <w:marBottom w:val="0"/>
          <w:divBdr>
            <w:top w:val="none" w:sz="0" w:space="0" w:color="auto"/>
            <w:left w:val="none" w:sz="0" w:space="0" w:color="auto"/>
            <w:bottom w:val="none" w:sz="0" w:space="0" w:color="auto"/>
            <w:right w:val="none" w:sz="0" w:space="0" w:color="auto"/>
          </w:divBdr>
        </w:div>
      </w:divsChild>
    </w:div>
    <w:div w:id="963194381">
      <w:bodyDiv w:val="1"/>
      <w:marLeft w:val="0"/>
      <w:marRight w:val="0"/>
      <w:marTop w:val="0"/>
      <w:marBottom w:val="0"/>
      <w:divBdr>
        <w:top w:val="none" w:sz="0" w:space="0" w:color="auto"/>
        <w:left w:val="none" w:sz="0" w:space="0" w:color="auto"/>
        <w:bottom w:val="none" w:sz="0" w:space="0" w:color="auto"/>
        <w:right w:val="none" w:sz="0" w:space="0" w:color="auto"/>
      </w:divBdr>
    </w:div>
    <w:div w:id="1009870368">
      <w:bodyDiv w:val="1"/>
      <w:marLeft w:val="0"/>
      <w:marRight w:val="0"/>
      <w:marTop w:val="0"/>
      <w:marBottom w:val="0"/>
      <w:divBdr>
        <w:top w:val="none" w:sz="0" w:space="0" w:color="auto"/>
        <w:left w:val="none" w:sz="0" w:space="0" w:color="auto"/>
        <w:bottom w:val="none" w:sz="0" w:space="0" w:color="auto"/>
        <w:right w:val="none" w:sz="0" w:space="0" w:color="auto"/>
      </w:divBdr>
    </w:div>
    <w:div w:id="1014528424">
      <w:bodyDiv w:val="1"/>
      <w:marLeft w:val="0"/>
      <w:marRight w:val="0"/>
      <w:marTop w:val="0"/>
      <w:marBottom w:val="0"/>
      <w:divBdr>
        <w:top w:val="none" w:sz="0" w:space="0" w:color="auto"/>
        <w:left w:val="none" w:sz="0" w:space="0" w:color="auto"/>
        <w:bottom w:val="none" w:sz="0" w:space="0" w:color="auto"/>
        <w:right w:val="none" w:sz="0" w:space="0" w:color="auto"/>
      </w:divBdr>
    </w:div>
    <w:div w:id="1030182600">
      <w:bodyDiv w:val="1"/>
      <w:marLeft w:val="0"/>
      <w:marRight w:val="0"/>
      <w:marTop w:val="0"/>
      <w:marBottom w:val="0"/>
      <w:divBdr>
        <w:top w:val="none" w:sz="0" w:space="0" w:color="auto"/>
        <w:left w:val="none" w:sz="0" w:space="0" w:color="auto"/>
        <w:bottom w:val="none" w:sz="0" w:space="0" w:color="auto"/>
        <w:right w:val="none" w:sz="0" w:space="0" w:color="auto"/>
      </w:divBdr>
    </w:div>
    <w:div w:id="1039622812">
      <w:bodyDiv w:val="1"/>
      <w:marLeft w:val="0"/>
      <w:marRight w:val="0"/>
      <w:marTop w:val="0"/>
      <w:marBottom w:val="0"/>
      <w:divBdr>
        <w:top w:val="none" w:sz="0" w:space="0" w:color="auto"/>
        <w:left w:val="none" w:sz="0" w:space="0" w:color="auto"/>
        <w:bottom w:val="none" w:sz="0" w:space="0" w:color="auto"/>
        <w:right w:val="none" w:sz="0" w:space="0" w:color="auto"/>
      </w:divBdr>
    </w:div>
    <w:div w:id="1090739211">
      <w:bodyDiv w:val="1"/>
      <w:marLeft w:val="0"/>
      <w:marRight w:val="0"/>
      <w:marTop w:val="0"/>
      <w:marBottom w:val="0"/>
      <w:divBdr>
        <w:top w:val="none" w:sz="0" w:space="0" w:color="auto"/>
        <w:left w:val="none" w:sz="0" w:space="0" w:color="auto"/>
        <w:bottom w:val="none" w:sz="0" w:space="0" w:color="auto"/>
        <w:right w:val="none" w:sz="0" w:space="0" w:color="auto"/>
      </w:divBdr>
    </w:div>
    <w:div w:id="1098524948">
      <w:bodyDiv w:val="1"/>
      <w:marLeft w:val="0"/>
      <w:marRight w:val="0"/>
      <w:marTop w:val="0"/>
      <w:marBottom w:val="0"/>
      <w:divBdr>
        <w:top w:val="none" w:sz="0" w:space="0" w:color="auto"/>
        <w:left w:val="none" w:sz="0" w:space="0" w:color="auto"/>
        <w:bottom w:val="none" w:sz="0" w:space="0" w:color="auto"/>
        <w:right w:val="none" w:sz="0" w:space="0" w:color="auto"/>
      </w:divBdr>
    </w:div>
    <w:div w:id="1101295885">
      <w:bodyDiv w:val="1"/>
      <w:marLeft w:val="0"/>
      <w:marRight w:val="0"/>
      <w:marTop w:val="0"/>
      <w:marBottom w:val="0"/>
      <w:divBdr>
        <w:top w:val="none" w:sz="0" w:space="0" w:color="auto"/>
        <w:left w:val="none" w:sz="0" w:space="0" w:color="auto"/>
        <w:bottom w:val="none" w:sz="0" w:space="0" w:color="auto"/>
        <w:right w:val="none" w:sz="0" w:space="0" w:color="auto"/>
      </w:divBdr>
    </w:div>
    <w:div w:id="1118373244">
      <w:bodyDiv w:val="1"/>
      <w:marLeft w:val="0"/>
      <w:marRight w:val="0"/>
      <w:marTop w:val="0"/>
      <w:marBottom w:val="0"/>
      <w:divBdr>
        <w:top w:val="none" w:sz="0" w:space="0" w:color="auto"/>
        <w:left w:val="none" w:sz="0" w:space="0" w:color="auto"/>
        <w:bottom w:val="none" w:sz="0" w:space="0" w:color="auto"/>
        <w:right w:val="none" w:sz="0" w:space="0" w:color="auto"/>
      </w:divBdr>
    </w:div>
    <w:div w:id="1149246647">
      <w:bodyDiv w:val="1"/>
      <w:marLeft w:val="0"/>
      <w:marRight w:val="0"/>
      <w:marTop w:val="0"/>
      <w:marBottom w:val="0"/>
      <w:divBdr>
        <w:top w:val="none" w:sz="0" w:space="0" w:color="auto"/>
        <w:left w:val="none" w:sz="0" w:space="0" w:color="auto"/>
        <w:bottom w:val="none" w:sz="0" w:space="0" w:color="auto"/>
        <w:right w:val="none" w:sz="0" w:space="0" w:color="auto"/>
      </w:divBdr>
    </w:div>
    <w:div w:id="1159081956">
      <w:bodyDiv w:val="1"/>
      <w:marLeft w:val="0"/>
      <w:marRight w:val="0"/>
      <w:marTop w:val="0"/>
      <w:marBottom w:val="0"/>
      <w:divBdr>
        <w:top w:val="none" w:sz="0" w:space="0" w:color="auto"/>
        <w:left w:val="none" w:sz="0" w:space="0" w:color="auto"/>
        <w:bottom w:val="none" w:sz="0" w:space="0" w:color="auto"/>
        <w:right w:val="none" w:sz="0" w:space="0" w:color="auto"/>
      </w:divBdr>
    </w:div>
    <w:div w:id="1193030261">
      <w:bodyDiv w:val="1"/>
      <w:marLeft w:val="0"/>
      <w:marRight w:val="0"/>
      <w:marTop w:val="0"/>
      <w:marBottom w:val="0"/>
      <w:divBdr>
        <w:top w:val="none" w:sz="0" w:space="0" w:color="auto"/>
        <w:left w:val="none" w:sz="0" w:space="0" w:color="auto"/>
        <w:bottom w:val="none" w:sz="0" w:space="0" w:color="auto"/>
        <w:right w:val="none" w:sz="0" w:space="0" w:color="auto"/>
      </w:divBdr>
    </w:div>
    <w:div w:id="1202203632">
      <w:bodyDiv w:val="1"/>
      <w:marLeft w:val="0"/>
      <w:marRight w:val="0"/>
      <w:marTop w:val="0"/>
      <w:marBottom w:val="0"/>
      <w:divBdr>
        <w:top w:val="none" w:sz="0" w:space="0" w:color="auto"/>
        <w:left w:val="none" w:sz="0" w:space="0" w:color="auto"/>
        <w:bottom w:val="none" w:sz="0" w:space="0" w:color="auto"/>
        <w:right w:val="none" w:sz="0" w:space="0" w:color="auto"/>
      </w:divBdr>
    </w:div>
    <w:div w:id="1202933884">
      <w:bodyDiv w:val="1"/>
      <w:marLeft w:val="0"/>
      <w:marRight w:val="0"/>
      <w:marTop w:val="0"/>
      <w:marBottom w:val="0"/>
      <w:divBdr>
        <w:top w:val="none" w:sz="0" w:space="0" w:color="auto"/>
        <w:left w:val="none" w:sz="0" w:space="0" w:color="auto"/>
        <w:bottom w:val="none" w:sz="0" w:space="0" w:color="auto"/>
        <w:right w:val="none" w:sz="0" w:space="0" w:color="auto"/>
      </w:divBdr>
    </w:div>
    <w:div w:id="1204101927">
      <w:bodyDiv w:val="1"/>
      <w:marLeft w:val="0"/>
      <w:marRight w:val="0"/>
      <w:marTop w:val="0"/>
      <w:marBottom w:val="0"/>
      <w:divBdr>
        <w:top w:val="none" w:sz="0" w:space="0" w:color="auto"/>
        <w:left w:val="none" w:sz="0" w:space="0" w:color="auto"/>
        <w:bottom w:val="none" w:sz="0" w:space="0" w:color="auto"/>
        <w:right w:val="none" w:sz="0" w:space="0" w:color="auto"/>
      </w:divBdr>
    </w:div>
    <w:div w:id="1216239940">
      <w:bodyDiv w:val="1"/>
      <w:marLeft w:val="0"/>
      <w:marRight w:val="0"/>
      <w:marTop w:val="0"/>
      <w:marBottom w:val="0"/>
      <w:divBdr>
        <w:top w:val="none" w:sz="0" w:space="0" w:color="auto"/>
        <w:left w:val="none" w:sz="0" w:space="0" w:color="auto"/>
        <w:bottom w:val="none" w:sz="0" w:space="0" w:color="auto"/>
        <w:right w:val="none" w:sz="0" w:space="0" w:color="auto"/>
      </w:divBdr>
    </w:div>
    <w:div w:id="1222788321">
      <w:bodyDiv w:val="1"/>
      <w:marLeft w:val="0"/>
      <w:marRight w:val="0"/>
      <w:marTop w:val="0"/>
      <w:marBottom w:val="0"/>
      <w:divBdr>
        <w:top w:val="none" w:sz="0" w:space="0" w:color="auto"/>
        <w:left w:val="none" w:sz="0" w:space="0" w:color="auto"/>
        <w:bottom w:val="none" w:sz="0" w:space="0" w:color="auto"/>
        <w:right w:val="none" w:sz="0" w:space="0" w:color="auto"/>
      </w:divBdr>
    </w:div>
    <w:div w:id="1223717665">
      <w:bodyDiv w:val="1"/>
      <w:marLeft w:val="0"/>
      <w:marRight w:val="0"/>
      <w:marTop w:val="0"/>
      <w:marBottom w:val="0"/>
      <w:divBdr>
        <w:top w:val="none" w:sz="0" w:space="0" w:color="auto"/>
        <w:left w:val="none" w:sz="0" w:space="0" w:color="auto"/>
        <w:bottom w:val="none" w:sz="0" w:space="0" w:color="auto"/>
        <w:right w:val="none" w:sz="0" w:space="0" w:color="auto"/>
      </w:divBdr>
    </w:div>
    <w:div w:id="1239436545">
      <w:bodyDiv w:val="1"/>
      <w:marLeft w:val="0"/>
      <w:marRight w:val="0"/>
      <w:marTop w:val="0"/>
      <w:marBottom w:val="0"/>
      <w:divBdr>
        <w:top w:val="none" w:sz="0" w:space="0" w:color="auto"/>
        <w:left w:val="none" w:sz="0" w:space="0" w:color="auto"/>
        <w:bottom w:val="none" w:sz="0" w:space="0" w:color="auto"/>
        <w:right w:val="none" w:sz="0" w:space="0" w:color="auto"/>
      </w:divBdr>
    </w:div>
    <w:div w:id="1260214431">
      <w:bodyDiv w:val="1"/>
      <w:marLeft w:val="0"/>
      <w:marRight w:val="0"/>
      <w:marTop w:val="0"/>
      <w:marBottom w:val="0"/>
      <w:divBdr>
        <w:top w:val="none" w:sz="0" w:space="0" w:color="auto"/>
        <w:left w:val="none" w:sz="0" w:space="0" w:color="auto"/>
        <w:bottom w:val="none" w:sz="0" w:space="0" w:color="auto"/>
        <w:right w:val="none" w:sz="0" w:space="0" w:color="auto"/>
      </w:divBdr>
    </w:div>
    <w:div w:id="1269047016">
      <w:bodyDiv w:val="1"/>
      <w:marLeft w:val="0"/>
      <w:marRight w:val="0"/>
      <w:marTop w:val="0"/>
      <w:marBottom w:val="0"/>
      <w:divBdr>
        <w:top w:val="none" w:sz="0" w:space="0" w:color="auto"/>
        <w:left w:val="none" w:sz="0" w:space="0" w:color="auto"/>
        <w:bottom w:val="none" w:sz="0" w:space="0" w:color="auto"/>
        <w:right w:val="none" w:sz="0" w:space="0" w:color="auto"/>
      </w:divBdr>
    </w:div>
    <w:div w:id="1269703208">
      <w:bodyDiv w:val="1"/>
      <w:marLeft w:val="0"/>
      <w:marRight w:val="0"/>
      <w:marTop w:val="0"/>
      <w:marBottom w:val="0"/>
      <w:divBdr>
        <w:top w:val="none" w:sz="0" w:space="0" w:color="auto"/>
        <w:left w:val="none" w:sz="0" w:space="0" w:color="auto"/>
        <w:bottom w:val="none" w:sz="0" w:space="0" w:color="auto"/>
        <w:right w:val="none" w:sz="0" w:space="0" w:color="auto"/>
      </w:divBdr>
    </w:div>
    <w:div w:id="1288589339">
      <w:bodyDiv w:val="1"/>
      <w:marLeft w:val="0"/>
      <w:marRight w:val="0"/>
      <w:marTop w:val="0"/>
      <w:marBottom w:val="0"/>
      <w:divBdr>
        <w:top w:val="none" w:sz="0" w:space="0" w:color="auto"/>
        <w:left w:val="none" w:sz="0" w:space="0" w:color="auto"/>
        <w:bottom w:val="none" w:sz="0" w:space="0" w:color="auto"/>
        <w:right w:val="none" w:sz="0" w:space="0" w:color="auto"/>
      </w:divBdr>
    </w:div>
    <w:div w:id="1298418504">
      <w:bodyDiv w:val="1"/>
      <w:marLeft w:val="0"/>
      <w:marRight w:val="0"/>
      <w:marTop w:val="0"/>
      <w:marBottom w:val="0"/>
      <w:divBdr>
        <w:top w:val="none" w:sz="0" w:space="0" w:color="auto"/>
        <w:left w:val="none" w:sz="0" w:space="0" w:color="auto"/>
        <w:bottom w:val="none" w:sz="0" w:space="0" w:color="auto"/>
        <w:right w:val="none" w:sz="0" w:space="0" w:color="auto"/>
      </w:divBdr>
    </w:div>
    <w:div w:id="1317878971">
      <w:bodyDiv w:val="1"/>
      <w:marLeft w:val="0"/>
      <w:marRight w:val="0"/>
      <w:marTop w:val="0"/>
      <w:marBottom w:val="0"/>
      <w:divBdr>
        <w:top w:val="none" w:sz="0" w:space="0" w:color="auto"/>
        <w:left w:val="none" w:sz="0" w:space="0" w:color="auto"/>
        <w:bottom w:val="none" w:sz="0" w:space="0" w:color="auto"/>
        <w:right w:val="none" w:sz="0" w:space="0" w:color="auto"/>
      </w:divBdr>
    </w:div>
    <w:div w:id="1336882773">
      <w:bodyDiv w:val="1"/>
      <w:marLeft w:val="0"/>
      <w:marRight w:val="0"/>
      <w:marTop w:val="0"/>
      <w:marBottom w:val="0"/>
      <w:divBdr>
        <w:top w:val="none" w:sz="0" w:space="0" w:color="auto"/>
        <w:left w:val="none" w:sz="0" w:space="0" w:color="auto"/>
        <w:bottom w:val="none" w:sz="0" w:space="0" w:color="auto"/>
        <w:right w:val="none" w:sz="0" w:space="0" w:color="auto"/>
      </w:divBdr>
    </w:div>
    <w:div w:id="1350525199">
      <w:bodyDiv w:val="1"/>
      <w:marLeft w:val="0"/>
      <w:marRight w:val="0"/>
      <w:marTop w:val="0"/>
      <w:marBottom w:val="0"/>
      <w:divBdr>
        <w:top w:val="none" w:sz="0" w:space="0" w:color="auto"/>
        <w:left w:val="none" w:sz="0" w:space="0" w:color="auto"/>
        <w:bottom w:val="none" w:sz="0" w:space="0" w:color="auto"/>
        <w:right w:val="none" w:sz="0" w:space="0" w:color="auto"/>
      </w:divBdr>
    </w:div>
    <w:div w:id="1363627533">
      <w:bodyDiv w:val="1"/>
      <w:marLeft w:val="0"/>
      <w:marRight w:val="0"/>
      <w:marTop w:val="0"/>
      <w:marBottom w:val="0"/>
      <w:divBdr>
        <w:top w:val="none" w:sz="0" w:space="0" w:color="auto"/>
        <w:left w:val="none" w:sz="0" w:space="0" w:color="auto"/>
        <w:bottom w:val="none" w:sz="0" w:space="0" w:color="auto"/>
        <w:right w:val="none" w:sz="0" w:space="0" w:color="auto"/>
      </w:divBdr>
    </w:div>
    <w:div w:id="1418794182">
      <w:bodyDiv w:val="1"/>
      <w:marLeft w:val="0"/>
      <w:marRight w:val="0"/>
      <w:marTop w:val="0"/>
      <w:marBottom w:val="0"/>
      <w:divBdr>
        <w:top w:val="none" w:sz="0" w:space="0" w:color="auto"/>
        <w:left w:val="none" w:sz="0" w:space="0" w:color="auto"/>
        <w:bottom w:val="none" w:sz="0" w:space="0" w:color="auto"/>
        <w:right w:val="none" w:sz="0" w:space="0" w:color="auto"/>
      </w:divBdr>
    </w:div>
    <w:div w:id="1419904763">
      <w:bodyDiv w:val="1"/>
      <w:marLeft w:val="0"/>
      <w:marRight w:val="0"/>
      <w:marTop w:val="0"/>
      <w:marBottom w:val="0"/>
      <w:divBdr>
        <w:top w:val="none" w:sz="0" w:space="0" w:color="auto"/>
        <w:left w:val="none" w:sz="0" w:space="0" w:color="auto"/>
        <w:bottom w:val="none" w:sz="0" w:space="0" w:color="auto"/>
        <w:right w:val="none" w:sz="0" w:space="0" w:color="auto"/>
      </w:divBdr>
    </w:div>
    <w:div w:id="1445224426">
      <w:bodyDiv w:val="1"/>
      <w:marLeft w:val="0"/>
      <w:marRight w:val="0"/>
      <w:marTop w:val="0"/>
      <w:marBottom w:val="0"/>
      <w:divBdr>
        <w:top w:val="none" w:sz="0" w:space="0" w:color="auto"/>
        <w:left w:val="none" w:sz="0" w:space="0" w:color="auto"/>
        <w:bottom w:val="none" w:sz="0" w:space="0" w:color="auto"/>
        <w:right w:val="none" w:sz="0" w:space="0" w:color="auto"/>
      </w:divBdr>
    </w:div>
    <w:div w:id="1465079814">
      <w:bodyDiv w:val="1"/>
      <w:marLeft w:val="0"/>
      <w:marRight w:val="0"/>
      <w:marTop w:val="0"/>
      <w:marBottom w:val="0"/>
      <w:divBdr>
        <w:top w:val="none" w:sz="0" w:space="0" w:color="auto"/>
        <w:left w:val="none" w:sz="0" w:space="0" w:color="auto"/>
        <w:bottom w:val="none" w:sz="0" w:space="0" w:color="auto"/>
        <w:right w:val="none" w:sz="0" w:space="0" w:color="auto"/>
      </w:divBdr>
    </w:div>
    <w:div w:id="1465081028">
      <w:bodyDiv w:val="1"/>
      <w:marLeft w:val="0"/>
      <w:marRight w:val="0"/>
      <w:marTop w:val="0"/>
      <w:marBottom w:val="0"/>
      <w:divBdr>
        <w:top w:val="none" w:sz="0" w:space="0" w:color="auto"/>
        <w:left w:val="none" w:sz="0" w:space="0" w:color="auto"/>
        <w:bottom w:val="none" w:sz="0" w:space="0" w:color="auto"/>
        <w:right w:val="none" w:sz="0" w:space="0" w:color="auto"/>
      </w:divBdr>
    </w:div>
    <w:div w:id="1465081190">
      <w:bodyDiv w:val="1"/>
      <w:marLeft w:val="0"/>
      <w:marRight w:val="0"/>
      <w:marTop w:val="0"/>
      <w:marBottom w:val="0"/>
      <w:divBdr>
        <w:top w:val="none" w:sz="0" w:space="0" w:color="auto"/>
        <w:left w:val="none" w:sz="0" w:space="0" w:color="auto"/>
        <w:bottom w:val="none" w:sz="0" w:space="0" w:color="auto"/>
        <w:right w:val="none" w:sz="0" w:space="0" w:color="auto"/>
      </w:divBdr>
    </w:div>
    <w:div w:id="1478838173">
      <w:bodyDiv w:val="1"/>
      <w:marLeft w:val="0"/>
      <w:marRight w:val="0"/>
      <w:marTop w:val="0"/>
      <w:marBottom w:val="0"/>
      <w:divBdr>
        <w:top w:val="none" w:sz="0" w:space="0" w:color="auto"/>
        <w:left w:val="none" w:sz="0" w:space="0" w:color="auto"/>
        <w:bottom w:val="none" w:sz="0" w:space="0" w:color="auto"/>
        <w:right w:val="none" w:sz="0" w:space="0" w:color="auto"/>
      </w:divBdr>
    </w:div>
    <w:div w:id="1502968271">
      <w:bodyDiv w:val="1"/>
      <w:marLeft w:val="0"/>
      <w:marRight w:val="0"/>
      <w:marTop w:val="0"/>
      <w:marBottom w:val="0"/>
      <w:divBdr>
        <w:top w:val="none" w:sz="0" w:space="0" w:color="auto"/>
        <w:left w:val="none" w:sz="0" w:space="0" w:color="auto"/>
        <w:bottom w:val="none" w:sz="0" w:space="0" w:color="auto"/>
        <w:right w:val="none" w:sz="0" w:space="0" w:color="auto"/>
      </w:divBdr>
    </w:div>
    <w:div w:id="1507358840">
      <w:bodyDiv w:val="1"/>
      <w:marLeft w:val="0"/>
      <w:marRight w:val="0"/>
      <w:marTop w:val="0"/>
      <w:marBottom w:val="0"/>
      <w:divBdr>
        <w:top w:val="none" w:sz="0" w:space="0" w:color="auto"/>
        <w:left w:val="none" w:sz="0" w:space="0" w:color="auto"/>
        <w:bottom w:val="none" w:sz="0" w:space="0" w:color="auto"/>
        <w:right w:val="none" w:sz="0" w:space="0" w:color="auto"/>
      </w:divBdr>
    </w:div>
    <w:div w:id="1517452718">
      <w:bodyDiv w:val="1"/>
      <w:marLeft w:val="0"/>
      <w:marRight w:val="0"/>
      <w:marTop w:val="0"/>
      <w:marBottom w:val="0"/>
      <w:divBdr>
        <w:top w:val="none" w:sz="0" w:space="0" w:color="auto"/>
        <w:left w:val="none" w:sz="0" w:space="0" w:color="auto"/>
        <w:bottom w:val="none" w:sz="0" w:space="0" w:color="auto"/>
        <w:right w:val="none" w:sz="0" w:space="0" w:color="auto"/>
      </w:divBdr>
    </w:div>
    <w:div w:id="1524593695">
      <w:bodyDiv w:val="1"/>
      <w:marLeft w:val="0"/>
      <w:marRight w:val="0"/>
      <w:marTop w:val="0"/>
      <w:marBottom w:val="0"/>
      <w:divBdr>
        <w:top w:val="none" w:sz="0" w:space="0" w:color="auto"/>
        <w:left w:val="none" w:sz="0" w:space="0" w:color="auto"/>
        <w:bottom w:val="none" w:sz="0" w:space="0" w:color="auto"/>
        <w:right w:val="none" w:sz="0" w:space="0" w:color="auto"/>
      </w:divBdr>
    </w:div>
    <w:div w:id="1559785377">
      <w:bodyDiv w:val="1"/>
      <w:marLeft w:val="0"/>
      <w:marRight w:val="0"/>
      <w:marTop w:val="0"/>
      <w:marBottom w:val="0"/>
      <w:divBdr>
        <w:top w:val="none" w:sz="0" w:space="0" w:color="auto"/>
        <w:left w:val="none" w:sz="0" w:space="0" w:color="auto"/>
        <w:bottom w:val="none" w:sz="0" w:space="0" w:color="auto"/>
        <w:right w:val="none" w:sz="0" w:space="0" w:color="auto"/>
      </w:divBdr>
    </w:div>
    <w:div w:id="1568302837">
      <w:bodyDiv w:val="1"/>
      <w:marLeft w:val="0"/>
      <w:marRight w:val="0"/>
      <w:marTop w:val="0"/>
      <w:marBottom w:val="0"/>
      <w:divBdr>
        <w:top w:val="none" w:sz="0" w:space="0" w:color="auto"/>
        <w:left w:val="none" w:sz="0" w:space="0" w:color="auto"/>
        <w:bottom w:val="none" w:sz="0" w:space="0" w:color="auto"/>
        <w:right w:val="none" w:sz="0" w:space="0" w:color="auto"/>
      </w:divBdr>
    </w:div>
    <w:div w:id="1607612965">
      <w:bodyDiv w:val="1"/>
      <w:marLeft w:val="0"/>
      <w:marRight w:val="0"/>
      <w:marTop w:val="0"/>
      <w:marBottom w:val="0"/>
      <w:divBdr>
        <w:top w:val="none" w:sz="0" w:space="0" w:color="auto"/>
        <w:left w:val="none" w:sz="0" w:space="0" w:color="auto"/>
        <w:bottom w:val="none" w:sz="0" w:space="0" w:color="auto"/>
        <w:right w:val="none" w:sz="0" w:space="0" w:color="auto"/>
      </w:divBdr>
    </w:div>
    <w:div w:id="1615482224">
      <w:bodyDiv w:val="1"/>
      <w:marLeft w:val="0"/>
      <w:marRight w:val="0"/>
      <w:marTop w:val="0"/>
      <w:marBottom w:val="0"/>
      <w:divBdr>
        <w:top w:val="none" w:sz="0" w:space="0" w:color="auto"/>
        <w:left w:val="none" w:sz="0" w:space="0" w:color="auto"/>
        <w:bottom w:val="none" w:sz="0" w:space="0" w:color="auto"/>
        <w:right w:val="none" w:sz="0" w:space="0" w:color="auto"/>
      </w:divBdr>
    </w:div>
    <w:div w:id="1626540800">
      <w:bodyDiv w:val="1"/>
      <w:marLeft w:val="0"/>
      <w:marRight w:val="0"/>
      <w:marTop w:val="0"/>
      <w:marBottom w:val="0"/>
      <w:divBdr>
        <w:top w:val="none" w:sz="0" w:space="0" w:color="auto"/>
        <w:left w:val="none" w:sz="0" w:space="0" w:color="auto"/>
        <w:bottom w:val="none" w:sz="0" w:space="0" w:color="auto"/>
        <w:right w:val="none" w:sz="0" w:space="0" w:color="auto"/>
      </w:divBdr>
    </w:div>
    <w:div w:id="1626882896">
      <w:bodyDiv w:val="1"/>
      <w:marLeft w:val="0"/>
      <w:marRight w:val="0"/>
      <w:marTop w:val="0"/>
      <w:marBottom w:val="0"/>
      <w:divBdr>
        <w:top w:val="none" w:sz="0" w:space="0" w:color="auto"/>
        <w:left w:val="none" w:sz="0" w:space="0" w:color="auto"/>
        <w:bottom w:val="none" w:sz="0" w:space="0" w:color="auto"/>
        <w:right w:val="none" w:sz="0" w:space="0" w:color="auto"/>
      </w:divBdr>
    </w:div>
    <w:div w:id="1643389499">
      <w:bodyDiv w:val="1"/>
      <w:marLeft w:val="0"/>
      <w:marRight w:val="0"/>
      <w:marTop w:val="0"/>
      <w:marBottom w:val="0"/>
      <w:divBdr>
        <w:top w:val="none" w:sz="0" w:space="0" w:color="auto"/>
        <w:left w:val="none" w:sz="0" w:space="0" w:color="auto"/>
        <w:bottom w:val="none" w:sz="0" w:space="0" w:color="auto"/>
        <w:right w:val="none" w:sz="0" w:space="0" w:color="auto"/>
      </w:divBdr>
    </w:div>
    <w:div w:id="1653636796">
      <w:bodyDiv w:val="1"/>
      <w:marLeft w:val="0"/>
      <w:marRight w:val="0"/>
      <w:marTop w:val="0"/>
      <w:marBottom w:val="0"/>
      <w:divBdr>
        <w:top w:val="none" w:sz="0" w:space="0" w:color="auto"/>
        <w:left w:val="none" w:sz="0" w:space="0" w:color="auto"/>
        <w:bottom w:val="none" w:sz="0" w:space="0" w:color="auto"/>
        <w:right w:val="none" w:sz="0" w:space="0" w:color="auto"/>
      </w:divBdr>
    </w:div>
    <w:div w:id="1656375354">
      <w:bodyDiv w:val="1"/>
      <w:marLeft w:val="0"/>
      <w:marRight w:val="0"/>
      <w:marTop w:val="0"/>
      <w:marBottom w:val="0"/>
      <w:divBdr>
        <w:top w:val="none" w:sz="0" w:space="0" w:color="auto"/>
        <w:left w:val="none" w:sz="0" w:space="0" w:color="auto"/>
        <w:bottom w:val="none" w:sz="0" w:space="0" w:color="auto"/>
        <w:right w:val="none" w:sz="0" w:space="0" w:color="auto"/>
      </w:divBdr>
    </w:div>
    <w:div w:id="1664621822">
      <w:bodyDiv w:val="1"/>
      <w:marLeft w:val="0"/>
      <w:marRight w:val="0"/>
      <w:marTop w:val="0"/>
      <w:marBottom w:val="0"/>
      <w:divBdr>
        <w:top w:val="none" w:sz="0" w:space="0" w:color="auto"/>
        <w:left w:val="none" w:sz="0" w:space="0" w:color="auto"/>
        <w:bottom w:val="none" w:sz="0" w:space="0" w:color="auto"/>
        <w:right w:val="none" w:sz="0" w:space="0" w:color="auto"/>
      </w:divBdr>
    </w:div>
    <w:div w:id="1668436853">
      <w:bodyDiv w:val="1"/>
      <w:marLeft w:val="0"/>
      <w:marRight w:val="0"/>
      <w:marTop w:val="0"/>
      <w:marBottom w:val="0"/>
      <w:divBdr>
        <w:top w:val="none" w:sz="0" w:space="0" w:color="auto"/>
        <w:left w:val="none" w:sz="0" w:space="0" w:color="auto"/>
        <w:bottom w:val="none" w:sz="0" w:space="0" w:color="auto"/>
        <w:right w:val="none" w:sz="0" w:space="0" w:color="auto"/>
      </w:divBdr>
    </w:div>
    <w:div w:id="1688360262">
      <w:bodyDiv w:val="1"/>
      <w:marLeft w:val="0"/>
      <w:marRight w:val="0"/>
      <w:marTop w:val="0"/>
      <w:marBottom w:val="0"/>
      <w:divBdr>
        <w:top w:val="none" w:sz="0" w:space="0" w:color="auto"/>
        <w:left w:val="none" w:sz="0" w:space="0" w:color="auto"/>
        <w:bottom w:val="none" w:sz="0" w:space="0" w:color="auto"/>
        <w:right w:val="none" w:sz="0" w:space="0" w:color="auto"/>
      </w:divBdr>
    </w:div>
    <w:div w:id="1690062351">
      <w:bodyDiv w:val="1"/>
      <w:marLeft w:val="0"/>
      <w:marRight w:val="0"/>
      <w:marTop w:val="0"/>
      <w:marBottom w:val="0"/>
      <w:divBdr>
        <w:top w:val="none" w:sz="0" w:space="0" w:color="auto"/>
        <w:left w:val="none" w:sz="0" w:space="0" w:color="auto"/>
        <w:bottom w:val="none" w:sz="0" w:space="0" w:color="auto"/>
        <w:right w:val="none" w:sz="0" w:space="0" w:color="auto"/>
      </w:divBdr>
    </w:div>
    <w:div w:id="1699893313">
      <w:bodyDiv w:val="1"/>
      <w:marLeft w:val="0"/>
      <w:marRight w:val="0"/>
      <w:marTop w:val="0"/>
      <w:marBottom w:val="0"/>
      <w:divBdr>
        <w:top w:val="none" w:sz="0" w:space="0" w:color="auto"/>
        <w:left w:val="none" w:sz="0" w:space="0" w:color="auto"/>
        <w:bottom w:val="none" w:sz="0" w:space="0" w:color="auto"/>
        <w:right w:val="none" w:sz="0" w:space="0" w:color="auto"/>
      </w:divBdr>
    </w:div>
    <w:div w:id="1704866742">
      <w:bodyDiv w:val="1"/>
      <w:marLeft w:val="0"/>
      <w:marRight w:val="0"/>
      <w:marTop w:val="0"/>
      <w:marBottom w:val="0"/>
      <w:divBdr>
        <w:top w:val="none" w:sz="0" w:space="0" w:color="auto"/>
        <w:left w:val="none" w:sz="0" w:space="0" w:color="auto"/>
        <w:bottom w:val="none" w:sz="0" w:space="0" w:color="auto"/>
        <w:right w:val="none" w:sz="0" w:space="0" w:color="auto"/>
      </w:divBdr>
    </w:div>
    <w:div w:id="1710571129">
      <w:bodyDiv w:val="1"/>
      <w:marLeft w:val="0"/>
      <w:marRight w:val="0"/>
      <w:marTop w:val="0"/>
      <w:marBottom w:val="0"/>
      <w:divBdr>
        <w:top w:val="none" w:sz="0" w:space="0" w:color="auto"/>
        <w:left w:val="none" w:sz="0" w:space="0" w:color="auto"/>
        <w:bottom w:val="none" w:sz="0" w:space="0" w:color="auto"/>
        <w:right w:val="none" w:sz="0" w:space="0" w:color="auto"/>
      </w:divBdr>
    </w:div>
    <w:div w:id="1712073108">
      <w:bodyDiv w:val="1"/>
      <w:marLeft w:val="0"/>
      <w:marRight w:val="0"/>
      <w:marTop w:val="0"/>
      <w:marBottom w:val="0"/>
      <w:divBdr>
        <w:top w:val="none" w:sz="0" w:space="0" w:color="auto"/>
        <w:left w:val="none" w:sz="0" w:space="0" w:color="auto"/>
        <w:bottom w:val="none" w:sz="0" w:space="0" w:color="auto"/>
        <w:right w:val="none" w:sz="0" w:space="0" w:color="auto"/>
      </w:divBdr>
    </w:div>
    <w:div w:id="1721401222">
      <w:bodyDiv w:val="1"/>
      <w:marLeft w:val="0"/>
      <w:marRight w:val="0"/>
      <w:marTop w:val="0"/>
      <w:marBottom w:val="0"/>
      <w:divBdr>
        <w:top w:val="none" w:sz="0" w:space="0" w:color="auto"/>
        <w:left w:val="none" w:sz="0" w:space="0" w:color="auto"/>
        <w:bottom w:val="none" w:sz="0" w:space="0" w:color="auto"/>
        <w:right w:val="none" w:sz="0" w:space="0" w:color="auto"/>
      </w:divBdr>
    </w:div>
    <w:div w:id="1751271350">
      <w:bodyDiv w:val="1"/>
      <w:marLeft w:val="0"/>
      <w:marRight w:val="0"/>
      <w:marTop w:val="0"/>
      <w:marBottom w:val="0"/>
      <w:divBdr>
        <w:top w:val="none" w:sz="0" w:space="0" w:color="auto"/>
        <w:left w:val="none" w:sz="0" w:space="0" w:color="auto"/>
        <w:bottom w:val="none" w:sz="0" w:space="0" w:color="auto"/>
        <w:right w:val="none" w:sz="0" w:space="0" w:color="auto"/>
      </w:divBdr>
    </w:div>
    <w:div w:id="1752198057">
      <w:bodyDiv w:val="1"/>
      <w:marLeft w:val="0"/>
      <w:marRight w:val="0"/>
      <w:marTop w:val="0"/>
      <w:marBottom w:val="0"/>
      <w:divBdr>
        <w:top w:val="none" w:sz="0" w:space="0" w:color="auto"/>
        <w:left w:val="none" w:sz="0" w:space="0" w:color="auto"/>
        <w:bottom w:val="none" w:sz="0" w:space="0" w:color="auto"/>
        <w:right w:val="none" w:sz="0" w:space="0" w:color="auto"/>
      </w:divBdr>
    </w:div>
    <w:div w:id="1753433623">
      <w:bodyDiv w:val="1"/>
      <w:marLeft w:val="0"/>
      <w:marRight w:val="0"/>
      <w:marTop w:val="0"/>
      <w:marBottom w:val="0"/>
      <w:divBdr>
        <w:top w:val="none" w:sz="0" w:space="0" w:color="auto"/>
        <w:left w:val="none" w:sz="0" w:space="0" w:color="auto"/>
        <w:bottom w:val="none" w:sz="0" w:space="0" w:color="auto"/>
        <w:right w:val="none" w:sz="0" w:space="0" w:color="auto"/>
      </w:divBdr>
    </w:div>
    <w:div w:id="1781294899">
      <w:bodyDiv w:val="1"/>
      <w:marLeft w:val="0"/>
      <w:marRight w:val="0"/>
      <w:marTop w:val="0"/>
      <w:marBottom w:val="0"/>
      <w:divBdr>
        <w:top w:val="none" w:sz="0" w:space="0" w:color="auto"/>
        <w:left w:val="none" w:sz="0" w:space="0" w:color="auto"/>
        <w:bottom w:val="none" w:sz="0" w:space="0" w:color="auto"/>
        <w:right w:val="none" w:sz="0" w:space="0" w:color="auto"/>
      </w:divBdr>
    </w:div>
    <w:div w:id="1784109748">
      <w:bodyDiv w:val="1"/>
      <w:marLeft w:val="0"/>
      <w:marRight w:val="0"/>
      <w:marTop w:val="0"/>
      <w:marBottom w:val="0"/>
      <w:divBdr>
        <w:top w:val="none" w:sz="0" w:space="0" w:color="auto"/>
        <w:left w:val="none" w:sz="0" w:space="0" w:color="auto"/>
        <w:bottom w:val="none" w:sz="0" w:space="0" w:color="auto"/>
        <w:right w:val="none" w:sz="0" w:space="0" w:color="auto"/>
      </w:divBdr>
    </w:div>
    <w:div w:id="1788237917">
      <w:bodyDiv w:val="1"/>
      <w:marLeft w:val="0"/>
      <w:marRight w:val="0"/>
      <w:marTop w:val="0"/>
      <w:marBottom w:val="0"/>
      <w:divBdr>
        <w:top w:val="none" w:sz="0" w:space="0" w:color="auto"/>
        <w:left w:val="none" w:sz="0" w:space="0" w:color="auto"/>
        <w:bottom w:val="none" w:sz="0" w:space="0" w:color="auto"/>
        <w:right w:val="none" w:sz="0" w:space="0" w:color="auto"/>
      </w:divBdr>
    </w:div>
    <w:div w:id="1806652588">
      <w:bodyDiv w:val="1"/>
      <w:marLeft w:val="0"/>
      <w:marRight w:val="0"/>
      <w:marTop w:val="0"/>
      <w:marBottom w:val="0"/>
      <w:divBdr>
        <w:top w:val="none" w:sz="0" w:space="0" w:color="auto"/>
        <w:left w:val="none" w:sz="0" w:space="0" w:color="auto"/>
        <w:bottom w:val="none" w:sz="0" w:space="0" w:color="auto"/>
        <w:right w:val="none" w:sz="0" w:space="0" w:color="auto"/>
      </w:divBdr>
    </w:div>
    <w:div w:id="1810243076">
      <w:bodyDiv w:val="1"/>
      <w:marLeft w:val="0"/>
      <w:marRight w:val="0"/>
      <w:marTop w:val="0"/>
      <w:marBottom w:val="0"/>
      <w:divBdr>
        <w:top w:val="none" w:sz="0" w:space="0" w:color="auto"/>
        <w:left w:val="none" w:sz="0" w:space="0" w:color="auto"/>
        <w:bottom w:val="none" w:sz="0" w:space="0" w:color="auto"/>
        <w:right w:val="none" w:sz="0" w:space="0" w:color="auto"/>
      </w:divBdr>
    </w:div>
    <w:div w:id="1821262125">
      <w:bodyDiv w:val="1"/>
      <w:marLeft w:val="0"/>
      <w:marRight w:val="0"/>
      <w:marTop w:val="0"/>
      <w:marBottom w:val="0"/>
      <w:divBdr>
        <w:top w:val="none" w:sz="0" w:space="0" w:color="auto"/>
        <w:left w:val="none" w:sz="0" w:space="0" w:color="auto"/>
        <w:bottom w:val="none" w:sz="0" w:space="0" w:color="auto"/>
        <w:right w:val="none" w:sz="0" w:space="0" w:color="auto"/>
      </w:divBdr>
    </w:div>
    <w:div w:id="1833326483">
      <w:bodyDiv w:val="1"/>
      <w:marLeft w:val="0"/>
      <w:marRight w:val="0"/>
      <w:marTop w:val="0"/>
      <w:marBottom w:val="0"/>
      <w:divBdr>
        <w:top w:val="none" w:sz="0" w:space="0" w:color="auto"/>
        <w:left w:val="none" w:sz="0" w:space="0" w:color="auto"/>
        <w:bottom w:val="none" w:sz="0" w:space="0" w:color="auto"/>
        <w:right w:val="none" w:sz="0" w:space="0" w:color="auto"/>
      </w:divBdr>
    </w:div>
    <w:div w:id="1834755115">
      <w:bodyDiv w:val="1"/>
      <w:marLeft w:val="0"/>
      <w:marRight w:val="0"/>
      <w:marTop w:val="0"/>
      <w:marBottom w:val="0"/>
      <w:divBdr>
        <w:top w:val="none" w:sz="0" w:space="0" w:color="auto"/>
        <w:left w:val="none" w:sz="0" w:space="0" w:color="auto"/>
        <w:bottom w:val="none" w:sz="0" w:space="0" w:color="auto"/>
        <w:right w:val="none" w:sz="0" w:space="0" w:color="auto"/>
      </w:divBdr>
    </w:div>
    <w:div w:id="1861235607">
      <w:bodyDiv w:val="1"/>
      <w:marLeft w:val="0"/>
      <w:marRight w:val="0"/>
      <w:marTop w:val="0"/>
      <w:marBottom w:val="0"/>
      <w:divBdr>
        <w:top w:val="none" w:sz="0" w:space="0" w:color="auto"/>
        <w:left w:val="none" w:sz="0" w:space="0" w:color="auto"/>
        <w:bottom w:val="none" w:sz="0" w:space="0" w:color="auto"/>
        <w:right w:val="none" w:sz="0" w:space="0" w:color="auto"/>
      </w:divBdr>
    </w:div>
    <w:div w:id="1881867142">
      <w:bodyDiv w:val="1"/>
      <w:marLeft w:val="0"/>
      <w:marRight w:val="0"/>
      <w:marTop w:val="0"/>
      <w:marBottom w:val="0"/>
      <w:divBdr>
        <w:top w:val="none" w:sz="0" w:space="0" w:color="auto"/>
        <w:left w:val="none" w:sz="0" w:space="0" w:color="auto"/>
        <w:bottom w:val="none" w:sz="0" w:space="0" w:color="auto"/>
        <w:right w:val="none" w:sz="0" w:space="0" w:color="auto"/>
      </w:divBdr>
    </w:div>
    <w:div w:id="1882791179">
      <w:bodyDiv w:val="1"/>
      <w:marLeft w:val="0"/>
      <w:marRight w:val="0"/>
      <w:marTop w:val="0"/>
      <w:marBottom w:val="0"/>
      <w:divBdr>
        <w:top w:val="none" w:sz="0" w:space="0" w:color="auto"/>
        <w:left w:val="none" w:sz="0" w:space="0" w:color="auto"/>
        <w:bottom w:val="none" w:sz="0" w:space="0" w:color="auto"/>
        <w:right w:val="none" w:sz="0" w:space="0" w:color="auto"/>
      </w:divBdr>
    </w:div>
    <w:div w:id="1887912270">
      <w:bodyDiv w:val="1"/>
      <w:marLeft w:val="0"/>
      <w:marRight w:val="0"/>
      <w:marTop w:val="0"/>
      <w:marBottom w:val="0"/>
      <w:divBdr>
        <w:top w:val="none" w:sz="0" w:space="0" w:color="auto"/>
        <w:left w:val="none" w:sz="0" w:space="0" w:color="auto"/>
        <w:bottom w:val="none" w:sz="0" w:space="0" w:color="auto"/>
        <w:right w:val="none" w:sz="0" w:space="0" w:color="auto"/>
      </w:divBdr>
    </w:div>
    <w:div w:id="1892770351">
      <w:bodyDiv w:val="1"/>
      <w:marLeft w:val="0"/>
      <w:marRight w:val="0"/>
      <w:marTop w:val="0"/>
      <w:marBottom w:val="0"/>
      <w:divBdr>
        <w:top w:val="none" w:sz="0" w:space="0" w:color="auto"/>
        <w:left w:val="none" w:sz="0" w:space="0" w:color="auto"/>
        <w:bottom w:val="none" w:sz="0" w:space="0" w:color="auto"/>
        <w:right w:val="none" w:sz="0" w:space="0" w:color="auto"/>
      </w:divBdr>
    </w:div>
    <w:div w:id="1895239663">
      <w:bodyDiv w:val="1"/>
      <w:marLeft w:val="0"/>
      <w:marRight w:val="0"/>
      <w:marTop w:val="0"/>
      <w:marBottom w:val="0"/>
      <w:divBdr>
        <w:top w:val="none" w:sz="0" w:space="0" w:color="auto"/>
        <w:left w:val="none" w:sz="0" w:space="0" w:color="auto"/>
        <w:bottom w:val="none" w:sz="0" w:space="0" w:color="auto"/>
        <w:right w:val="none" w:sz="0" w:space="0" w:color="auto"/>
      </w:divBdr>
    </w:div>
    <w:div w:id="1902210140">
      <w:bodyDiv w:val="1"/>
      <w:marLeft w:val="0"/>
      <w:marRight w:val="0"/>
      <w:marTop w:val="0"/>
      <w:marBottom w:val="0"/>
      <w:divBdr>
        <w:top w:val="none" w:sz="0" w:space="0" w:color="auto"/>
        <w:left w:val="none" w:sz="0" w:space="0" w:color="auto"/>
        <w:bottom w:val="none" w:sz="0" w:space="0" w:color="auto"/>
        <w:right w:val="none" w:sz="0" w:space="0" w:color="auto"/>
      </w:divBdr>
    </w:div>
    <w:div w:id="1932934785">
      <w:bodyDiv w:val="1"/>
      <w:marLeft w:val="0"/>
      <w:marRight w:val="0"/>
      <w:marTop w:val="0"/>
      <w:marBottom w:val="0"/>
      <w:divBdr>
        <w:top w:val="none" w:sz="0" w:space="0" w:color="auto"/>
        <w:left w:val="none" w:sz="0" w:space="0" w:color="auto"/>
        <w:bottom w:val="none" w:sz="0" w:space="0" w:color="auto"/>
        <w:right w:val="none" w:sz="0" w:space="0" w:color="auto"/>
      </w:divBdr>
    </w:div>
    <w:div w:id="1974014698">
      <w:bodyDiv w:val="1"/>
      <w:marLeft w:val="0"/>
      <w:marRight w:val="0"/>
      <w:marTop w:val="0"/>
      <w:marBottom w:val="0"/>
      <w:divBdr>
        <w:top w:val="none" w:sz="0" w:space="0" w:color="auto"/>
        <w:left w:val="none" w:sz="0" w:space="0" w:color="auto"/>
        <w:bottom w:val="none" w:sz="0" w:space="0" w:color="auto"/>
        <w:right w:val="none" w:sz="0" w:space="0" w:color="auto"/>
      </w:divBdr>
    </w:div>
    <w:div w:id="1977445313">
      <w:bodyDiv w:val="1"/>
      <w:marLeft w:val="0"/>
      <w:marRight w:val="0"/>
      <w:marTop w:val="0"/>
      <w:marBottom w:val="0"/>
      <w:divBdr>
        <w:top w:val="none" w:sz="0" w:space="0" w:color="auto"/>
        <w:left w:val="none" w:sz="0" w:space="0" w:color="auto"/>
        <w:bottom w:val="none" w:sz="0" w:space="0" w:color="auto"/>
        <w:right w:val="none" w:sz="0" w:space="0" w:color="auto"/>
      </w:divBdr>
    </w:div>
    <w:div w:id="1981492334">
      <w:bodyDiv w:val="1"/>
      <w:marLeft w:val="0"/>
      <w:marRight w:val="0"/>
      <w:marTop w:val="0"/>
      <w:marBottom w:val="0"/>
      <w:divBdr>
        <w:top w:val="none" w:sz="0" w:space="0" w:color="auto"/>
        <w:left w:val="none" w:sz="0" w:space="0" w:color="auto"/>
        <w:bottom w:val="none" w:sz="0" w:space="0" w:color="auto"/>
        <w:right w:val="none" w:sz="0" w:space="0" w:color="auto"/>
      </w:divBdr>
    </w:div>
    <w:div w:id="1992710967">
      <w:bodyDiv w:val="1"/>
      <w:marLeft w:val="0"/>
      <w:marRight w:val="0"/>
      <w:marTop w:val="0"/>
      <w:marBottom w:val="0"/>
      <w:divBdr>
        <w:top w:val="none" w:sz="0" w:space="0" w:color="auto"/>
        <w:left w:val="none" w:sz="0" w:space="0" w:color="auto"/>
        <w:bottom w:val="none" w:sz="0" w:space="0" w:color="auto"/>
        <w:right w:val="none" w:sz="0" w:space="0" w:color="auto"/>
      </w:divBdr>
    </w:div>
    <w:div w:id="2002811862">
      <w:bodyDiv w:val="1"/>
      <w:marLeft w:val="0"/>
      <w:marRight w:val="0"/>
      <w:marTop w:val="0"/>
      <w:marBottom w:val="0"/>
      <w:divBdr>
        <w:top w:val="none" w:sz="0" w:space="0" w:color="auto"/>
        <w:left w:val="none" w:sz="0" w:space="0" w:color="auto"/>
        <w:bottom w:val="none" w:sz="0" w:space="0" w:color="auto"/>
        <w:right w:val="none" w:sz="0" w:space="0" w:color="auto"/>
      </w:divBdr>
    </w:div>
    <w:div w:id="2004165801">
      <w:bodyDiv w:val="1"/>
      <w:marLeft w:val="0"/>
      <w:marRight w:val="0"/>
      <w:marTop w:val="0"/>
      <w:marBottom w:val="0"/>
      <w:divBdr>
        <w:top w:val="none" w:sz="0" w:space="0" w:color="auto"/>
        <w:left w:val="none" w:sz="0" w:space="0" w:color="auto"/>
        <w:bottom w:val="none" w:sz="0" w:space="0" w:color="auto"/>
        <w:right w:val="none" w:sz="0" w:space="0" w:color="auto"/>
      </w:divBdr>
    </w:div>
    <w:div w:id="2016033393">
      <w:bodyDiv w:val="1"/>
      <w:marLeft w:val="0"/>
      <w:marRight w:val="0"/>
      <w:marTop w:val="0"/>
      <w:marBottom w:val="0"/>
      <w:divBdr>
        <w:top w:val="none" w:sz="0" w:space="0" w:color="auto"/>
        <w:left w:val="none" w:sz="0" w:space="0" w:color="auto"/>
        <w:bottom w:val="none" w:sz="0" w:space="0" w:color="auto"/>
        <w:right w:val="none" w:sz="0" w:space="0" w:color="auto"/>
      </w:divBdr>
    </w:div>
    <w:div w:id="2018269199">
      <w:bodyDiv w:val="1"/>
      <w:marLeft w:val="0"/>
      <w:marRight w:val="0"/>
      <w:marTop w:val="0"/>
      <w:marBottom w:val="0"/>
      <w:divBdr>
        <w:top w:val="none" w:sz="0" w:space="0" w:color="auto"/>
        <w:left w:val="none" w:sz="0" w:space="0" w:color="auto"/>
        <w:bottom w:val="none" w:sz="0" w:space="0" w:color="auto"/>
        <w:right w:val="none" w:sz="0" w:space="0" w:color="auto"/>
      </w:divBdr>
    </w:div>
    <w:div w:id="2020616875">
      <w:bodyDiv w:val="1"/>
      <w:marLeft w:val="0"/>
      <w:marRight w:val="0"/>
      <w:marTop w:val="0"/>
      <w:marBottom w:val="0"/>
      <w:divBdr>
        <w:top w:val="none" w:sz="0" w:space="0" w:color="auto"/>
        <w:left w:val="none" w:sz="0" w:space="0" w:color="auto"/>
        <w:bottom w:val="none" w:sz="0" w:space="0" w:color="auto"/>
        <w:right w:val="none" w:sz="0" w:space="0" w:color="auto"/>
      </w:divBdr>
    </w:div>
    <w:div w:id="2054190860">
      <w:bodyDiv w:val="1"/>
      <w:marLeft w:val="0"/>
      <w:marRight w:val="0"/>
      <w:marTop w:val="0"/>
      <w:marBottom w:val="0"/>
      <w:divBdr>
        <w:top w:val="none" w:sz="0" w:space="0" w:color="auto"/>
        <w:left w:val="none" w:sz="0" w:space="0" w:color="auto"/>
        <w:bottom w:val="none" w:sz="0" w:space="0" w:color="auto"/>
        <w:right w:val="none" w:sz="0" w:space="0" w:color="auto"/>
      </w:divBdr>
    </w:div>
    <w:div w:id="2060395693">
      <w:bodyDiv w:val="1"/>
      <w:marLeft w:val="0"/>
      <w:marRight w:val="0"/>
      <w:marTop w:val="0"/>
      <w:marBottom w:val="0"/>
      <w:divBdr>
        <w:top w:val="none" w:sz="0" w:space="0" w:color="auto"/>
        <w:left w:val="none" w:sz="0" w:space="0" w:color="auto"/>
        <w:bottom w:val="none" w:sz="0" w:space="0" w:color="auto"/>
        <w:right w:val="none" w:sz="0" w:space="0" w:color="auto"/>
      </w:divBdr>
    </w:div>
    <w:div w:id="2063213724">
      <w:bodyDiv w:val="1"/>
      <w:marLeft w:val="0"/>
      <w:marRight w:val="0"/>
      <w:marTop w:val="0"/>
      <w:marBottom w:val="0"/>
      <w:divBdr>
        <w:top w:val="none" w:sz="0" w:space="0" w:color="auto"/>
        <w:left w:val="none" w:sz="0" w:space="0" w:color="auto"/>
        <w:bottom w:val="none" w:sz="0" w:space="0" w:color="auto"/>
        <w:right w:val="none" w:sz="0" w:space="0" w:color="auto"/>
      </w:divBdr>
    </w:div>
    <w:div w:id="2076977039">
      <w:bodyDiv w:val="1"/>
      <w:marLeft w:val="0"/>
      <w:marRight w:val="0"/>
      <w:marTop w:val="0"/>
      <w:marBottom w:val="0"/>
      <w:divBdr>
        <w:top w:val="none" w:sz="0" w:space="0" w:color="auto"/>
        <w:left w:val="none" w:sz="0" w:space="0" w:color="auto"/>
        <w:bottom w:val="none" w:sz="0" w:space="0" w:color="auto"/>
        <w:right w:val="none" w:sz="0" w:space="0" w:color="auto"/>
      </w:divBdr>
    </w:div>
    <w:div w:id="2078820256">
      <w:bodyDiv w:val="1"/>
      <w:marLeft w:val="0"/>
      <w:marRight w:val="0"/>
      <w:marTop w:val="0"/>
      <w:marBottom w:val="0"/>
      <w:divBdr>
        <w:top w:val="none" w:sz="0" w:space="0" w:color="auto"/>
        <w:left w:val="none" w:sz="0" w:space="0" w:color="auto"/>
        <w:bottom w:val="none" w:sz="0" w:space="0" w:color="auto"/>
        <w:right w:val="none" w:sz="0" w:space="0" w:color="auto"/>
      </w:divBdr>
    </w:div>
    <w:div w:id="2098820884">
      <w:bodyDiv w:val="1"/>
      <w:marLeft w:val="0"/>
      <w:marRight w:val="0"/>
      <w:marTop w:val="0"/>
      <w:marBottom w:val="0"/>
      <w:divBdr>
        <w:top w:val="none" w:sz="0" w:space="0" w:color="auto"/>
        <w:left w:val="none" w:sz="0" w:space="0" w:color="auto"/>
        <w:bottom w:val="none" w:sz="0" w:space="0" w:color="auto"/>
        <w:right w:val="none" w:sz="0" w:space="0" w:color="auto"/>
      </w:divBdr>
    </w:div>
    <w:div w:id="2099326912">
      <w:bodyDiv w:val="1"/>
      <w:marLeft w:val="0"/>
      <w:marRight w:val="0"/>
      <w:marTop w:val="0"/>
      <w:marBottom w:val="0"/>
      <w:divBdr>
        <w:top w:val="none" w:sz="0" w:space="0" w:color="auto"/>
        <w:left w:val="none" w:sz="0" w:space="0" w:color="auto"/>
        <w:bottom w:val="none" w:sz="0" w:space="0" w:color="auto"/>
        <w:right w:val="none" w:sz="0" w:space="0" w:color="auto"/>
      </w:divBdr>
    </w:div>
    <w:div w:id="2115322186">
      <w:bodyDiv w:val="1"/>
      <w:marLeft w:val="0"/>
      <w:marRight w:val="0"/>
      <w:marTop w:val="0"/>
      <w:marBottom w:val="0"/>
      <w:divBdr>
        <w:top w:val="none" w:sz="0" w:space="0" w:color="auto"/>
        <w:left w:val="none" w:sz="0" w:space="0" w:color="auto"/>
        <w:bottom w:val="none" w:sz="0" w:space="0" w:color="auto"/>
        <w:right w:val="none" w:sz="0" w:space="0" w:color="auto"/>
      </w:divBdr>
    </w:div>
    <w:div w:id="2138525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farre\Desktop\Mod&#232;le%20Titre%20INRA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10FB42-9F27-4023-921C-6CBE313E1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Titre INRAE</Template>
  <TotalTime>110</TotalTime>
  <Pages>25</Pages>
  <Words>6308</Words>
  <Characters>34696</Characters>
  <Application>Microsoft Office Word</Application>
  <DocSecurity>0</DocSecurity>
  <Lines>289</Lines>
  <Paragraphs>81</Paragraphs>
  <ScaleCrop>false</ScaleCrop>
  <HeadingPairs>
    <vt:vector size="2" baseType="variant">
      <vt:variant>
        <vt:lpstr>Titre</vt:lpstr>
      </vt:variant>
      <vt:variant>
        <vt:i4>1</vt:i4>
      </vt:variant>
    </vt:vector>
  </HeadingPairs>
  <TitlesOfParts>
    <vt:vector size="1" baseType="lpstr">
      <vt:lpstr/>
    </vt:vector>
  </TitlesOfParts>
  <Company>INRAE</Company>
  <LinksUpToDate>false</LinksUpToDate>
  <CharactersWithSpaces>40923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Farre</dc:creator>
  <cp:keywords/>
  <dc:description/>
  <cp:lastModifiedBy>Salma Baguena</cp:lastModifiedBy>
  <cp:revision>11</cp:revision>
  <dcterms:created xsi:type="dcterms:W3CDTF">2025-06-27T09:13:00Z</dcterms:created>
  <dcterms:modified xsi:type="dcterms:W3CDTF">2025-06-30T10:18:00Z</dcterms:modified>
</cp:coreProperties>
</file>