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3E469" w14:textId="77777777" w:rsidR="00460F6A" w:rsidRPr="00460F6A" w:rsidRDefault="00460F6A" w:rsidP="00460F6A"/>
    <w:p w14:paraId="606D7188" w14:textId="77777777" w:rsidR="0017643D" w:rsidRDefault="0017643D" w:rsidP="003F3AE3">
      <w:pPr>
        <w:pStyle w:val="Titre1"/>
        <w:jc w:val="center"/>
        <w:rPr>
          <w:color w:val="002060"/>
        </w:rPr>
      </w:pPr>
    </w:p>
    <w:p w14:paraId="27754966" w14:textId="598D856D" w:rsidR="0017643D" w:rsidRDefault="0017643D" w:rsidP="003F3AE3">
      <w:pPr>
        <w:pStyle w:val="Titre1"/>
        <w:jc w:val="center"/>
        <w:rPr>
          <w:color w:val="002060"/>
        </w:rPr>
      </w:pPr>
      <w:r>
        <w:rPr>
          <w:color w:val="002060"/>
        </w:rPr>
        <w:t>Annexe sécurité des systèmes d’information</w:t>
      </w:r>
    </w:p>
    <w:p w14:paraId="17EE84D0" w14:textId="79E430F8" w:rsidR="00460F6A" w:rsidRPr="009F1478" w:rsidRDefault="00D77566" w:rsidP="003F3AE3">
      <w:pPr>
        <w:pStyle w:val="Titre1"/>
        <w:jc w:val="center"/>
        <w:rPr>
          <w:color w:val="002060"/>
        </w:rPr>
      </w:pPr>
      <w:r w:rsidRPr="009F1478">
        <w:rPr>
          <w:color w:val="002060"/>
        </w:rPr>
        <w:t xml:space="preserve">Prérequis </w:t>
      </w:r>
      <w:r w:rsidR="00923436" w:rsidRPr="009F1478">
        <w:rPr>
          <w:color w:val="002060"/>
        </w:rPr>
        <w:t>pour la mise en œuvre d’un service</w:t>
      </w:r>
      <w:r w:rsidR="00460F6A" w:rsidRPr="009F1478">
        <w:rPr>
          <w:color w:val="002060"/>
        </w:rPr>
        <w:t xml:space="preserve"> </w:t>
      </w:r>
      <w:r w:rsidR="00561256">
        <w:rPr>
          <w:color w:val="002060"/>
        </w:rPr>
        <w:t xml:space="preserve">web </w:t>
      </w:r>
      <w:r w:rsidR="00460F6A" w:rsidRPr="009F1478">
        <w:rPr>
          <w:color w:val="002060"/>
        </w:rPr>
        <w:t>externalisé</w:t>
      </w:r>
      <w:r w:rsidR="00561256">
        <w:rPr>
          <w:color w:val="002060"/>
        </w:rPr>
        <w:t xml:space="preserve"> « SaaS »</w:t>
      </w:r>
    </w:p>
    <w:p w14:paraId="3469CBFF" w14:textId="77777777" w:rsidR="00460F6A" w:rsidRPr="009F1478" w:rsidRDefault="00460F6A" w:rsidP="00D77566">
      <w:pPr>
        <w:pStyle w:val="Titre2"/>
        <w:numPr>
          <w:ilvl w:val="0"/>
          <w:numId w:val="13"/>
        </w:numPr>
        <w:rPr>
          <w:color w:val="002060"/>
        </w:rPr>
      </w:pPr>
      <w:r w:rsidRPr="009F1478">
        <w:rPr>
          <w:color w:val="002060"/>
        </w:rPr>
        <w:t xml:space="preserve">Contexte </w:t>
      </w:r>
    </w:p>
    <w:p w14:paraId="0BF71917" w14:textId="77777777" w:rsidR="009F1478" w:rsidRDefault="009F1478" w:rsidP="009F1478">
      <w:r>
        <w:t xml:space="preserve">Cette annexe de sécurité définit les prérequis de l’université Sorbonne Nouvelle (dénommée « USN » dans la suite du document) devant être mis en œuvre contractuellement et techniquement durant toute la durée de la prestation. </w:t>
      </w:r>
    </w:p>
    <w:p w14:paraId="218A3211" w14:textId="77777777" w:rsidR="009F1478" w:rsidRDefault="009F1478" w:rsidP="009F1478">
      <w:r>
        <w:t>Elle vise à garantir la confidentialité, l’intégrité et la disponibilité du service qui est sous la responsabilité de l’USN.</w:t>
      </w:r>
    </w:p>
    <w:p w14:paraId="55779B6B" w14:textId="77777777" w:rsidR="009F1478" w:rsidRDefault="009F1478" w:rsidP="009F1478">
      <w:r>
        <w:t>Les versions devront évoluer durant la durée de la prestation selon leurs obsolescences et mises à jour (ex : version de TLS, complexité des mots de passe).</w:t>
      </w:r>
    </w:p>
    <w:p w14:paraId="6892444A" w14:textId="77777777" w:rsidR="009F1478" w:rsidRDefault="009F1478" w:rsidP="009F1478">
      <w:r>
        <w:t>Il appartient au fournisseur de s’aligner sur les standards et référentiels qui concernent les services qu’il propose, utilise ou met à disposition.</w:t>
      </w:r>
    </w:p>
    <w:p w14:paraId="585187A8" w14:textId="77777777" w:rsidR="009F1478" w:rsidRDefault="009F1478" w:rsidP="009F1478">
      <w:r>
        <w:t>Le principe du Security et Privacy-by design devront être appliqués au développement, au déploiement et à l’exploitation.</w:t>
      </w:r>
    </w:p>
    <w:p w14:paraId="7F974BEF" w14:textId="77777777" w:rsidR="006D221C" w:rsidRPr="006D221C" w:rsidRDefault="006D221C" w:rsidP="006D221C">
      <w:pPr>
        <w:jc w:val="both"/>
      </w:pPr>
      <w:r w:rsidRPr="006D221C">
        <w:t>Le prestataire reconnaît être tenu à une obligation de conseil, de mise en garde et de recommandations</w:t>
      </w:r>
      <w:r>
        <w:t xml:space="preserve"> </w:t>
      </w:r>
      <w:r w:rsidRPr="006D221C">
        <w:t>en termes de sécurité et de mise à l’état de l’art.</w:t>
      </w:r>
    </w:p>
    <w:p w14:paraId="7E0B629E" w14:textId="20234D13" w:rsidR="009F1478" w:rsidRDefault="009F1478" w:rsidP="009F1478">
      <w:pPr>
        <w:rPr>
          <w:b/>
          <w:bCs/>
          <w:color w:val="002060"/>
        </w:rPr>
      </w:pPr>
      <w:r w:rsidRPr="009F1478">
        <w:rPr>
          <w:b/>
          <w:bCs/>
          <w:color w:val="002060"/>
        </w:rPr>
        <w:t>Les éléments de sécurité mis en œuvre seront détaillés dans un plan d’assurance sécurité (PAS)</w:t>
      </w:r>
      <w:r w:rsidR="00561256">
        <w:rPr>
          <w:b/>
          <w:bCs/>
          <w:color w:val="002060"/>
        </w:rPr>
        <w:t xml:space="preserve"> </w:t>
      </w:r>
      <w:r w:rsidRPr="009F1478">
        <w:rPr>
          <w:b/>
          <w:bCs/>
          <w:color w:val="002060"/>
        </w:rPr>
        <w:t>fourni par le soumissionnaire.</w:t>
      </w:r>
    </w:p>
    <w:p w14:paraId="24BB29C0" w14:textId="4F4CA8A0" w:rsidR="00AB408D" w:rsidRPr="009F1478" w:rsidRDefault="00AB408D" w:rsidP="009F1478">
      <w:pPr>
        <w:rPr>
          <w:b/>
          <w:bCs/>
          <w:color w:val="002060"/>
        </w:rPr>
      </w:pPr>
      <w:r>
        <w:rPr>
          <w:b/>
          <w:bCs/>
          <w:color w:val="002060"/>
        </w:rPr>
        <w:t>Un cadre de réponse est requis pour servir de repérage des éléments de justification de conformité dans le PAS fourni. Les références de type R.X.Y, renvoient à ce cadre de réponse.</w:t>
      </w:r>
    </w:p>
    <w:p w14:paraId="65D38B2D" w14:textId="763B487C" w:rsidR="00460F6A" w:rsidRPr="009F1478" w:rsidRDefault="00460F6A" w:rsidP="005A2AE9">
      <w:pPr>
        <w:pStyle w:val="Titre2"/>
        <w:numPr>
          <w:ilvl w:val="0"/>
          <w:numId w:val="13"/>
        </w:numPr>
        <w:rPr>
          <w:color w:val="002060"/>
        </w:rPr>
      </w:pPr>
      <w:r w:rsidRPr="009F1478">
        <w:rPr>
          <w:color w:val="002060"/>
        </w:rPr>
        <w:t>Identité numérique de l’U</w:t>
      </w:r>
      <w:r w:rsidR="00902A89" w:rsidRPr="009F1478">
        <w:rPr>
          <w:color w:val="002060"/>
        </w:rPr>
        <w:t>SN</w:t>
      </w:r>
    </w:p>
    <w:p w14:paraId="303435B4" w14:textId="330F0314" w:rsidR="00460F6A" w:rsidRDefault="00460F6A" w:rsidP="00460F6A">
      <w:r w:rsidRPr="00460F6A">
        <w:t>L’identité de l’</w:t>
      </w:r>
      <w:r w:rsidR="00902A89">
        <w:t xml:space="preserve">USN </w:t>
      </w:r>
      <w:r w:rsidRPr="00460F6A">
        <w:t xml:space="preserve">sur internet est affirmée au travers du nom de domaine </w:t>
      </w:r>
      <w:r w:rsidRPr="003E5C47">
        <w:t xml:space="preserve">(« DNS ») </w:t>
      </w:r>
      <w:r w:rsidRPr="00460F6A">
        <w:t>qui se traduit par des noms spécifiques attribués à chaque service sous la forme nom_service.</w:t>
      </w:r>
      <w:r w:rsidR="00902A89">
        <w:t>sorbonne-nouvelle.fr</w:t>
      </w:r>
    </w:p>
    <w:p w14:paraId="30264EB8" w14:textId="784DF218" w:rsidR="00902A89" w:rsidRDefault="00902A89" w:rsidP="00460F6A">
      <w:r>
        <w:t xml:space="preserve">Le fournisseur du service précisera </w:t>
      </w:r>
      <w:r w:rsidR="009F1478">
        <w:t xml:space="preserve">la nomenclature de nommage selon ce principe </w:t>
      </w:r>
      <w:r>
        <w:t>ou via une URL propre aux fournisseur (ex : sorbonne-nouvelle.editeur.fr)</w:t>
      </w:r>
      <w:r w:rsidR="00AB408D">
        <w:t xml:space="preserve"> </w:t>
      </w:r>
      <w:r w:rsidR="00AB408D" w:rsidRPr="00AB408D">
        <w:rPr>
          <w:b/>
          <w:bCs/>
          <w:color w:val="002060"/>
        </w:rPr>
        <w:t>(R.2.</w:t>
      </w:r>
      <w:r w:rsidR="00AB408D">
        <w:rPr>
          <w:b/>
          <w:bCs/>
          <w:color w:val="002060"/>
        </w:rPr>
        <w:t>1</w:t>
      </w:r>
      <w:r w:rsidR="00AB408D" w:rsidRPr="00AB408D">
        <w:rPr>
          <w:b/>
          <w:bCs/>
          <w:color w:val="002060"/>
        </w:rPr>
        <w:t>)</w:t>
      </w:r>
    </w:p>
    <w:p w14:paraId="3CDDC87D" w14:textId="2A89894A" w:rsidR="00B9419C" w:rsidRPr="009F1478" w:rsidRDefault="00472408" w:rsidP="005A2AE9">
      <w:pPr>
        <w:pStyle w:val="Titre2"/>
        <w:numPr>
          <w:ilvl w:val="0"/>
          <w:numId w:val="13"/>
        </w:numPr>
        <w:rPr>
          <w:color w:val="002060"/>
        </w:rPr>
      </w:pPr>
      <w:r w:rsidRPr="009F1478">
        <w:rPr>
          <w:color w:val="002060"/>
        </w:rPr>
        <w:t>Compatibilité avec les navigateurs Web</w:t>
      </w:r>
    </w:p>
    <w:p w14:paraId="0D72F718" w14:textId="75A74946" w:rsidR="00AB408D" w:rsidRDefault="009F1478" w:rsidP="009F1478">
      <w:r>
        <w:t>Le service devra être compatible avec les navigateurs courants du marché (ordinateurs et mobiles) dans leur version stable à jour</w:t>
      </w:r>
      <w:r w:rsidR="00AB408D">
        <w:t xml:space="preserve"> (à minima :</w:t>
      </w:r>
      <w:r w:rsidR="00AB408D" w:rsidRPr="00AB408D">
        <w:t xml:space="preserve"> </w:t>
      </w:r>
      <w:hyperlink r:id="rId8" w:history="1">
        <w:r w:rsidR="00AB408D" w:rsidRPr="006868EE">
          <w:rPr>
            <w:rStyle w:val="Lienhypertexte"/>
          </w:rPr>
          <w:t>https://gs.statcounter.com/</w:t>
        </w:r>
      </w:hyperlink>
      <w:r w:rsidR="00AB408D">
        <w:t xml:space="preserve"> ) </w:t>
      </w:r>
      <w:r>
        <w:t>. Des conditions particulières du CCTP peuvent s’appliquer en priorité.</w:t>
      </w:r>
      <w:r w:rsidR="00AB408D">
        <w:t xml:space="preserve"> </w:t>
      </w:r>
      <w:r w:rsidR="00AB408D" w:rsidRPr="00AB408D">
        <w:rPr>
          <w:b/>
          <w:bCs/>
          <w:color w:val="002060"/>
        </w:rPr>
        <w:t>(R.3.</w:t>
      </w:r>
      <w:r w:rsidR="00AB408D">
        <w:rPr>
          <w:b/>
          <w:bCs/>
          <w:color w:val="002060"/>
        </w:rPr>
        <w:t>1</w:t>
      </w:r>
      <w:r w:rsidR="00AB408D" w:rsidRPr="00AB408D">
        <w:rPr>
          <w:b/>
          <w:bCs/>
          <w:color w:val="002060"/>
        </w:rPr>
        <w:t>)</w:t>
      </w:r>
    </w:p>
    <w:p w14:paraId="105DEEB5" w14:textId="7874BF82" w:rsidR="00B9419C" w:rsidRPr="009F1478" w:rsidRDefault="00B9419C" w:rsidP="005A2AE9">
      <w:pPr>
        <w:pStyle w:val="Titre2"/>
        <w:numPr>
          <w:ilvl w:val="0"/>
          <w:numId w:val="13"/>
        </w:numPr>
        <w:rPr>
          <w:color w:val="002060"/>
        </w:rPr>
      </w:pPr>
      <w:r w:rsidRPr="009F1478">
        <w:rPr>
          <w:color w:val="002060"/>
        </w:rPr>
        <w:lastRenderedPageBreak/>
        <w:t xml:space="preserve">Gestion des authentifications </w:t>
      </w:r>
    </w:p>
    <w:p w14:paraId="0C96E6CA" w14:textId="12BA90EC" w:rsidR="009F1478" w:rsidRDefault="009F1478" w:rsidP="009F1478">
      <w:r>
        <w:t xml:space="preserve">L’authentification utilisateur doit reposer prioritairement sur le SSO de l’établissement : son serveur CAS </w:t>
      </w:r>
      <w:hyperlink r:id="rId9" w:history="1">
        <w:r w:rsidR="00AB408D" w:rsidRPr="006868EE">
          <w:rPr>
            <w:rStyle w:val="Lienhypertexte"/>
          </w:rPr>
          <w:t>https://cas.sorbonne-nouvelle.fr/</w:t>
        </w:r>
      </w:hyperlink>
      <w:r w:rsidR="00AB408D">
        <w:t xml:space="preserve"> , l’impossibilité d’utilisation doit être justifiée </w:t>
      </w:r>
      <w:r w:rsidR="00AB408D" w:rsidRPr="00AB408D">
        <w:rPr>
          <w:b/>
          <w:bCs/>
          <w:color w:val="002060"/>
        </w:rPr>
        <w:t>(R.4.</w:t>
      </w:r>
      <w:r w:rsidR="00AB408D">
        <w:rPr>
          <w:b/>
          <w:bCs/>
          <w:color w:val="002060"/>
        </w:rPr>
        <w:t>1</w:t>
      </w:r>
      <w:r w:rsidR="00AB408D" w:rsidRPr="00AB408D">
        <w:rPr>
          <w:b/>
          <w:bCs/>
          <w:color w:val="002060"/>
        </w:rPr>
        <w:t>)</w:t>
      </w:r>
      <w:r w:rsidR="00AB408D">
        <w:rPr>
          <w:color w:val="002060"/>
        </w:rPr>
        <w:t xml:space="preserve"> </w:t>
      </w:r>
      <w:r w:rsidR="00AB408D">
        <w:t>et est soumise à validation de l’établissement</w:t>
      </w:r>
      <w:r w:rsidR="00721BA2">
        <w:t>.</w:t>
      </w:r>
    </w:p>
    <w:p w14:paraId="14209313" w14:textId="0DA67AB8" w:rsidR="009F1478" w:rsidRDefault="009F1478" w:rsidP="009F1478">
      <w:r>
        <w:t xml:space="preserve">En cas d’authentification locale strictement </w:t>
      </w:r>
      <w:r w:rsidR="00AB408D">
        <w:t>nécessaire :</w:t>
      </w:r>
    </w:p>
    <w:p w14:paraId="40B70284" w14:textId="77777777" w:rsidR="009F1478" w:rsidRDefault="009F1478" w:rsidP="009F1478">
      <w:pPr>
        <w:numPr>
          <w:ilvl w:val="0"/>
          <w:numId w:val="38"/>
        </w:numPr>
        <w:suppressAutoHyphens/>
      </w:pPr>
      <w:r>
        <w:t>Un identifiant et mot de passe unique par utilisateur</w:t>
      </w:r>
    </w:p>
    <w:p w14:paraId="47E847C9" w14:textId="77777777" w:rsidR="009F1478" w:rsidRDefault="009F1478" w:rsidP="009F1478">
      <w:pPr>
        <w:numPr>
          <w:ilvl w:val="0"/>
          <w:numId w:val="38"/>
        </w:numPr>
        <w:suppressAutoHyphens/>
      </w:pPr>
      <w:r>
        <w:t>Complexité : au minimum de 12 caractères et comportant obligatoirement au moins un caractère spécial, un chiffre et une majuscule</w:t>
      </w:r>
    </w:p>
    <w:p w14:paraId="3516CEF3" w14:textId="77777777" w:rsidR="009F1478" w:rsidRDefault="009F1478" w:rsidP="009F1478">
      <w:pPr>
        <w:numPr>
          <w:ilvl w:val="0"/>
          <w:numId w:val="38"/>
        </w:numPr>
        <w:suppressAutoHyphens/>
      </w:pPr>
      <w:r>
        <w:t>L’utilisateur doit pouvoir modifier son mot de passe. La règle de complexité doit rester techniquement obligatoire</w:t>
      </w:r>
    </w:p>
    <w:p w14:paraId="175F483D" w14:textId="77777777" w:rsidR="00AB408D" w:rsidRDefault="00AB408D" w:rsidP="00AB408D">
      <w:r>
        <w:t>À fournir :</w:t>
      </w:r>
    </w:p>
    <w:p w14:paraId="1A2844FB" w14:textId="6B9E902D" w:rsidR="00AB408D" w:rsidRPr="00AB408D" w:rsidRDefault="00AB408D" w:rsidP="00AB408D">
      <w:pPr>
        <w:pStyle w:val="Paragraphedeliste"/>
        <w:numPr>
          <w:ilvl w:val="0"/>
          <w:numId w:val="37"/>
        </w:numPr>
        <w:suppressAutoHyphens/>
        <w:rPr>
          <w:color w:val="002060"/>
        </w:rPr>
      </w:pPr>
      <w:r>
        <w:t xml:space="preserve">La politique de complexité des mots de passe </w:t>
      </w:r>
      <w:r w:rsidRPr="00AB408D">
        <w:rPr>
          <w:b/>
          <w:bCs/>
          <w:color w:val="002060"/>
        </w:rPr>
        <w:t>(R.4.</w:t>
      </w:r>
      <w:r>
        <w:rPr>
          <w:b/>
          <w:bCs/>
          <w:color w:val="002060"/>
        </w:rPr>
        <w:t>2</w:t>
      </w:r>
      <w:r w:rsidRPr="00AB408D">
        <w:rPr>
          <w:b/>
          <w:bCs/>
          <w:color w:val="002060"/>
        </w:rPr>
        <w:t>)</w:t>
      </w:r>
    </w:p>
    <w:p w14:paraId="3D631D29" w14:textId="01992502" w:rsidR="00AB408D" w:rsidRDefault="00AB408D" w:rsidP="00AB408D">
      <w:pPr>
        <w:pStyle w:val="Paragraphedeliste"/>
        <w:numPr>
          <w:ilvl w:val="0"/>
          <w:numId w:val="37"/>
        </w:numPr>
        <w:suppressAutoHyphens/>
      </w:pPr>
      <w:r>
        <w:t>Les mesures de sécurité des jetons de session d’authentification, dont la durée de vie et le mécanisme relatif aux cookies</w:t>
      </w:r>
      <w:r w:rsidR="002B0F96">
        <w:t xml:space="preserve"> (ex : « Secure »</w:t>
      </w:r>
      <w:r>
        <w:t xml:space="preserve"> </w:t>
      </w:r>
      <w:r w:rsidR="002B0F96">
        <w:t>flag, Http-</w:t>
      </w:r>
      <w:proofErr w:type="spellStart"/>
      <w:r w:rsidR="002B0F96">
        <w:t>Only</w:t>
      </w:r>
      <w:proofErr w:type="spellEnd"/>
      <w:r w:rsidR="002B0F96">
        <w:t xml:space="preserve">, </w:t>
      </w:r>
      <w:proofErr w:type="spellStart"/>
      <w:r w:rsidR="002B0F96">
        <w:t>Same</w:t>
      </w:r>
      <w:proofErr w:type="spellEnd"/>
      <w:r w:rsidR="002B0F96">
        <w:t xml:space="preserve">-site, etc. ) </w:t>
      </w:r>
      <w:r w:rsidRPr="00AB408D">
        <w:rPr>
          <w:b/>
          <w:bCs/>
          <w:color w:val="002060"/>
        </w:rPr>
        <w:t>(R.4.</w:t>
      </w:r>
      <w:r>
        <w:rPr>
          <w:b/>
          <w:bCs/>
          <w:color w:val="002060"/>
        </w:rPr>
        <w:t>3</w:t>
      </w:r>
      <w:r w:rsidRPr="00AB408D">
        <w:rPr>
          <w:b/>
          <w:bCs/>
          <w:color w:val="002060"/>
        </w:rPr>
        <w:t>)</w:t>
      </w:r>
    </w:p>
    <w:p w14:paraId="1E627A70" w14:textId="2DDCAEB2" w:rsidR="00AB408D" w:rsidRDefault="00AB408D" w:rsidP="00AB408D">
      <w:pPr>
        <w:pStyle w:val="Paragraphedeliste"/>
        <w:numPr>
          <w:ilvl w:val="0"/>
          <w:numId w:val="37"/>
        </w:numPr>
        <w:suppressAutoHyphens/>
      </w:pPr>
      <w:r>
        <w:t xml:space="preserve">Les mesures de protections contre les attaques de type force brute sur les comptes utilisateurs locaux </w:t>
      </w:r>
      <w:r w:rsidRPr="00AB408D">
        <w:rPr>
          <w:b/>
          <w:bCs/>
          <w:color w:val="002060"/>
        </w:rPr>
        <w:t>(R.4.</w:t>
      </w:r>
      <w:r>
        <w:rPr>
          <w:b/>
          <w:bCs/>
          <w:color w:val="002060"/>
        </w:rPr>
        <w:t>4</w:t>
      </w:r>
      <w:r w:rsidRPr="00AB408D">
        <w:rPr>
          <w:b/>
          <w:bCs/>
          <w:color w:val="002060"/>
        </w:rPr>
        <w:t>)</w:t>
      </w:r>
    </w:p>
    <w:p w14:paraId="42FFCFE3" w14:textId="15E6E060" w:rsidR="00AB408D" w:rsidRDefault="00AB408D" w:rsidP="00AB408D">
      <w:pPr>
        <w:pStyle w:val="Paragraphedeliste"/>
        <w:numPr>
          <w:ilvl w:val="0"/>
          <w:numId w:val="37"/>
        </w:numPr>
        <w:suppressAutoHyphens/>
      </w:pPr>
      <w:r>
        <w:t xml:space="preserve">Les éventuelles règles d’obligations de changement régulier des mots de passe par les utilisateurs pour les comptes locaux </w:t>
      </w:r>
      <w:r w:rsidRPr="00AB408D">
        <w:rPr>
          <w:b/>
          <w:bCs/>
          <w:color w:val="002060"/>
        </w:rPr>
        <w:t>(R.4.</w:t>
      </w:r>
      <w:r>
        <w:rPr>
          <w:b/>
          <w:bCs/>
          <w:color w:val="002060"/>
        </w:rPr>
        <w:t>5</w:t>
      </w:r>
      <w:r w:rsidRPr="00AB408D">
        <w:rPr>
          <w:b/>
          <w:bCs/>
          <w:color w:val="002060"/>
        </w:rPr>
        <w:t>)</w:t>
      </w:r>
    </w:p>
    <w:p w14:paraId="6AD70FF4" w14:textId="41A12C6D" w:rsidR="00AB408D" w:rsidRDefault="00AB408D" w:rsidP="00AB408D">
      <w:pPr>
        <w:pStyle w:val="Paragraphedeliste"/>
        <w:numPr>
          <w:ilvl w:val="0"/>
          <w:numId w:val="37"/>
        </w:numPr>
        <w:suppressAutoHyphens/>
      </w:pPr>
      <w:r>
        <w:t xml:space="preserve">Eventuellement (ce n’est pas un prérequis strict sauf disposition réglementaire particulière) les solutions de renforcement de l’authentification disponibles (ex : MFA) pour les comptes locaux </w:t>
      </w:r>
      <w:r w:rsidRPr="00AB408D">
        <w:rPr>
          <w:b/>
          <w:bCs/>
          <w:color w:val="002060"/>
        </w:rPr>
        <w:t>(R.4.6)</w:t>
      </w:r>
    </w:p>
    <w:p w14:paraId="69017004" w14:textId="238E43DE" w:rsidR="00AB408D" w:rsidRPr="009F1478" w:rsidRDefault="00AB408D" w:rsidP="00AB408D">
      <w:pPr>
        <w:pStyle w:val="Titre2"/>
        <w:numPr>
          <w:ilvl w:val="0"/>
          <w:numId w:val="13"/>
        </w:numPr>
        <w:rPr>
          <w:color w:val="002060"/>
        </w:rPr>
      </w:pPr>
      <w:r w:rsidRPr="009F1478">
        <w:rPr>
          <w:color w:val="002060"/>
        </w:rPr>
        <w:t xml:space="preserve">Gestion des </w:t>
      </w:r>
      <w:r>
        <w:rPr>
          <w:color w:val="002060"/>
        </w:rPr>
        <w:t>privilèges</w:t>
      </w:r>
      <w:r w:rsidRPr="009F1478">
        <w:rPr>
          <w:color w:val="002060"/>
        </w:rPr>
        <w:t xml:space="preserve"> </w:t>
      </w:r>
    </w:p>
    <w:p w14:paraId="67C12AD3" w14:textId="033EC211" w:rsidR="009F1478" w:rsidRDefault="009F1478" w:rsidP="009F1478">
      <w:r>
        <w:t>Un système de contrôle d’accès basé sur des rôles permettant de différencier les privilèges des utilisateurs doit être détaillé</w:t>
      </w:r>
      <w:r w:rsidR="00AB408D">
        <w:t xml:space="preserve"> </w:t>
      </w:r>
      <w:r w:rsidR="00AB408D" w:rsidRPr="00AB408D">
        <w:rPr>
          <w:b/>
          <w:bCs/>
          <w:color w:val="002060"/>
        </w:rPr>
        <w:t>(R.5.</w:t>
      </w:r>
      <w:r w:rsidR="00A477B1">
        <w:rPr>
          <w:b/>
          <w:bCs/>
          <w:color w:val="002060"/>
        </w:rPr>
        <w:t>1</w:t>
      </w:r>
      <w:r w:rsidR="00AB408D" w:rsidRPr="00AB408D">
        <w:rPr>
          <w:b/>
          <w:bCs/>
          <w:color w:val="002060"/>
        </w:rPr>
        <w:t>)</w:t>
      </w:r>
      <w:r w:rsidRPr="00AB408D">
        <w:rPr>
          <w:b/>
          <w:bCs/>
        </w:rPr>
        <w:t>.</w:t>
      </w:r>
      <w:r>
        <w:t xml:space="preserve">  Le service doit permettre que tout utilisateur puisse se voir attribuer un niveau de privilèges personnalisable (ex : administrateur global, administrateur secondaire, utilisateur simple, etc.)</w:t>
      </w:r>
      <w:r w:rsidR="00AB408D">
        <w:t xml:space="preserve"> </w:t>
      </w:r>
    </w:p>
    <w:p w14:paraId="6AE0E2B2" w14:textId="13BE00FE" w:rsidR="0000339D" w:rsidRPr="00AB408D" w:rsidRDefault="00AB408D" w:rsidP="0000339D">
      <w:pPr>
        <w:pStyle w:val="Titre2"/>
        <w:numPr>
          <w:ilvl w:val="0"/>
          <w:numId w:val="13"/>
        </w:numPr>
        <w:rPr>
          <w:color w:val="002060"/>
        </w:rPr>
      </w:pPr>
      <w:r w:rsidRPr="00AB408D">
        <w:rPr>
          <w:color w:val="002060"/>
        </w:rPr>
        <w:t>Intégration</w:t>
      </w:r>
      <w:r w:rsidR="0000339D" w:rsidRPr="00AB408D">
        <w:rPr>
          <w:color w:val="002060"/>
        </w:rPr>
        <w:t xml:space="preserve"> avec le SI interne de l’USN</w:t>
      </w:r>
      <w:r w:rsidR="006D221C">
        <w:rPr>
          <w:color w:val="002060"/>
        </w:rPr>
        <w:t xml:space="preserve"> et d’autres API</w:t>
      </w:r>
      <w:r w:rsidR="00561256">
        <w:rPr>
          <w:color w:val="002060"/>
        </w:rPr>
        <w:t xml:space="preserve"> tierces</w:t>
      </w:r>
    </w:p>
    <w:p w14:paraId="37E0A45C" w14:textId="796450CF" w:rsidR="00AB408D" w:rsidRDefault="00AB408D" w:rsidP="00AB408D">
      <w:r>
        <w:t>Au cas où le service aurait nécessité d’être interconnecté avec le système d’information de l’établissement, fournir :</w:t>
      </w:r>
    </w:p>
    <w:p w14:paraId="400E3EE7" w14:textId="68B97674" w:rsidR="00AB408D" w:rsidRPr="006D221C" w:rsidRDefault="00AB408D" w:rsidP="00AB408D">
      <w:pPr>
        <w:pStyle w:val="Paragraphedeliste"/>
        <w:numPr>
          <w:ilvl w:val="0"/>
          <w:numId w:val="39"/>
        </w:numPr>
        <w:suppressAutoHyphens/>
      </w:pPr>
      <w:r>
        <w:t xml:space="preserve">La liste </w:t>
      </w:r>
      <w:r w:rsidR="008F0066">
        <w:t xml:space="preserve">et les détails </w:t>
      </w:r>
      <w:r>
        <w:t xml:space="preserve">des interactions réseau avec le système d’information interne de l’USN (ex : accès interne à des API ou nécessité de connexion depuis des éléments du SI de l’USN vers le service). </w:t>
      </w:r>
      <w:r w:rsidRPr="006D221C">
        <w:rPr>
          <w:b/>
          <w:bCs/>
          <w:color w:val="002060"/>
        </w:rPr>
        <w:t>(R.6.1)</w:t>
      </w:r>
    </w:p>
    <w:p w14:paraId="4E8BDFDB" w14:textId="7C170FB5" w:rsidR="006D221C" w:rsidRDefault="006D221C" w:rsidP="00AB408D">
      <w:pPr>
        <w:pStyle w:val="Paragraphedeliste"/>
        <w:numPr>
          <w:ilvl w:val="0"/>
          <w:numId w:val="39"/>
        </w:numPr>
        <w:suppressAutoHyphens/>
      </w:pPr>
      <w:r w:rsidRPr="006D221C">
        <w:t xml:space="preserve">Les dispositifs de sécurisation d’accès </w:t>
      </w:r>
      <w:r w:rsidR="009F298C">
        <w:t xml:space="preserve">aux API USN et aux </w:t>
      </w:r>
      <w:r w:rsidRPr="006D221C">
        <w:t>API tierces</w:t>
      </w:r>
      <w:r>
        <w:rPr>
          <w:b/>
          <w:bCs/>
          <w:color w:val="002060"/>
        </w:rPr>
        <w:t xml:space="preserve"> (R.6.</w:t>
      </w:r>
      <w:r w:rsidR="009F298C">
        <w:rPr>
          <w:b/>
          <w:bCs/>
          <w:color w:val="002060"/>
        </w:rPr>
        <w:t>2</w:t>
      </w:r>
      <w:r>
        <w:rPr>
          <w:b/>
          <w:bCs/>
          <w:color w:val="002060"/>
        </w:rPr>
        <w:t>)</w:t>
      </w:r>
      <w:r w:rsidR="00721BA2">
        <w:rPr>
          <w:b/>
          <w:bCs/>
          <w:color w:val="002060"/>
        </w:rPr>
        <w:t xml:space="preserve">. </w:t>
      </w:r>
      <w:r w:rsidR="00721BA2" w:rsidRPr="00721BA2">
        <w:t xml:space="preserve">L’ouverture des API de l’USN sera soumise à validation préalable par la DNUM </w:t>
      </w:r>
      <w:r w:rsidR="00721BA2">
        <w:t>et sera notamment en fonctions des possibilités de sécurisations présentées.</w:t>
      </w:r>
    </w:p>
    <w:p w14:paraId="5A791841" w14:textId="77777777" w:rsidR="009F1478" w:rsidRPr="00AB408D" w:rsidRDefault="009F1478" w:rsidP="009F1478">
      <w:pPr>
        <w:pStyle w:val="Titre2"/>
        <w:numPr>
          <w:ilvl w:val="0"/>
          <w:numId w:val="13"/>
        </w:numPr>
        <w:rPr>
          <w:color w:val="002060"/>
        </w:rPr>
      </w:pPr>
      <w:r w:rsidRPr="00AB408D">
        <w:rPr>
          <w:color w:val="002060"/>
        </w:rPr>
        <w:t>Envoi de courriels</w:t>
      </w:r>
    </w:p>
    <w:p w14:paraId="72A45299" w14:textId="74D48F7C" w:rsidR="009F1478" w:rsidRDefault="009F1478" w:rsidP="009F1478">
      <w:r>
        <w:t>Dans le cas d’envois de courriels par le service</w:t>
      </w:r>
      <w:r w:rsidR="009F298C">
        <w:t xml:space="preserve"> avec comme émetteur des adresses @sorbonne-nouvelle.fr</w:t>
      </w:r>
      <w:r>
        <w:t xml:space="preserve">, l’architecture cible </w:t>
      </w:r>
      <w:r w:rsidR="00AB408D">
        <w:t xml:space="preserve">proposée </w:t>
      </w:r>
      <w:r w:rsidR="00AB408D" w:rsidRPr="00AB408D">
        <w:rPr>
          <w:b/>
          <w:bCs/>
          <w:color w:val="002060"/>
        </w:rPr>
        <w:t>(R.</w:t>
      </w:r>
      <w:r w:rsidR="00AB408D">
        <w:rPr>
          <w:b/>
          <w:bCs/>
          <w:color w:val="002060"/>
        </w:rPr>
        <w:t>7</w:t>
      </w:r>
      <w:r w:rsidR="00AB408D" w:rsidRPr="00AB408D">
        <w:rPr>
          <w:b/>
          <w:bCs/>
          <w:color w:val="002060"/>
        </w:rPr>
        <w:t>.</w:t>
      </w:r>
      <w:r w:rsidR="00AB408D">
        <w:rPr>
          <w:b/>
          <w:bCs/>
          <w:color w:val="002060"/>
        </w:rPr>
        <w:t>1</w:t>
      </w:r>
      <w:r w:rsidR="00AB408D" w:rsidRPr="00AB408D">
        <w:rPr>
          <w:b/>
          <w:bCs/>
          <w:color w:val="002060"/>
        </w:rPr>
        <w:t>)</w:t>
      </w:r>
      <w:r w:rsidR="00AB408D">
        <w:rPr>
          <w:b/>
          <w:bCs/>
          <w:color w:val="002060"/>
        </w:rPr>
        <w:t xml:space="preserve"> </w:t>
      </w:r>
      <w:r>
        <w:t xml:space="preserve">devra être validée au préalable par l’USN pour conformité avec sa politique (serveurs d’envois, SPF/DKIM, </w:t>
      </w:r>
      <w:proofErr w:type="spellStart"/>
      <w:r>
        <w:t>etc</w:t>
      </w:r>
      <w:proofErr w:type="spellEnd"/>
      <w:r>
        <w:t>).</w:t>
      </w:r>
    </w:p>
    <w:p w14:paraId="76546276" w14:textId="220CA191" w:rsidR="009F1478" w:rsidRDefault="009F1478" w:rsidP="009F1478">
      <w:r>
        <w:lastRenderedPageBreak/>
        <w:t>Aucune demande d’ajout d’enregistrement au DNS de l’USN ne sera acceptée par défaut sans cela.</w:t>
      </w:r>
    </w:p>
    <w:p w14:paraId="0014F605" w14:textId="31DABE5F" w:rsidR="001766E8" w:rsidRPr="00AB408D" w:rsidRDefault="005A2AE9" w:rsidP="005A2AE9">
      <w:pPr>
        <w:pStyle w:val="Titre2"/>
        <w:numPr>
          <w:ilvl w:val="0"/>
          <w:numId w:val="13"/>
        </w:numPr>
        <w:rPr>
          <w:color w:val="002060"/>
        </w:rPr>
      </w:pPr>
      <w:r w:rsidRPr="00AB408D">
        <w:rPr>
          <w:color w:val="002060"/>
        </w:rPr>
        <w:t>S</w:t>
      </w:r>
      <w:r w:rsidR="001766E8" w:rsidRPr="00AB408D">
        <w:rPr>
          <w:color w:val="002060"/>
        </w:rPr>
        <w:t>écurité des données en transit</w:t>
      </w:r>
    </w:p>
    <w:p w14:paraId="1FCA68F1" w14:textId="36CCEE8E" w:rsidR="003E5C47" w:rsidRDefault="00540D9E" w:rsidP="003E5C47">
      <w:r>
        <w:t>Les données échangées entre l’utilisateur et le service doit être chiffré en HTTPS.</w:t>
      </w:r>
      <w:r w:rsidR="003E5C47" w:rsidRPr="003E5C47">
        <w:t xml:space="preserve"> </w:t>
      </w:r>
      <w:r w:rsidR="003E5C47">
        <w:t>L</w:t>
      </w:r>
      <w:r w:rsidR="003E5C47" w:rsidRPr="00460F6A">
        <w:t xml:space="preserve">e certificat délivré est reconnu par </w:t>
      </w:r>
      <w:r w:rsidR="003E5C47">
        <w:t xml:space="preserve">une </w:t>
      </w:r>
      <w:r w:rsidR="003E5C47" w:rsidRPr="00460F6A">
        <w:t>autorité de certification</w:t>
      </w:r>
      <w:r w:rsidR="00B33258">
        <w:t xml:space="preserve"> reconnue</w:t>
      </w:r>
      <w:r w:rsidR="003E5C47">
        <w:t>.</w:t>
      </w:r>
      <w:r w:rsidR="00AB408D">
        <w:t xml:space="preserve"> </w:t>
      </w:r>
    </w:p>
    <w:p w14:paraId="1D6A7EF5" w14:textId="73880F78" w:rsidR="00AB408D" w:rsidRDefault="00540D9E" w:rsidP="00AB408D">
      <w:r>
        <w:t xml:space="preserve">Le niveau minimum du chiffrement est TLS v 1.2 </w:t>
      </w:r>
      <w:r w:rsidR="00AB408D">
        <w:t>avec activation de la politique HSTS.</w:t>
      </w:r>
      <w:r w:rsidR="00F738C1">
        <w:t xml:space="preserve"> </w:t>
      </w:r>
      <w:r w:rsidR="00B33258">
        <w:t>La configuration du HTTPS devra correspondre au minimum au niveau « </w:t>
      </w:r>
      <w:proofErr w:type="spellStart"/>
      <w:r w:rsidR="00B33258">
        <w:t>Intermediate</w:t>
      </w:r>
      <w:proofErr w:type="spellEnd"/>
      <w:r w:rsidR="00B33258">
        <w:t xml:space="preserve"> » de </w:t>
      </w:r>
      <w:hyperlink r:id="rId10" w:history="1">
        <w:r w:rsidR="00B33258" w:rsidRPr="00B33258">
          <w:rPr>
            <w:rStyle w:val="Lienhypertexte"/>
          </w:rPr>
          <w:t xml:space="preserve">https://ssl-config.mozilla.org/ </w:t>
        </w:r>
      </w:hyperlink>
      <w:r w:rsidR="00B33258">
        <w:t xml:space="preserve"> </w:t>
      </w:r>
      <w:r w:rsidR="00F738C1" w:rsidRPr="00AB408D">
        <w:rPr>
          <w:b/>
          <w:bCs/>
          <w:color w:val="002060"/>
        </w:rPr>
        <w:t>(R.</w:t>
      </w:r>
      <w:r w:rsidR="00F738C1">
        <w:rPr>
          <w:b/>
          <w:bCs/>
          <w:color w:val="002060"/>
        </w:rPr>
        <w:t>8</w:t>
      </w:r>
      <w:r w:rsidR="00F738C1" w:rsidRPr="00AB408D">
        <w:rPr>
          <w:b/>
          <w:bCs/>
          <w:color w:val="002060"/>
        </w:rPr>
        <w:t>.</w:t>
      </w:r>
      <w:r w:rsidR="00F738C1">
        <w:rPr>
          <w:b/>
          <w:bCs/>
          <w:color w:val="002060"/>
        </w:rPr>
        <w:t>1</w:t>
      </w:r>
      <w:r w:rsidR="00F738C1" w:rsidRPr="00AB408D">
        <w:rPr>
          <w:b/>
          <w:bCs/>
          <w:color w:val="002060"/>
        </w:rPr>
        <w:t>)</w:t>
      </w:r>
    </w:p>
    <w:p w14:paraId="009152F8" w14:textId="62DEB8D8" w:rsidR="00B33258" w:rsidRDefault="00B33258" w:rsidP="00AB408D">
      <w:r>
        <w:t xml:space="preserve">Dans le cas de l’utilisation du protocole ACME, la préconisation de l’ANSSI </w:t>
      </w:r>
      <w:hyperlink r:id="rId11" w:history="1">
        <w:r w:rsidRPr="006868EE">
          <w:rPr>
            <w:rStyle w:val="Lienhypertexte"/>
          </w:rPr>
          <w:t>https://cyber.gouv.fr/publications/automatisation-de-la-gestion-des-certificats-avec-acme</w:t>
        </w:r>
      </w:hyperlink>
      <w:r>
        <w:t xml:space="preserve"> devra être appliquée.</w:t>
      </w:r>
    </w:p>
    <w:p w14:paraId="6A78F114" w14:textId="77777777" w:rsidR="00F738C1" w:rsidRDefault="00F738C1" w:rsidP="00F738C1">
      <w:r>
        <w:t xml:space="preserve">Dans le respect du bon fonctionnement du service, l’USN sera susceptible d’exiger, à son appréciation, le renforcement de la configuration en cas de score de sécurité jugé trop bas selon des outils de diagnostic de type </w:t>
      </w:r>
      <w:r>
        <w:rPr>
          <w:rStyle w:val="LienInternet"/>
        </w:rPr>
        <w:t>https://www.ssllabs.com/ssltest</w:t>
      </w:r>
      <w:r>
        <w:t xml:space="preserve"> ou équivalent.</w:t>
      </w:r>
    </w:p>
    <w:p w14:paraId="6D0F27DE" w14:textId="1342BEFB" w:rsidR="00283800" w:rsidRPr="00F738C1" w:rsidRDefault="00283800" w:rsidP="005A2AE9">
      <w:pPr>
        <w:pStyle w:val="Titre2"/>
        <w:numPr>
          <w:ilvl w:val="0"/>
          <w:numId w:val="13"/>
        </w:numPr>
        <w:rPr>
          <w:color w:val="002060"/>
        </w:rPr>
      </w:pPr>
      <w:r w:rsidRPr="00F738C1">
        <w:rPr>
          <w:color w:val="002060"/>
        </w:rPr>
        <w:t>Sécurité des données au repos</w:t>
      </w:r>
    </w:p>
    <w:p w14:paraId="7FD5A052" w14:textId="77777777" w:rsidR="00F738C1" w:rsidRDefault="00F738C1" w:rsidP="00F738C1">
      <w:r>
        <w:t>Les mots de passe utilisateur ne doivent pas figurer en clair, y compris dans une base de données ou le code en ligne.</w:t>
      </w:r>
    </w:p>
    <w:p w14:paraId="41745DA1" w14:textId="77777777" w:rsidR="00F738C1" w:rsidRDefault="00F738C1" w:rsidP="00F738C1">
      <w:r>
        <w:t>À fournir :</w:t>
      </w:r>
    </w:p>
    <w:p w14:paraId="2854407C" w14:textId="78D48F5D" w:rsidR="00F738C1" w:rsidRDefault="00F738C1" w:rsidP="00F738C1">
      <w:pPr>
        <w:pStyle w:val="Paragraphedeliste"/>
        <w:numPr>
          <w:ilvl w:val="0"/>
          <w:numId w:val="30"/>
        </w:numPr>
      </w:pPr>
      <w:r>
        <w:t xml:space="preserve">Les méthodes de protection de la sécurité des données utilisateurs </w:t>
      </w:r>
      <w:r w:rsidR="00E81498">
        <w:t xml:space="preserve">et sensibles </w:t>
      </w:r>
      <w:r>
        <w:t xml:space="preserve">au repos des mises en œuvre (ex : méthode de </w:t>
      </w:r>
      <w:proofErr w:type="spellStart"/>
      <w:r w:rsidR="00E81498">
        <w:t>hashage</w:t>
      </w:r>
      <w:proofErr w:type="spellEnd"/>
      <w:r>
        <w:t xml:space="preserve"> AES-256 des mots de passe et des données à caractère personnelles en base de données, pseudonymisation), y compris concernant les sauvegardes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9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1</w:t>
      </w:r>
      <w:r w:rsidRPr="00AB408D">
        <w:rPr>
          <w:b/>
          <w:bCs/>
          <w:color w:val="002060"/>
        </w:rPr>
        <w:t>)</w:t>
      </w:r>
    </w:p>
    <w:p w14:paraId="263808AE" w14:textId="422ED255" w:rsidR="00460F6A" w:rsidRPr="00F738C1" w:rsidRDefault="00460F6A" w:rsidP="005A2AE9">
      <w:pPr>
        <w:pStyle w:val="Titre2"/>
        <w:numPr>
          <w:ilvl w:val="0"/>
          <w:numId w:val="13"/>
        </w:numPr>
        <w:rPr>
          <w:color w:val="002060"/>
        </w:rPr>
      </w:pPr>
      <w:r w:rsidRPr="00F738C1">
        <w:rPr>
          <w:color w:val="002060"/>
        </w:rPr>
        <w:t xml:space="preserve">Hébergement </w:t>
      </w:r>
    </w:p>
    <w:p w14:paraId="1CCE3AD8" w14:textId="626BC95D" w:rsidR="00F738C1" w:rsidRDefault="00F738C1" w:rsidP="00F738C1">
      <w:r>
        <w:t xml:space="preserve">L’hébergement du service doit être effectué dans un datacenter au </w:t>
      </w:r>
      <w:r w:rsidR="00B33258">
        <w:t>minimum « </w:t>
      </w:r>
      <w:r>
        <w:t>Tiers 3</w:t>
      </w:r>
      <w:r w:rsidR="00B33258">
        <w:t> »</w:t>
      </w:r>
      <w:r>
        <w:t xml:space="preserve">, dont le niveau de service comprend (y compris pour les sauvegardes) : </w:t>
      </w:r>
    </w:p>
    <w:p w14:paraId="0C311396" w14:textId="37A20717" w:rsidR="00F738C1" w:rsidRDefault="00F738C1" w:rsidP="00F738C1">
      <w:r>
        <w:t xml:space="preserve">Les mesures de protection </w:t>
      </w:r>
      <w:r w:rsidR="008227E2">
        <w:t>contre les incidents e</w:t>
      </w:r>
      <w:r>
        <w:t>nvironnementa</w:t>
      </w:r>
      <w:r w:rsidR="008227E2">
        <w:t xml:space="preserve">ux : </w:t>
      </w:r>
      <w:r>
        <w:t xml:space="preserve"> incendies, inondations, coupures et surcharges électriques, </w:t>
      </w:r>
      <w:r w:rsidR="008227E2">
        <w:t xml:space="preserve">et </w:t>
      </w:r>
      <w:r>
        <w:t>la régulation thermique, la climatisation et la gestion de l'humidité</w:t>
      </w:r>
      <w:r w:rsidR="008227E2">
        <w:t xml:space="preserve"> ainsi que celles contre les intrusions physiques de tiers extérieurs,</w:t>
      </w:r>
    </w:p>
    <w:p w14:paraId="51C9145E" w14:textId="77777777" w:rsidR="00F738C1" w:rsidRDefault="00F738C1" w:rsidP="00F738C1">
      <w:r>
        <w:t>En cas d’hébergement chez un sous-traitant. Les niveaux de service contractuels applicables doivent être fournis.</w:t>
      </w:r>
    </w:p>
    <w:p w14:paraId="0C05CC79" w14:textId="77777777" w:rsidR="00F738C1" w:rsidRDefault="00F738C1" w:rsidP="00F738C1">
      <w:r>
        <w:t>À fournir :</w:t>
      </w:r>
    </w:p>
    <w:p w14:paraId="6415BBCA" w14:textId="37C1B8CB" w:rsidR="00E81498" w:rsidRDefault="00E81498" w:rsidP="00E81498">
      <w:pPr>
        <w:pStyle w:val="Paragraphedeliste"/>
        <w:numPr>
          <w:ilvl w:val="0"/>
          <w:numId w:val="42"/>
        </w:numPr>
        <w:suppressAutoHyphens/>
      </w:pPr>
      <w:r>
        <w:t xml:space="preserve">Les certifications (ex : ISO 27001) et labellisations (ex : Tiers 3) de l’hébergeur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10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1</w:t>
      </w:r>
      <w:r w:rsidRPr="00AB408D">
        <w:rPr>
          <w:b/>
          <w:bCs/>
          <w:color w:val="002060"/>
        </w:rPr>
        <w:t>)</w:t>
      </w:r>
    </w:p>
    <w:p w14:paraId="3DC74D32" w14:textId="4D0929A4" w:rsidR="00F738C1" w:rsidRPr="00F738C1" w:rsidRDefault="00F738C1" w:rsidP="00F738C1">
      <w:pPr>
        <w:pStyle w:val="Paragraphedeliste"/>
        <w:numPr>
          <w:ilvl w:val="0"/>
          <w:numId w:val="42"/>
        </w:numPr>
        <w:suppressAutoHyphens/>
      </w:pPr>
      <w:r>
        <w:t xml:space="preserve">Les mesures protections </w:t>
      </w:r>
      <w:r w:rsidR="008227E2">
        <w:t>contre les incidents environnementaux (</w:t>
      </w:r>
      <w:r>
        <w:t xml:space="preserve">cf. plus haut)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10</w:t>
      </w:r>
      <w:r w:rsidRPr="00AB408D">
        <w:rPr>
          <w:b/>
          <w:bCs/>
          <w:color w:val="002060"/>
        </w:rPr>
        <w:t>.</w:t>
      </w:r>
      <w:r w:rsidR="00E81498">
        <w:rPr>
          <w:b/>
          <w:bCs/>
          <w:color w:val="002060"/>
        </w:rPr>
        <w:t>2</w:t>
      </w:r>
      <w:r w:rsidRPr="00AB408D">
        <w:rPr>
          <w:b/>
          <w:bCs/>
          <w:color w:val="002060"/>
        </w:rPr>
        <w:t>)</w:t>
      </w:r>
    </w:p>
    <w:p w14:paraId="7BB1CB1D" w14:textId="7D141856" w:rsidR="00F738C1" w:rsidRPr="00F738C1" w:rsidRDefault="00F738C1" w:rsidP="00F738C1">
      <w:pPr>
        <w:pStyle w:val="Paragraphedeliste"/>
        <w:numPr>
          <w:ilvl w:val="0"/>
          <w:numId w:val="42"/>
        </w:numPr>
        <w:suppressAutoHyphens/>
      </w:pPr>
      <w:r>
        <w:t xml:space="preserve">Les mesures de protection des accès physiques aux serveurs (ex : habilitation par badges restreignant l’accès aux locaux)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10</w:t>
      </w:r>
      <w:r w:rsidRPr="00AB408D">
        <w:rPr>
          <w:b/>
          <w:bCs/>
          <w:color w:val="002060"/>
        </w:rPr>
        <w:t>.</w:t>
      </w:r>
      <w:r w:rsidR="00E81498">
        <w:rPr>
          <w:b/>
          <w:bCs/>
          <w:color w:val="002060"/>
        </w:rPr>
        <w:t>3</w:t>
      </w:r>
      <w:r w:rsidRPr="00AB408D">
        <w:rPr>
          <w:b/>
          <w:bCs/>
          <w:color w:val="002060"/>
        </w:rPr>
        <w:t>)</w:t>
      </w:r>
    </w:p>
    <w:p w14:paraId="786FC61A" w14:textId="5CE60AA2" w:rsidR="00F738C1" w:rsidRDefault="00F738C1" w:rsidP="00F738C1">
      <w:pPr>
        <w:pStyle w:val="Paragraphedeliste"/>
        <w:numPr>
          <w:ilvl w:val="0"/>
          <w:numId w:val="41"/>
        </w:numPr>
        <w:suppressAutoHyphens/>
      </w:pPr>
      <w:r>
        <w:t xml:space="preserve">Les éventuelles autres méthodes de </w:t>
      </w:r>
      <w:r w:rsidR="00351A68">
        <w:t>résilience</w:t>
      </w:r>
      <w:r>
        <w:t xml:space="preserve"> de l’infrastructure déployée chez l’hébergeur (ex : Infrastructure-as-a-code)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10</w:t>
      </w:r>
      <w:r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4</w:t>
      </w:r>
      <w:r w:rsidRPr="00AB408D">
        <w:rPr>
          <w:b/>
          <w:bCs/>
          <w:color w:val="002060"/>
        </w:rPr>
        <w:t>)</w:t>
      </w:r>
    </w:p>
    <w:p w14:paraId="730FD9CA" w14:textId="46A86078" w:rsidR="00F738C1" w:rsidRPr="00F738C1" w:rsidRDefault="00F738C1" w:rsidP="00F738C1">
      <w:pPr>
        <w:pStyle w:val="Paragraphedeliste"/>
        <w:numPr>
          <w:ilvl w:val="0"/>
          <w:numId w:val="41"/>
        </w:numPr>
        <w:suppressAutoHyphens/>
      </w:pPr>
      <w:r>
        <w:t>La méthode d’hébergement du service, y compris son cloisonnement</w:t>
      </w:r>
      <w:r w:rsidR="008227E2">
        <w:t xml:space="preserve"> logiques</w:t>
      </w:r>
      <w:r>
        <w:t xml:space="preserve"> (ex : Machine virtuelle dédiée ou partagée)</w:t>
      </w:r>
      <w:r w:rsidRPr="00F738C1">
        <w:rPr>
          <w:b/>
          <w:bCs/>
          <w:color w:val="002060"/>
        </w:rPr>
        <w:t xml:space="preserve">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10</w:t>
      </w:r>
      <w:r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5</w:t>
      </w:r>
      <w:r w:rsidRPr="00AB408D">
        <w:rPr>
          <w:b/>
          <w:bCs/>
          <w:color w:val="002060"/>
        </w:rPr>
        <w:t>)</w:t>
      </w:r>
    </w:p>
    <w:p w14:paraId="3E65F327" w14:textId="77777777" w:rsidR="00F738C1" w:rsidRDefault="00F738C1" w:rsidP="00F738C1">
      <w:pPr>
        <w:pStyle w:val="Paragraphedeliste"/>
        <w:suppressAutoHyphens/>
      </w:pPr>
    </w:p>
    <w:p w14:paraId="2A145F05" w14:textId="77777777" w:rsidR="00DF2540" w:rsidRDefault="00DF2540" w:rsidP="00DF2540">
      <w:r>
        <w:t>Dans le cas d’un hébergement par un sous-traitant dont le siège social est soumis à une juridiction en dehors de l’Union européenne, à préciser :</w:t>
      </w:r>
    </w:p>
    <w:p w14:paraId="6A8E1310" w14:textId="77777777" w:rsidR="00DF2540" w:rsidRDefault="00DF2540" w:rsidP="00DF2540">
      <w:pPr>
        <w:pStyle w:val="Paragraphedeliste"/>
        <w:numPr>
          <w:ilvl w:val="0"/>
          <w:numId w:val="40"/>
        </w:numPr>
        <w:suppressAutoHyphens/>
      </w:pPr>
      <w:r>
        <w:t>La localisation de la juridiction légale de cet hébergeur</w:t>
      </w:r>
    </w:p>
    <w:p w14:paraId="677E3B41" w14:textId="77777777" w:rsidR="00DF2540" w:rsidRDefault="00DF2540" w:rsidP="00DF2540">
      <w:pPr>
        <w:pStyle w:val="Paragraphedeliste"/>
        <w:numPr>
          <w:ilvl w:val="0"/>
          <w:numId w:val="40"/>
        </w:numPr>
        <w:suppressAutoHyphens/>
      </w:pPr>
      <w:r>
        <w:t>Les mesures de protection des données complémentaires en place (ex : chiffrement des stockages de données)</w:t>
      </w:r>
    </w:p>
    <w:p w14:paraId="70B422C6" w14:textId="77777777" w:rsidR="00DF2540" w:rsidRDefault="00DF2540" w:rsidP="00DF2540">
      <w:r>
        <w:t>En ce cas, une validation du Délégué à la Protection des Données de l’USN est un prérequis.</w:t>
      </w:r>
    </w:p>
    <w:p w14:paraId="42230E72" w14:textId="23754E96" w:rsidR="00F738C1" w:rsidRDefault="00F738C1" w:rsidP="00F738C1">
      <w:r>
        <w:t xml:space="preserve">Fournir :  </w:t>
      </w:r>
    </w:p>
    <w:p w14:paraId="55EE1330" w14:textId="5CA4612E" w:rsidR="00F738C1" w:rsidRDefault="00F738C1" w:rsidP="00F738C1">
      <w:pPr>
        <w:pStyle w:val="Paragraphedeliste"/>
        <w:numPr>
          <w:ilvl w:val="0"/>
          <w:numId w:val="40"/>
        </w:numPr>
        <w:suppressAutoHyphens/>
      </w:pPr>
      <w:r>
        <w:t xml:space="preserve">La localisation de la juridiction légale de cet hébergeur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10</w:t>
      </w:r>
      <w:r w:rsidRPr="00AB408D">
        <w:rPr>
          <w:b/>
          <w:bCs/>
          <w:color w:val="002060"/>
        </w:rPr>
        <w:t>.</w:t>
      </w:r>
      <w:r w:rsidR="008227E2">
        <w:rPr>
          <w:b/>
          <w:bCs/>
          <w:color w:val="002060"/>
        </w:rPr>
        <w:t>6</w:t>
      </w:r>
      <w:r w:rsidRPr="00AB408D">
        <w:rPr>
          <w:b/>
          <w:bCs/>
          <w:color w:val="002060"/>
        </w:rPr>
        <w:t>)</w:t>
      </w:r>
    </w:p>
    <w:p w14:paraId="6171BEEE" w14:textId="2A4664FE" w:rsidR="00BA5F83" w:rsidRPr="00351A68" w:rsidRDefault="00F01ABF" w:rsidP="00E400D6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S</w:t>
      </w:r>
      <w:r w:rsidR="00BA5F83" w:rsidRPr="00351A68">
        <w:rPr>
          <w:color w:val="002060"/>
        </w:rPr>
        <w:t>auvegardes</w:t>
      </w:r>
      <w:r w:rsidRPr="00351A68">
        <w:rPr>
          <w:color w:val="002060"/>
        </w:rPr>
        <w:t>, plan de continuité/reprise d’activité</w:t>
      </w:r>
    </w:p>
    <w:p w14:paraId="0882ED02" w14:textId="16269086" w:rsidR="00F01ABF" w:rsidRDefault="00E400D6" w:rsidP="00460F6A">
      <w:r>
        <w:t>D</w:t>
      </w:r>
      <w:r w:rsidR="00F01ABF">
        <w:t xml:space="preserve">es sauvegardes doivent prévenir une perte de donnée en cas de problèmes </w:t>
      </w:r>
      <w:r w:rsidR="00300A78">
        <w:t>d’intégrité</w:t>
      </w:r>
      <w:r w:rsidR="00F01ABF">
        <w:t>.</w:t>
      </w:r>
    </w:p>
    <w:p w14:paraId="31887FE3" w14:textId="2B329ECE" w:rsidR="00F23320" w:rsidRDefault="00F23320" w:rsidP="00F23320">
      <w:r>
        <w:t>La durée de rétention des sauvegardes doit être au minium de 2 semaines.</w:t>
      </w:r>
    </w:p>
    <w:p w14:paraId="4DF7F6E2" w14:textId="3445C73B" w:rsidR="00F23320" w:rsidRDefault="00F23320" w:rsidP="00F23320">
      <w:r>
        <w:t>La durée maximum de perte d’enregistrement des données acceptable : 24 heures</w:t>
      </w:r>
    </w:p>
    <w:p w14:paraId="498092A1" w14:textId="0609A362" w:rsidR="00F01ABF" w:rsidRDefault="00F01ABF" w:rsidP="00460F6A">
      <w:r>
        <w:t>Au moins un jeu de sauvegarde doit être stocké hors du site de production.</w:t>
      </w:r>
    </w:p>
    <w:p w14:paraId="29BEF1A5" w14:textId="26932518" w:rsidR="00F01ABF" w:rsidRDefault="00E400D6" w:rsidP="00460F6A">
      <w:r>
        <w:t>À</w:t>
      </w:r>
      <w:r w:rsidR="00F01ABF">
        <w:t xml:space="preserve"> </w:t>
      </w:r>
      <w:r>
        <w:t>détailler</w:t>
      </w:r>
      <w:r w:rsidR="00F01ABF">
        <w:t> :</w:t>
      </w:r>
    </w:p>
    <w:p w14:paraId="7E4712E2" w14:textId="3E918A28" w:rsidR="00F01ABF" w:rsidRDefault="00F01ABF" w:rsidP="00F01ABF">
      <w:pPr>
        <w:pStyle w:val="Paragraphedeliste"/>
        <w:numPr>
          <w:ilvl w:val="0"/>
          <w:numId w:val="3"/>
        </w:numPr>
      </w:pPr>
      <w:r>
        <w:t>La fréquence des sauvegardes (RPO)</w:t>
      </w:r>
      <w:r w:rsidR="00351A68">
        <w:t xml:space="preserve">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11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1</w:t>
      </w:r>
      <w:r w:rsidR="00351A68" w:rsidRPr="00351A68">
        <w:rPr>
          <w:b/>
          <w:bCs/>
          <w:color w:val="002060"/>
        </w:rPr>
        <w:t>)</w:t>
      </w:r>
      <w:r w:rsidR="00351A68" w:rsidRPr="00351A68">
        <w:t>, à minima quotidienne</w:t>
      </w:r>
    </w:p>
    <w:p w14:paraId="2D79BFCA" w14:textId="5208E448" w:rsidR="00F01ABF" w:rsidRDefault="00F01ABF" w:rsidP="00F01ABF">
      <w:pPr>
        <w:pStyle w:val="Paragraphedeliste"/>
        <w:numPr>
          <w:ilvl w:val="0"/>
          <w:numId w:val="3"/>
        </w:numPr>
      </w:pPr>
      <w:r>
        <w:t xml:space="preserve">Les </w:t>
      </w:r>
      <w:r w:rsidR="00351A68">
        <w:t xml:space="preserve">paliers de </w:t>
      </w:r>
      <w:r>
        <w:t>durées de rétention</w:t>
      </w:r>
      <w:r w:rsidR="00424DC5">
        <w:t xml:space="preserve"> (ex : hebdomadaires un mois, mensuelles un an)</w:t>
      </w:r>
      <w:r w:rsidR="00351A68">
        <w:t xml:space="preserve">, à minima de deux semaines pour les quotidiennes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11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2</w:t>
      </w:r>
      <w:r w:rsidR="00351A68" w:rsidRPr="00351A68">
        <w:rPr>
          <w:b/>
          <w:bCs/>
          <w:color w:val="002060"/>
        </w:rPr>
        <w:t>)</w:t>
      </w:r>
    </w:p>
    <w:p w14:paraId="5E2CD89B" w14:textId="70F50FBB" w:rsidR="00F01ABF" w:rsidRDefault="00F01ABF" w:rsidP="00F01ABF">
      <w:pPr>
        <w:pStyle w:val="Paragraphedeliste"/>
        <w:numPr>
          <w:ilvl w:val="0"/>
          <w:numId w:val="3"/>
        </w:numPr>
      </w:pPr>
      <w:r>
        <w:t xml:space="preserve">L’organisation des sauvegardes hors-site (ex : </w:t>
      </w:r>
      <w:r w:rsidR="003660D6">
        <w:t>3-2-1)</w:t>
      </w:r>
      <w:r w:rsidR="00351A68">
        <w:t xml:space="preserve">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11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3</w:t>
      </w:r>
      <w:r w:rsidR="00351A68" w:rsidRPr="00351A68">
        <w:rPr>
          <w:b/>
          <w:bCs/>
          <w:color w:val="002060"/>
        </w:rPr>
        <w:t>)</w:t>
      </w:r>
    </w:p>
    <w:p w14:paraId="47807946" w14:textId="498D0A49" w:rsidR="00283800" w:rsidRDefault="00283800" w:rsidP="00F01ABF">
      <w:pPr>
        <w:pStyle w:val="Paragraphedeliste"/>
        <w:numPr>
          <w:ilvl w:val="0"/>
          <w:numId w:val="3"/>
        </w:numPr>
      </w:pPr>
      <w:r>
        <w:t>L’utilisation</w:t>
      </w:r>
      <w:r w:rsidR="00351A68">
        <w:t>, le cas échéant</w:t>
      </w:r>
      <w:r>
        <w:t xml:space="preserve"> éventuelle d’un dispositif d’immutabilité</w:t>
      </w:r>
      <w:r w:rsidR="00351A68">
        <w:t xml:space="preserve"> de protection contre les rançongiciel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11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4</w:t>
      </w:r>
      <w:r w:rsidR="00351A68" w:rsidRPr="00351A68">
        <w:rPr>
          <w:b/>
          <w:bCs/>
          <w:color w:val="002060"/>
        </w:rPr>
        <w:t>)</w:t>
      </w:r>
    </w:p>
    <w:p w14:paraId="7F65D7E3" w14:textId="7C99309D" w:rsidR="001A0562" w:rsidRDefault="001A0562" w:rsidP="001A0562">
      <w:r>
        <w:t xml:space="preserve">Le plan de continuité ou de reprise d’activité du service éventuel pour garantir la </w:t>
      </w:r>
      <w:r w:rsidR="00387BFC">
        <w:t>résistance</w:t>
      </w:r>
      <w:r>
        <w:t xml:space="preserve"> aux sinistres </w:t>
      </w:r>
      <w:r w:rsidR="00424DC5">
        <w:t xml:space="preserve">graves </w:t>
      </w:r>
      <w:r>
        <w:t>doit être détaillé.</w:t>
      </w:r>
      <w:r w:rsidR="00351A68">
        <w:t xml:space="preserve">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11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5</w:t>
      </w:r>
      <w:r w:rsidR="00351A68" w:rsidRPr="00351A68">
        <w:rPr>
          <w:b/>
          <w:bCs/>
          <w:color w:val="002060"/>
        </w:rPr>
        <w:t>)</w:t>
      </w:r>
    </w:p>
    <w:p w14:paraId="53AFD009" w14:textId="72B258BF" w:rsidR="00B9419C" w:rsidRPr="00351A68" w:rsidRDefault="00B9419C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Sécurité du réseau</w:t>
      </w:r>
    </w:p>
    <w:p w14:paraId="17DA4DD1" w14:textId="4FCCD2F2" w:rsidR="00351A68" w:rsidRDefault="00351A68" w:rsidP="00351A68">
      <w:r>
        <w:t>L’accès réseau au serveur depuis Internet et au sein de l’hébergeur doit être sécurisé par :</w:t>
      </w:r>
    </w:p>
    <w:p w14:paraId="5C53B8DD" w14:textId="4BBC5632" w:rsidR="00351A68" w:rsidRDefault="00351A68" w:rsidP="00351A68">
      <w:pPr>
        <w:pStyle w:val="Paragraphedeliste"/>
        <w:numPr>
          <w:ilvl w:val="0"/>
          <w:numId w:val="44"/>
        </w:numPr>
      </w:pPr>
      <w:r>
        <w:t>Des éléments de sécurité réseau (ex : Pare-feu, segmentation de réseau, sondes de détections d’intrusion, protection DDoS, etc.) (</w:t>
      </w:r>
      <w:r w:rsidRPr="00351A68">
        <w:rPr>
          <w:b/>
          <w:bCs/>
          <w:color w:val="002060"/>
        </w:rPr>
        <w:t>R.12.1)</w:t>
      </w:r>
    </w:p>
    <w:p w14:paraId="12E7D6B9" w14:textId="68E65DCB" w:rsidR="00351A68" w:rsidRDefault="00351A68" w:rsidP="00351A68">
      <w:pPr>
        <w:pStyle w:val="Paragraphedeliste"/>
        <w:numPr>
          <w:ilvl w:val="0"/>
          <w:numId w:val="43"/>
        </w:numPr>
        <w:suppressAutoHyphens/>
      </w:pPr>
      <w:r>
        <w:t>La supervision active du service</w:t>
      </w:r>
      <w:r w:rsidR="008227E2">
        <w:t xml:space="preserve"> contre les événements anormaux</w:t>
      </w:r>
      <w:r>
        <w:t xml:space="preserve"> </w:t>
      </w:r>
      <w:r w:rsidRPr="00351A68">
        <w:rPr>
          <w:b/>
          <w:bCs/>
          <w:color w:val="002060"/>
        </w:rPr>
        <w:t>(R.12.1)</w:t>
      </w:r>
    </w:p>
    <w:p w14:paraId="632521EA" w14:textId="3BAF3EFD" w:rsidR="00351A68" w:rsidRDefault="00351A68" w:rsidP="00351A68">
      <w:pPr>
        <w:pStyle w:val="Paragraphedeliste"/>
        <w:numPr>
          <w:ilvl w:val="0"/>
          <w:numId w:val="43"/>
        </w:numPr>
        <w:suppressAutoHyphens/>
      </w:pPr>
      <w:r>
        <w:t xml:space="preserve">Les moyens d’accès à distance pour la télémaintenance (ex : VPN) </w:t>
      </w:r>
      <w:r w:rsidRPr="00351A68">
        <w:rPr>
          <w:b/>
          <w:bCs/>
          <w:color w:val="002060"/>
        </w:rPr>
        <w:t>(R.12.</w:t>
      </w:r>
      <w:r w:rsidR="008227E2">
        <w:rPr>
          <w:b/>
          <w:bCs/>
          <w:color w:val="002060"/>
        </w:rPr>
        <w:t>2</w:t>
      </w:r>
      <w:r w:rsidRPr="00351A68">
        <w:rPr>
          <w:b/>
          <w:bCs/>
          <w:color w:val="002060"/>
        </w:rPr>
        <w:t>)</w:t>
      </w:r>
    </w:p>
    <w:p w14:paraId="1320BE04" w14:textId="49C3FAB2" w:rsidR="00B9419C" w:rsidRPr="005A2AE9" w:rsidRDefault="00283800" w:rsidP="005A2AE9">
      <w:pPr>
        <w:pStyle w:val="Titre2"/>
        <w:numPr>
          <w:ilvl w:val="0"/>
          <w:numId w:val="13"/>
        </w:numPr>
      </w:pPr>
      <w:r w:rsidRPr="00351A68">
        <w:rPr>
          <w:color w:val="002060"/>
        </w:rPr>
        <w:t>D</w:t>
      </w:r>
      <w:r w:rsidR="00B9419C" w:rsidRPr="00351A68">
        <w:rPr>
          <w:color w:val="002060"/>
        </w:rPr>
        <w:t>isponibilité</w:t>
      </w:r>
    </w:p>
    <w:p w14:paraId="2BC5AE88" w14:textId="429F45C7" w:rsidR="00351A68" w:rsidRDefault="00351A68" w:rsidP="00351A68">
      <w:r>
        <w:t>Contractuellement l’application doit à minima avoir pour garantie un</w:t>
      </w:r>
      <w:r w:rsidR="00487E8D">
        <w:t xml:space="preserve"> taux disponibilité contractuel de 9,9%</w:t>
      </w:r>
      <w:r>
        <w:t xml:space="preserve"> annuel en jour et heure ouvrées (</w:t>
      </w:r>
      <w:r w:rsidRPr="00351A68">
        <w:rPr>
          <w:b/>
          <w:bCs/>
          <w:color w:val="002060"/>
        </w:rPr>
        <w:t>R.1</w:t>
      </w:r>
      <w:r>
        <w:rPr>
          <w:b/>
          <w:bCs/>
          <w:color w:val="002060"/>
        </w:rPr>
        <w:t>3</w:t>
      </w:r>
      <w:r w:rsidRPr="00351A68">
        <w:rPr>
          <w:b/>
          <w:bCs/>
          <w:color w:val="002060"/>
        </w:rPr>
        <w:t>.1)</w:t>
      </w:r>
    </w:p>
    <w:p w14:paraId="68F4DC4C" w14:textId="3098463B" w:rsidR="006D221C" w:rsidRDefault="006D221C" w:rsidP="00365462">
      <w:pPr>
        <w:pStyle w:val="Paragraphedeliste"/>
        <w:numPr>
          <w:ilvl w:val="0"/>
          <w:numId w:val="2"/>
        </w:numPr>
      </w:pPr>
      <w:r>
        <w:t xml:space="preserve">Le support doit être disponible par téléphone, mail ou système de ticket </w:t>
      </w:r>
      <w:r w:rsidRPr="00351A68">
        <w:rPr>
          <w:b/>
          <w:bCs/>
          <w:color w:val="002060"/>
        </w:rPr>
        <w:t>(R.1</w:t>
      </w:r>
      <w:r>
        <w:rPr>
          <w:b/>
          <w:bCs/>
          <w:color w:val="002060"/>
        </w:rPr>
        <w:t>3</w:t>
      </w:r>
      <w:r w:rsidRPr="00351A68">
        <w:rPr>
          <w:b/>
          <w:bCs/>
          <w:color w:val="002060"/>
        </w:rPr>
        <w:t>.</w:t>
      </w:r>
      <w:r>
        <w:rPr>
          <w:b/>
          <w:bCs/>
          <w:color w:val="002060"/>
        </w:rPr>
        <w:t>2</w:t>
      </w:r>
      <w:r w:rsidRPr="00351A68">
        <w:rPr>
          <w:b/>
          <w:bCs/>
          <w:color w:val="002060"/>
        </w:rPr>
        <w:t>)</w:t>
      </w:r>
    </w:p>
    <w:p w14:paraId="69319CEA" w14:textId="2D5821D1" w:rsidR="00387BFC" w:rsidRDefault="00387BFC" w:rsidP="00365462">
      <w:pPr>
        <w:pStyle w:val="Paragraphedeliste"/>
        <w:numPr>
          <w:ilvl w:val="0"/>
          <w:numId w:val="2"/>
        </w:numPr>
      </w:pPr>
      <w:r>
        <w:t xml:space="preserve">Les garanties contractuelles de taux d’intervention (GTI) et de rétablissement (GTR) sont </w:t>
      </w:r>
      <w:r w:rsidR="00351A68">
        <w:t>à fournir</w:t>
      </w:r>
      <w:r>
        <w:t>, selon le niveau d’incident (mineur, majeur critique)</w:t>
      </w:r>
      <w:r w:rsidR="00351A68">
        <w:t xml:space="preserve"> </w:t>
      </w:r>
      <w:r w:rsidR="00351A68" w:rsidRPr="00351A68">
        <w:rPr>
          <w:b/>
          <w:bCs/>
          <w:color w:val="002060"/>
        </w:rPr>
        <w:t>(R.1</w:t>
      </w:r>
      <w:r w:rsidR="00351A68">
        <w:rPr>
          <w:b/>
          <w:bCs/>
          <w:color w:val="002060"/>
        </w:rPr>
        <w:t>3</w:t>
      </w:r>
      <w:r w:rsidR="00351A68" w:rsidRPr="00351A68">
        <w:rPr>
          <w:b/>
          <w:bCs/>
          <w:color w:val="002060"/>
        </w:rPr>
        <w:t>.</w:t>
      </w:r>
      <w:r w:rsidR="006D221C">
        <w:rPr>
          <w:b/>
          <w:bCs/>
          <w:color w:val="002060"/>
        </w:rPr>
        <w:t>3</w:t>
      </w:r>
      <w:r w:rsidR="00351A68" w:rsidRPr="00351A68">
        <w:rPr>
          <w:b/>
          <w:bCs/>
          <w:color w:val="002060"/>
        </w:rPr>
        <w:t>)</w:t>
      </w:r>
    </w:p>
    <w:p w14:paraId="176441BA" w14:textId="4DA60CBC" w:rsidR="00351A68" w:rsidRDefault="00351A68" w:rsidP="00460F6A">
      <w:r>
        <w:t>Un</w:t>
      </w:r>
      <w:r w:rsidR="00387BFC">
        <w:t xml:space="preserve"> système de pénalités en cas de dépassement</w:t>
      </w:r>
      <w:r>
        <w:t xml:space="preserve"> doit être mis en œuvre </w:t>
      </w:r>
      <w:r w:rsidRPr="00351A68">
        <w:rPr>
          <w:b/>
          <w:bCs/>
          <w:color w:val="002060"/>
        </w:rPr>
        <w:t>(R.1</w:t>
      </w:r>
      <w:r>
        <w:rPr>
          <w:b/>
          <w:bCs/>
          <w:color w:val="002060"/>
        </w:rPr>
        <w:t>3</w:t>
      </w:r>
      <w:r w:rsidRPr="00351A68">
        <w:rPr>
          <w:b/>
          <w:bCs/>
          <w:color w:val="002060"/>
        </w:rPr>
        <w:t>.</w:t>
      </w:r>
      <w:r w:rsidR="006D221C">
        <w:rPr>
          <w:b/>
          <w:bCs/>
          <w:color w:val="002060"/>
        </w:rPr>
        <w:t>4</w:t>
      </w:r>
      <w:r w:rsidRPr="00351A68">
        <w:rPr>
          <w:b/>
          <w:bCs/>
          <w:color w:val="002060"/>
        </w:rPr>
        <w:t>)</w:t>
      </w:r>
    </w:p>
    <w:p w14:paraId="65535FF6" w14:textId="3CD61802" w:rsidR="00387BFC" w:rsidRDefault="00351A68" w:rsidP="00460F6A">
      <w:r>
        <w:t>D</w:t>
      </w:r>
      <w:r w:rsidR="00387BFC">
        <w:t xml:space="preserve">es dispositions particulières </w:t>
      </w:r>
      <w:r w:rsidR="00DF2540">
        <w:t xml:space="preserve">plus strictes </w:t>
      </w:r>
      <w:r>
        <w:t xml:space="preserve">peuvent </w:t>
      </w:r>
      <w:r w:rsidR="00387BFC">
        <w:t>figure</w:t>
      </w:r>
      <w:r>
        <w:t>r</w:t>
      </w:r>
      <w:r w:rsidR="00387BFC">
        <w:t xml:space="preserve"> dans le CCAP.</w:t>
      </w:r>
    </w:p>
    <w:p w14:paraId="0ACE174B" w14:textId="24A617FC" w:rsidR="00D32BC7" w:rsidRPr="00351A68" w:rsidRDefault="00D32BC7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Architecture de l’application</w:t>
      </w:r>
    </w:p>
    <w:p w14:paraId="22C6FEC1" w14:textId="0EE54115" w:rsidR="00F255C6" w:rsidRPr="00F255C6" w:rsidRDefault="00F255C6" w:rsidP="00F255C6">
      <w:r>
        <w:t>Les composants du service devront être à l’état de l’art et utilisant de composants reconnus sur le marché.</w:t>
      </w:r>
    </w:p>
    <w:p w14:paraId="520E4C8B" w14:textId="59BEE5ED" w:rsidR="00D32BC7" w:rsidRDefault="0081632D" w:rsidP="00F255C6">
      <w:pPr>
        <w:pStyle w:val="Paragraphedeliste"/>
        <w:ind w:left="360"/>
      </w:pPr>
      <w:r>
        <w:t xml:space="preserve">À </w:t>
      </w:r>
      <w:r w:rsidR="00351A68">
        <w:t>fournir</w:t>
      </w:r>
      <w:r>
        <w:t> </w:t>
      </w:r>
      <w:r w:rsidR="00351A68" w:rsidRPr="00351A68">
        <w:rPr>
          <w:b/>
          <w:bCs/>
          <w:color w:val="002060"/>
        </w:rPr>
        <w:t>(R.1</w:t>
      </w:r>
      <w:r w:rsidR="00351A68">
        <w:rPr>
          <w:b/>
          <w:bCs/>
          <w:color w:val="002060"/>
        </w:rPr>
        <w:t>4</w:t>
      </w:r>
      <w:r w:rsidR="00351A68" w:rsidRPr="00351A68">
        <w:rPr>
          <w:b/>
          <w:bCs/>
          <w:color w:val="002060"/>
        </w:rPr>
        <w:t>.1)</w:t>
      </w:r>
      <w:r w:rsidR="00351A68">
        <w:rPr>
          <w:b/>
          <w:bCs/>
          <w:color w:val="002060"/>
        </w:rPr>
        <w:t xml:space="preserve"> </w:t>
      </w:r>
      <w:r>
        <w:t>:</w:t>
      </w:r>
    </w:p>
    <w:p w14:paraId="23D5F685" w14:textId="37DBFF8A" w:rsidR="00D32BC7" w:rsidRDefault="00283800" w:rsidP="00D77566">
      <w:pPr>
        <w:pStyle w:val="Paragraphedeliste"/>
        <w:numPr>
          <w:ilvl w:val="0"/>
          <w:numId w:val="5"/>
        </w:numPr>
      </w:pPr>
      <w:r>
        <w:t>L’architecture applicative globale</w:t>
      </w:r>
      <w:r w:rsidR="00351A68">
        <w:t>, l</w:t>
      </w:r>
      <w:r w:rsidR="00D32BC7">
        <w:t>e</w:t>
      </w:r>
      <w:r w:rsidR="00351A68">
        <w:t>s</w:t>
      </w:r>
      <w:r w:rsidR="00D32BC7">
        <w:t xml:space="preserve"> </w:t>
      </w:r>
      <w:r w:rsidR="00351A68">
        <w:t>systèmes</w:t>
      </w:r>
      <w:r w:rsidR="00D32BC7">
        <w:t xml:space="preserve"> d’exploitation</w:t>
      </w:r>
      <w:r w:rsidR="00351A68">
        <w:t>, l</w:t>
      </w:r>
      <w:r w:rsidR="00D32BC7">
        <w:t xml:space="preserve">es </w:t>
      </w:r>
      <w:r>
        <w:t xml:space="preserve">composants logiciels </w:t>
      </w:r>
      <w:r w:rsidR="00D32BC7">
        <w:t xml:space="preserve">employés (ex : PHP, </w:t>
      </w:r>
      <w:r w:rsidR="00351A68">
        <w:t>MySQL</w:t>
      </w:r>
      <w:r w:rsidR="00D32BC7">
        <w:t xml:space="preserve">) </w:t>
      </w:r>
      <w:r w:rsidR="00D77566">
        <w:t>et leurs versions</w:t>
      </w:r>
    </w:p>
    <w:p w14:paraId="4F9DDDE3" w14:textId="0D96A0AB" w:rsidR="00451419" w:rsidRPr="00351A68" w:rsidRDefault="00451419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Protection contre les attaques Web</w:t>
      </w:r>
    </w:p>
    <w:p w14:paraId="36B3F9FE" w14:textId="5C18EDCB" w:rsidR="00351A68" w:rsidRDefault="00351A68" w:rsidP="00351A68">
      <w:r>
        <w:t>Le développement de l’application devra prendre en compte les référentiels de bonnes pratiques de développement sécurisé, notamment le référentiel OWASP contre les attaques Web usuelles (ex : injections SQL, XSS, etc.</w:t>
      </w:r>
      <w:r w:rsidR="00B33258">
        <w:t>)</w:t>
      </w:r>
      <w:r>
        <w:t xml:space="preserve"> </w:t>
      </w:r>
      <w:r w:rsidRPr="00351A68">
        <w:rPr>
          <w:b/>
          <w:bCs/>
          <w:color w:val="002060"/>
        </w:rPr>
        <w:t>(R.15.1)</w:t>
      </w:r>
    </w:p>
    <w:p w14:paraId="318A47A9" w14:textId="72E0123D" w:rsidR="00351A68" w:rsidRDefault="00351A68" w:rsidP="00351A68">
      <w:pPr>
        <w:rPr>
          <w:b/>
          <w:bCs/>
          <w:color w:val="002060"/>
        </w:rPr>
      </w:pPr>
      <w:r>
        <w:t xml:space="preserve">Il mettra en place les protections d’en-tête </w:t>
      </w:r>
      <w:r w:rsidR="00CE4C70">
        <w:t>http usuelles (</w:t>
      </w:r>
      <w:r>
        <w:t xml:space="preserve">ex : CSP, X-Frame Policy, etc.) </w:t>
      </w:r>
      <w:r w:rsidR="00CE4C70">
        <w:t xml:space="preserve">avec un niveau au minimum B selon </w:t>
      </w:r>
      <w:hyperlink r:id="rId12" w:history="1">
        <w:r w:rsidR="00CE4C70" w:rsidRPr="00CE4C70">
          <w:rPr>
            <w:rStyle w:val="Lienhypertexte"/>
          </w:rPr>
          <w:t>https://developer.mozilla.org/en-US/observatory</w:t>
        </w:r>
      </w:hyperlink>
      <w:r w:rsidR="00CE4C70" w:rsidRPr="00CE4C70">
        <w:t xml:space="preserve"> </w:t>
      </w:r>
      <w:r w:rsidR="00CE4C70">
        <w:t xml:space="preserve"> </w:t>
      </w:r>
      <w:r w:rsidRPr="00351A68">
        <w:rPr>
          <w:b/>
          <w:bCs/>
          <w:color w:val="002060"/>
        </w:rPr>
        <w:t>(R.15.</w:t>
      </w:r>
      <w:r>
        <w:rPr>
          <w:b/>
          <w:bCs/>
          <w:color w:val="002060"/>
        </w:rPr>
        <w:t>2</w:t>
      </w:r>
      <w:r w:rsidRPr="00351A68">
        <w:rPr>
          <w:b/>
          <w:bCs/>
          <w:color w:val="002060"/>
        </w:rPr>
        <w:t>)</w:t>
      </w:r>
    </w:p>
    <w:p w14:paraId="06230C8A" w14:textId="4D07A8D7" w:rsidR="00B33258" w:rsidRPr="00B33258" w:rsidRDefault="00B33258" w:rsidP="00B33258">
      <w:pPr>
        <w:jc w:val="both"/>
      </w:pPr>
      <w:r w:rsidRPr="00B33258">
        <w:t>L’utilisation de mots de passe dans le code est interdite.</w:t>
      </w:r>
    </w:p>
    <w:p w14:paraId="20EBF5B0" w14:textId="77777777" w:rsidR="00351A68" w:rsidRDefault="00351A68" w:rsidP="00351A68">
      <w:r>
        <w:t xml:space="preserve">Dans le respect du bon fonctionnement du service, l’USN sera susceptible d’exiger, à son appréciation, le renforcement de la configuration en cas de score de sécurité jugé trop bas selon des outils de diagnostic de type </w:t>
      </w:r>
      <w:hyperlink r:id="rId13" w:history="1">
        <w:r w:rsidRPr="0082454F">
          <w:rPr>
            <w:rStyle w:val="Lienhypertexte"/>
          </w:rPr>
          <w:t>https://developer.mozilla.org/en-US/observatory</w:t>
        </w:r>
      </w:hyperlink>
      <w:r>
        <w:t xml:space="preserve"> ou équivalent.</w:t>
      </w:r>
    </w:p>
    <w:p w14:paraId="64E83A54" w14:textId="553512AF" w:rsidR="00B9419C" w:rsidRPr="00351A68" w:rsidRDefault="005A2AE9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D</w:t>
      </w:r>
      <w:r w:rsidR="00BA5F83" w:rsidRPr="00351A68">
        <w:rPr>
          <w:color w:val="002060"/>
        </w:rPr>
        <w:t>éveloppements</w:t>
      </w:r>
      <w:r w:rsidR="0000339D" w:rsidRPr="00351A68">
        <w:rPr>
          <w:color w:val="002060"/>
        </w:rPr>
        <w:t xml:space="preserve"> et gestion de projet</w:t>
      </w:r>
    </w:p>
    <w:p w14:paraId="1A469579" w14:textId="03901B05" w:rsidR="00B33258" w:rsidRPr="00B33258" w:rsidRDefault="00B33258" w:rsidP="00B33258">
      <w:pPr>
        <w:jc w:val="both"/>
      </w:pPr>
      <w:r w:rsidRPr="00B33258">
        <w:t>Le prestataire est tenu d’assurer la sécurité des développements conformément à l’état de l’art dans chacune des technologies mises en œuvre</w:t>
      </w:r>
      <w:r w:rsidR="000E686D">
        <w:t>.</w:t>
      </w:r>
    </w:p>
    <w:p w14:paraId="7050BAA0" w14:textId="25C928C4" w:rsidR="00E568A5" w:rsidRDefault="00E568A5" w:rsidP="00E568A5">
      <w:r>
        <w:t xml:space="preserve">À </w:t>
      </w:r>
      <w:r w:rsidR="00351A68">
        <w:t>fournir</w:t>
      </w:r>
      <w:r>
        <w:t> :</w:t>
      </w:r>
    </w:p>
    <w:p w14:paraId="58F424E0" w14:textId="055AE599" w:rsidR="00607B00" w:rsidRDefault="00607B00" w:rsidP="00607B00">
      <w:pPr>
        <w:pStyle w:val="Paragraphedeliste"/>
        <w:numPr>
          <w:ilvl w:val="0"/>
          <w:numId w:val="31"/>
        </w:numPr>
      </w:pPr>
      <w:r>
        <w:t xml:space="preserve">La gestion de sécurité du projet (ex : validation RSSI, PSSI dédiée, analyses de risques et mesures de sécurité associées, homologation, </w:t>
      </w:r>
      <w:r w:rsidR="00351A68">
        <w:t>etc.</w:t>
      </w:r>
      <w:r>
        <w:t>)</w:t>
      </w:r>
      <w:r w:rsidR="007F7E95">
        <w:t>, m</w:t>
      </w:r>
      <w:r w:rsidR="0000339D">
        <w:t>oyens de sécurité RH (ex,</w:t>
      </w:r>
      <w:r w:rsidR="0000339D" w:rsidRPr="0000339D">
        <w:t xml:space="preserve"> (formations</w:t>
      </w:r>
      <w:r>
        <w:t xml:space="preserve"> SSI</w:t>
      </w:r>
      <w:r w:rsidR="0000339D" w:rsidRPr="0000339D">
        <w:t>, clauses de confidentialité, gestion des accès</w:t>
      </w:r>
      <w:r w:rsidR="0000339D">
        <w:t xml:space="preserve"> logiques et physiques</w:t>
      </w:r>
      <w:r w:rsidR="0000339D" w:rsidRPr="0000339D">
        <w:t>)</w:t>
      </w:r>
      <w:r w:rsidR="007F7E95">
        <w:t xml:space="preserve"> </w:t>
      </w:r>
      <w:r w:rsidR="007F7E95" w:rsidRPr="00AB408D">
        <w:rPr>
          <w:b/>
          <w:bCs/>
          <w:color w:val="002060"/>
        </w:rPr>
        <w:t>(R.</w:t>
      </w:r>
      <w:r w:rsidR="007F7E95">
        <w:rPr>
          <w:b/>
          <w:bCs/>
          <w:color w:val="002060"/>
        </w:rPr>
        <w:t>16</w:t>
      </w:r>
      <w:r w:rsidR="007F7E95" w:rsidRPr="00AB408D">
        <w:rPr>
          <w:b/>
          <w:bCs/>
          <w:color w:val="002060"/>
        </w:rPr>
        <w:t>.</w:t>
      </w:r>
      <w:r w:rsidR="007F7E95">
        <w:rPr>
          <w:b/>
          <w:bCs/>
          <w:color w:val="002060"/>
        </w:rPr>
        <w:t>1</w:t>
      </w:r>
      <w:r w:rsidR="007F7E95" w:rsidRPr="00AB408D">
        <w:rPr>
          <w:b/>
          <w:bCs/>
          <w:color w:val="002060"/>
        </w:rPr>
        <w:t>)</w:t>
      </w:r>
      <w:r w:rsidR="007F7E95">
        <w:t> </w:t>
      </w:r>
    </w:p>
    <w:p w14:paraId="50AF5E83" w14:textId="22908AD5" w:rsidR="00E568A5" w:rsidRDefault="00E568A5" w:rsidP="00460F6A">
      <w:pPr>
        <w:pStyle w:val="Paragraphedeliste"/>
        <w:numPr>
          <w:ilvl w:val="0"/>
          <w:numId w:val="31"/>
        </w:numPr>
      </w:pPr>
      <w:r>
        <w:t xml:space="preserve">Les méthodes de sécurisation du </w:t>
      </w:r>
      <w:r w:rsidR="0000339D">
        <w:t xml:space="preserve">processus de </w:t>
      </w:r>
      <w:r>
        <w:t>développement du projet</w:t>
      </w:r>
      <w:r w:rsidR="007F7E95">
        <w:t>, l</w:t>
      </w:r>
      <w:r>
        <w:t>a séparation des environnements de développement et de production</w:t>
      </w:r>
      <w:r w:rsidR="007F7E95">
        <w:t>, l</w:t>
      </w:r>
      <w:r>
        <w:t>e versionnage (ex :</w:t>
      </w:r>
      <w:r w:rsidR="00607B00">
        <w:t xml:space="preserve"> CI/CD, </w:t>
      </w:r>
      <w:r>
        <w:t>Git)</w:t>
      </w:r>
      <w:r w:rsidR="007F7E95">
        <w:t xml:space="preserve"> </w:t>
      </w:r>
      <w:r w:rsidR="007F7E95" w:rsidRPr="00AB408D">
        <w:rPr>
          <w:b/>
          <w:bCs/>
          <w:color w:val="002060"/>
        </w:rPr>
        <w:t>(R.</w:t>
      </w:r>
      <w:r w:rsidR="007F7E95">
        <w:rPr>
          <w:b/>
          <w:bCs/>
          <w:color w:val="002060"/>
        </w:rPr>
        <w:t>16</w:t>
      </w:r>
      <w:r w:rsidR="007F7E95" w:rsidRPr="00AB408D">
        <w:rPr>
          <w:b/>
          <w:bCs/>
          <w:color w:val="002060"/>
        </w:rPr>
        <w:t>.</w:t>
      </w:r>
      <w:r w:rsidR="007F7E95">
        <w:rPr>
          <w:b/>
          <w:bCs/>
          <w:color w:val="002060"/>
        </w:rPr>
        <w:t>2</w:t>
      </w:r>
      <w:r w:rsidR="007F7E95" w:rsidRPr="00AB408D">
        <w:rPr>
          <w:b/>
          <w:bCs/>
          <w:color w:val="002060"/>
        </w:rPr>
        <w:t>)</w:t>
      </w:r>
      <w:r w:rsidR="007F7E95">
        <w:t> </w:t>
      </w:r>
    </w:p>
    <w:p w14:paraId="664FC52F" w14:textId="39440B7D" w:rsidR="00B33258" w:rsidRPr="00561256" w:rsidRDefault="00E568A5" w:rsidP="00561256">
      <w:pPr>
        <w:pStyle w:val="Paragraphedeliste"/>
        <w:numPr>
          <w:ilvl w:val="0"/>
          <w:numId w:val="31"/>
        </w:numPr>
      </w:pPr>
      <w:r>
        <w:t xml:space="preserve">La méthodologie </w:t>
      </w:r>
      <w:r w:rsidR="000E686D">
        <w:t xml:space="preserve">de revue </w:t>
      </w:r>
      <w:r>
        <w:t>de sécurité du code (</w:t>
      </w:r>
      <w:proofErr w:type="spellStart"/>
      <w:r w:rsidR="000E686D">
        <w:t>peer-reviewing</w:t>
      </w:r>
      <w:proofErr w:type="spellEnd"/>
      <w:r w:rsidR="000E686D">
        <w:t xml:space="preserve">, </w:t>
      </w:r>
      <w:r>
        <w:t>audits statiques, audits via le réseau</w:t>
      </w:r>
      <w:r w:rsidR="000E686D">
        <w:t>, etc.</w:t>
      </w:r>
      <w:r>
        <w:t>)</w:t>
      </w:r>
      <w:r w:rsidR="007F7E95">
        <w:t xml:space="preserve"> et l</w:t>
      </w:r>
      <w:r w:rsidR="00641D9A">
        <w:t>a mise en œuvre éventuelles d’audit</w:t>
      </w:r>
      <w:r w:rsidR="007F7E95">
        <w:t>s</w:t>
      </w:r>
      <w:r w:rsidR="00641D9A">
        <w:t xml:space="preserve"> de sécurité</w:t>
      </w:r>
      <w:r w:rsidR="00F255C6">
        <w:t xml:space="preserve"> </w:t>
      </w:r>
      <w:r w:rsidR="007F7E95">
        <w:t xml:space="preserve"> </w:t>
      </w:r>
      <w:r w:rsidR="007F7E95" w:rsidRPr="00AB408D">
        <w:rPr>
          <w:b/>
          <w:bCs/>
          <w:color w:val="002060"/>
        </w:rPr>
        <w:t>(R.</w:t>
      </w:r>
      <w:r w:rsidR="007F7E95">
        <w:rPr>
          <w:b/>
          <w:bCs/>
          <w:color w:val="002060"/>
        </w:rPr>
        <w:t>16</w:t>
      </w:r>
      <w:r w:rsidR="007F7E95" w:rsidRPr="00AB408D">
        <w:rPr>
          <w:b/>
          <w:bCs/>
          <w:color w:val="002060"/>
        </w:rPr>
        <w:t>.</w:t>
      </w:r>
      <w:r w:rsidR="007F7E95">
        <w:rPr>
          <w:b/>
          <w:bCs/>
          <w:color w:val="002060"/>
        </w:rPr>
        <w:t>3</w:t>
      </w:r>
      <w:r w:rsidR="007F7E95" w:rsidRPr="00AB408D">
        <w:rPr>
          <w:b/>
          <w:bCs/>
          <w:color w:val="002060"/>
        </w:rPr>
        <w:t>)</w:t>
      </w:r>
      <w:r w:rsidR="007F7E95">
        <w:t> </w:t>
      </w:r>
    </w:p>
    <w:p w14:paraId="0CAD11E3" w14:textId="0AB14605" w:rsidR="00283800" w:rsidRPr="00351A68" w:rsidRDefault="002B6299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Maintien en conditions de sécurité</w:t>
      </w:r>
    </w:p>
    <w:p w14:paraId="14E5B228" w14:textId="28688B6F" w:rsidR="00351A68" w:rsidRDefault="00351A68" w:rsidP="00351A68">
      <w:r>
        <w:t>Les serveurs, système d’exploitation, composants logiciels employés, applications et tout composant technique doivent être dans des versions de sécurité à jour et maintenues par leurs développeurs, éditeurs ou mainteneurs.</w:t>
      </w:r>
    </w:p>
    <w:p w14:paraId="4AF058B6" w14:textId="77777777" w:rsidR="00351A68" w:rsidRDefault="00351A68" w:rsidP="00351A68">
      <w:r>
        <w:t>Le fournisseur ne peut conditionner ses garanties de bon fonctionnement de fournitures ou prestations qu’il fournit à l’emploi de composants dans une version non supportée.</w:t>
      </w:r>
    </w:p>
    <w:p w14:paraId="01881018" w14:textId="7BDB04A7" w:rsidR="00351A68" w:rsidRDefault="00351A68" w:rsidP="00351A68">
      <w:r>
        <w:t>Dans le cas d’une maintenance applicative ou systèmes incluse dans le service, l’application des correctifs de sécurité d’un niveau de sévérité élevé (Score CVSS v3 supérieur à 7) doit-être au maximum de 72 heures après publication.</w:t>
      </w:r>
      <w:r w:rsidRPr="00351A68">
        <w:rPr>
          <w:b/>
          <w:bCs/>
          <w:color w:val="002060"/>
        </w:rPr>
        <w:t xml:space="preserve">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17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1</w:t>
      </w:r>
      <w:r w:rsidRPr="00AB408D">
        <w:rPr>
          <w:b/>
          <w:bCs/>
          <w:color w:val="002060"/>
        </w:rPr>
        <w:t>)</w:t>
      </w:r>
      <w:r>
        <w:t> </w:t>
      </w:r>
    </w:p>
    <w:p w14:paraId="228AAF08" w14:textId="77777777" w:rsidR="00351A68" w:rsidRDefault="00351A68" w:rsidP="00351A68">
      <w:r>
        <w:t xml:space="preserve">Le délai comprend les tests de non régression. </w:t>
      </w:r>
    </w:p>
    <w:p w14:paraId="5BDE1141" w14:textId="35AF5633" w:rsidR="00351A68" w:rsidRDefault="00351A68" w:rsidP="00351A68">
      <w:r>
        <w:t>Les correctifs d’un niveau inférieur doivent être appliqués sous un délai inférieur à trente jours.</w:t>
      </w:r>
      <w:r w:rsidRPr="00351A68">
        <w:rPr>
          <w:b/>
          <w:bCs/>
          <w:color w:val="002060"/>
        </w:rPr>
        <w:t xml:space="preserve">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17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2</w:t>
      </w:r>
      <w:r w:rsidRPr="00AB408D">
        <w:rPr>
          <w:b/>
          <w:bCs/>
          <w:color w:val="002060"/>
        </w:rPr>
        <w:t>)</w:t>
      </w:r>
    </w:p>
    <w:p w14:paraId="7148CEB7" w14:textId="3A37E97B" w:rsidR="00351A68" w:rsidRDefault="00351A68" w:rsidP="00351A68">
      <w:r>
        <w:t xml:space="preserve">En cas d’interruption de service pour maintenance, le chef de projet USN doit être prévenu au moins 48 heures préalablement.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17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3</w:t>
      </w:r>
      <w:r w:rsidRPr="00AB408D">
        <w:rPr>
          <w:b/>
          <w:bCs/>
          <w:color w:val="002060"/>
        </w:rPr>
        <w:t>)</w:t>
      </w:r>
    </w:p>
    <w:p w14:paraId="337064E0" w14:textId="706AB95D" w:rsidR="00D32BC7" w:rsidRPr="00351A68" w:rsidRDefault="00D32BC7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Journaux d’</w:t>
      </w:r>
      <w:r w:rsidR="00451419" w:rsidRPr="00351A68">
        <w:rPr>
          <w:color w:val="002060"/>
        </w:rPr>
        <w:t>événements</w:t>
      </w:r>
    </w:p>
    <w:p w14:paraId="78EC16E7" w14:textId="1C0A2A29" w:rsidR="00D32BC7" w:rsidRDefault="00D77566" w:rsidP="00460F6A">
      <w:r>
        <w:t>L</w:t>
      </w:r>
      <w:r w:rsidR="00D32BC7">
        <w:t>a politique de gestion des journaux d’évènements (Logs)</w:t>
      </w:r>
      <w:r w:rsidR="00351A68">
        <w:t xml:space="preserve"> doit être en accord avec la législation.</w:t>
      </w:r>
    </w:p>
    <w:p w14:paraId="1CCEC8D6" w14:textId="02CACA02" w:rsidR="00351A68" w:rsidRDefault="00351A68" w:rsidP="00460F6A">
      <w:r>
        <w:t xml:space="preserve">A fournir : </w:t>
      </w:r>
    </w:p>
    <w:p w14:paraId="5938494F" w14:textId="00A89E69" w:rsidR="00D32BC7" w:rsidRDefault="00D32BC7" w:rsidP="00D32BC7">
      <w:pPr>
        <w:pStyle w:val="Paragraphedeliste"/>
        <w:numPr>
          <w:ilvl w:val="0"/>
          <w:numId w:val="4"/>
        </w:numPr>
      </w:pPr>
      <w:r>
        <w:t>La nature des informations journalisées</w:t>
      </w:r>
      <w:r w:rsidR="0000339D">
        <w:t xml:space="preserve"> (ex : horodatage, IP, action spécifique)</w:t>
      </w:r>
      <w:r w:rsidR="00351A68">
        <w:t xml:space="preserve">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18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1</w:t>
      </w:r>
      <w:r w:rsidR="00351A68" w:rsidRPr="00AB408D">
        <w:rPr>
          <w:b/>
          <w:bCs/>
          <w:color w:val="002060"/>
        </w:rPr>
        <w:t>)</w:t>
      </w:r>
    </w:p>
    <w:p w14:paraId="6527B3BD" w14:textId="3765654A" w:rsidR="00D32BC7" w:rsidRDefault="00D32BC7" w:rsidP="00D32BC7">
      <w:pPr>
        <w:pStyle w:val="Paragraphedeliste"/>
        <w:numPr>
          <w:ilvl w:val="0"/>
          <w:numId w:val="4"/>
        </w:numPr>
      </w:pPr>
      <w:r>
        <w:t>La durée de rétention</w:t>
      </w:r>
      <w:r w:rsidR="00351A68">
        <w:t xml:space="preserve">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18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2</w:t>
      </w:r>
      <w:r w:rsidR="00351A68" w:rsidRPr="00AB408D">
        <w:rPr>
          <w:b/>
          <w:bCs/>
          <w:color w:val="002060"/>
        </w:rPr>
        <w:t>)</w:t>
      </w:r>
      <w:r w:rsidR="00351A68">
        <w:rPr>
          <w:color w:val="002060"/>
        </w:rPr>
        <w:t xml:space="preserve"> </w:t>
      </w:r>
      <w:r w:rsidR="00351A68" w:rsidRPr="00351A68">
        <w:t>à minima de six mois pour les évènements de sécurité</w:t>
      </w:r>
    </w:p>
    <w:p w14:paraId="037A2065" w14:textId="6F71B5A6" w:rsidR="00533F9A" w:rsidRPr="00351A68" w:rsidRDefault="000E686D" w:rsidP="005A2AE9">
      <w:pPr>
        <w:pStyle w:val="Titre2"/>
        <w:numPr>
          <w:ilvl w:val="0"/>
          <w:numId w:val="13"/>
        </w:numPr>
        <w:rPr>
          <w:color w:val="002060"/>
        </w:rPr>
      </w:pPr>
      <w:r>
        <w:rPr>
          <w:color w:val="002060"/>
        </w:rPr>
        <w:t xml:space="preserve">Gestion </w:t>
      </w:r>
      <w:r w:rsidR="00533F9A" w:rsidRPr="00351A68">
        <w:rPr>
          <w:color w:val="002060"/>
        </w:rPr>
        <w:t>d’incident</w:t>
      </w:r>
      <w:r w:rsidR="007F7E95">
        <w:rPr>
          <w:color w:val="002060"/>
        </w:rPr>
        <w:t>s</w:t>
      </w:r>
      <w:r>
        <w:rPr>
          <w:color w:val="002060"/>
        </w:rPr>
        <w:t xml:space="preserve"> et contacts sécurité</w:t>
      </w:r>
    </w:p>
    <w:p w14:paraId="4CDFB6F7" w14:textId="550CC0AC" w:rsidR="00351A68" w:rsidRDefault="00351A68" w:rsidP="00351A68">
      <w:pPr>
        <w:suppressAutoHyphens/>
      </w:pPr>
      <w:r>
        <w:t>Sera fournie :</w:t>
      </w:r>
    </w:p>
    <w:p w14:paraId="27FE091C" w14:textId="71A13A26" w:rsidR="00351A68" w:rsidRDefault="00351A68" w:rsidP="00351A68">
      <w:pPr>
        <w:pStyle w:val="Paragraphedeliste"/>
        <w:numPr>
          <w:ilvl w:val="0"/>
          <w:numId w:val="47"/>
        </w:numPr>
        <w:suppressAutoHyphens/>
      </w:pPr>
      <w:r>
        <w:t xml:space="preserve">La politique de gestion d’incident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</w:t>
      </w:r>
      <w:r w:rsidR="007F7E95">
        <w:rPr>
          <w:b/>
          <w:bCs/>
          <w:color w:val="002060"/>
        </w:rPr>
        <w:t>9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1</w:t>
      </w:r>
      <w:r w:rsidRPr="00AB408D">
        <w:rPr>
          <w:b/>
          <w:bCs/>
          <w:color w:val="002060"/>
        </w:rPr>
        <w:t>)</w:t>
      </w:r>
    </w:p>
    <w:p w14:paraId="57B04BB1" w14:textId="3A5BD11A" w:rsidR="00351A68" w:rsidRDefault="00351A68" w:rsidP="00351A68">
      <w:r>
        <w:t xml:space="preserve">Le circuit d’alerte en cas d’incident de disponibilité, d’intégrité ou de confidentialité devra comprendre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19</w:t>
      </w:r>
      <w:r w:rsidRPr="00AB408D">
        <w:rPr>
          <w:b/>
          <w:bCs/>
          <w:color w:val="002060"/>
        </w:rPr>
        <w:t>.</w:t>
      </w:r>
      <w:r w:rsidR="007F7E95">
        <w:rPr>
          <w:b/>
          <w:bCs/>
          <w:color w:val="002060"/>
        </w:rPr>
        <w:t>2</w:t>
      </w:r>
      <w:r w:rsidRPr="00AB408D">
        <w:rPr>
          <w:b/>
          <w:bCs/>
          <w:color w:val="002060"/>
        </w:rPr>
        <w:t>)</w:t>
      </w:r>
      <w:r>
        <w:t> :</w:t>
      </w:r>
    </w:p>
    <w:p w14:paraId="21549AF2" w14:textId="77777777" w:rsidR="00351A68" w:rsidRDefault="00351A68" w:rsidP="00351A68">
      <w:pPr>
        <w:pStyle w:val="Paragraphedeliste"/>
        <w:numPr>
          <w:ilvl w:val="0"/>
          <w:numId w:val="46"/>
        </w:numPr>
        <w:suppressAutoHyphens/>
      </w:pPr>
      <w:r>
        <w:t>Le responsable de projet fonctionnel désigné par l’USN</w:t>
      </w:r>
    </w:p>
    <w:p w14:paraId="45C900FE" w14:textId="71832EB0" w:rsidR="00351A68" w:rsidRDefault="00351A68" w:rsidP="00351A68">
      <w:pPr>
        <w:pStyle w:val="Paragraphedeliste"/>
        <w:numPr>
          <w:ilvl w:val="0"/>
          <w:numId w:val="46"/>
        </w:numPr>
        <w:suppressAutoHyphens/>
      </w:pPr>
      <w:r>
        <w:t xml:space="preserve">Les Responsables de la sécurité des systèmes d’information, à l’adresse </w:t>
      </w:r>
      <w:hyperlink r:id="rId14" w:history="1">
        <w:r w:rsidRPr="006868EE">
          <w:rPr>
            <w:rStyle w:val="Lienhypertexte"/>
          </w:rPr>
          <w:t>rssi@sorbonne-nouvelle.fr</w:t>
        </w:r>
      </w:hyperlink>
    </w:p>
    <w:p w14:paraId="4B37EA43" w14:textId="77777777" w:rsidR="00351A68" w:rsidRDefault="00351A68" w:rsidP="00351A68">
      <w:pPr>
        <w:pStyle w:val="Paragraphedeliste"/>
        <w:numPr>
          <w:ilvl w:val="0"/>
          <w:numId w:val="46"/>
        </w:numPr>
        <w:suppressAutoHyphens/>
      </w:pPr>
      <w:r>
        <w:t xml:space="preserve">En cas d’incident concernant aussi les données à caractère personnel, le Délégué à la protection des données à caractère personnelles à l’adresse </w:t>
      </w:r>
      <w:r w:rsidRPr="00351A68">
        <w:rPr>
          <w:rStyle w:val="Lienhypertexte"/>
        </w:rPr>
        <w:t>dpd@sorbonne-nouvelle.fr</w:t>
      </w:r>
    </w:p>
    <w:p w14:paraId="71B87966" w14:textId="0756E68F" w:rsidR="00B9419C" w:rsidRPr="00351A68" w:rsidRDefault="005A2AE9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A</w:t>
      </w:r>
      <w:r w:rsidR="00E809D7" w:rsidRPr="00351A68">
        <w:rPr>
          <w:color w:val="002060"/>
        </w:rPr>
        <w:t xml:space="preserve">ccompagnement à l’usage sécurisé pour les administrateurs </w:t>
      </w:r>
      <w:r w:rsidR="006D221C">
        <w:rPr>
          <w:color w:val="002060"/>
        </w:rPr>
        <w:t>fonctionnels</w:t>
      </w:r>
    </w:p>
    <w:p w14:paraId="032634DB" w14:textId="6A18ACDE" w:rsidR="00E809D7" w:rsidRDefault="0081632D" w:rsidP="00460F6A">
      <w:r>
        <w:t>Si l’usage du service le nécessite par les administrateur</w:t>
      </w:r>
      <w:r w:rsidR="002B0F96">
        <w:t>s fonctionnels</w:t>
      </w:r>
      <w:r>
        <w:t xml:space="preserve"> de l’USN en conditions de sécurité nécessite des précautions, les modalités de cet accompagnement sera précisé</w:t>
      </w:r>
      <w:r w:rsidR="00351A68">
        <w:t xml:space="preserve">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20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1</w:t>
      </w:r>
      <w:r w:rsidR="00351A68" w:rsidRPr="00AB408D">
        <w:rPr>
          <w:b/>
          <w:bCs/>
          <w:color w:val="002060"/>
        </w:rPr>
        <w:t>)</w:t>
      </w:r>
    </w:p>
    <w:p w14:paraId="5BA92125" w14:textId="77777777" w:rsidR="00B33258" w:rsidRPr="00B33258" w:rsidRDefault="00B33258" w:rsidP="00B33258">
      <w:pPr>
        <w:pStyle w:val="Titre2"/>
        <w:numPr>
          <w:ilvl w:val="0"/>
          <w:numId w:val="13"/>
        </w:numPr>
        <w:rPr>
          <w:color w:val="002060"/>
        </w:rPr>
      </w:pPr>
      <w:r w:rsidRPr="00B33258">
        <w:rPr>
          <w:color w:val="002060"/>
        </w:rPr>
        <w:t>Audit de sécurité</w:t>
      </w:r>
    </w:p>
    <w:p w14:paraId="02697611" w14:textId="77777777" w:rsidR="00B33258" w:rsidRPr="000E686D" w:rsidRDefault="00B33258" w:rsidP="00B33258">
      <w:pPr>
        <w:jc w:val="both"/>
      </w:pPr>
      <w:r w:rsidRPr="000E686D">
        <w:t>L’établissement se réserve de pouvoir, à tout moment, contrôler que les exigences de sécurité sont satisfaites par les dispositions prises par le prestataire.</w:t>
      </w:r>
    </w:p>
    <w:p w14:paraId="22E313B0" w14:textId="52AAD4EA" w:rsidR="00B33258" w:rsidRPr="000E686D" w:rsidRDefault="00B33258" w:rsidP="00B33258">
      <w:pPr>
        <w:jc w:val="both"/>
      </w:pPr>
      <w:r w:rsidRPr="000E686D">
        <w:t xml:space="preserve">Le périmètre et la périodicité des audits de sécurité sont définis précisément par les points de contact sécurité de l’établissement comme défini dans l’article « </w:t>
      </w:r>
      <w:r w:rsidR="000E686D">
        <w:t>C</w:t>
      </w:r>
      <w:r w:rsidRPr="000E686D">
        <w:t>ontact</w:t>
      </w:r>
      <w:r w:rsidR="000E686D">
        <w:t>s</w:t>
      </w:r>
      <w:r w:rsidRPr="000E686D">
        <w:t xml:space="preserve"> sécurité ».</w:t>
      </w:r>
    </w:p>
    <w:p w14:paraId="7C77128A" w14:textId="77777777" w:rsidR="00B33258" w:rsidRPr="000E686D" w:rsidRDefault="00B33258" w:rsidP="00B33258">
      <w:pPr>
        <w:jc w:val="both"/>
      </w:pPr>
      <w:r w:rsidRPr="000E686D">
        <w:t>Les audits peuvent être réalisés par l’établissement, ou délégués à un tiers.</w:t>
      </w:r>
    </w:p>
    <w:p w14:paraId="7F0F3389" w14:textId="77777777" w:rsidR="00B33258" w:rsidRPr="000E686D" w:rsidRDefault="00B33258" w:rsidP="00B33258">
      <w:pPr>
        <w:jc w:val="both"/>
      </w:pPr>
      <w:r w:rsidRPr="000E686D">
        <w:t>Le contrôle s'effectuera selon des modalités contractuelles définies (visite des locaux du prestataire avec interviews individuelles des membres des équipes du prestataire, accès aux machines mises à la disposition du prestataire) par les points de contacts sécurité.</w:t>
      </w:r>
    </w:p>
    <w:p w14:paraId="05391545" w14:textId="7DE4720B" w:rsidR="00B33258" w:rsidRPr="000E686D" w:rsidRDefault="00B33258" w:rsidP="00B33258">
      <w:pPr>
        <w:jc w:val="both"/>
      </w:pPr>
      <w:r w:rsidRPr="000E686D">
        <w:t>Cette visite sera notifiée au prestataire selon un délai de 15 jours</w:t>
      </w:r>
      <w:r w:rsidR="000E686D">
        <w:t>.</w:t>
      </w:r>
    </w:p>
    <w:p w14:paraId="79F1AD56" w14:textId="77777777" w:rsidR="00B33258" w:rsidRPr="000E686D" w:rsidRDefault="00B33258" w:rsidP="00B33258">
      <w:pPr>
        <w:jc w:val="both"/>
      </w:pPr>
      <w:r w:rsidRPr="000E686D">
        <w:t>La pratique de tests intrusifs par le prestataire est interdite sur tout ou partie du système d’informations de l’établissement.</w:t>
      </w:r>
    </w:p>
    <w:p w14:paraId="4793C210" w14:textId="77777777" w:rsidR="00B33258" w:rsidRDefault="00B33258" w:rsidP="00B33258">
      <w:pPr>
        <w:jc w:val="both"/>
      </w:pPr>
      <w:r w:rsidRPr="000E686D">
        <w:t>Le client doit se réserver le droit de requérir l’expertise d’un organisme ou d'une société tierce présentant des compétences en matière de sécurité.</w:t>
      </w:r>
    </w:p>
    <w:p w14:paraId="5467A854" w14:textId="12265D61" w:rsidR="00561256" w:rsidRDefault="00561256" w:rsidP="00561256">
      <w:r>
        <w:t>De plus, l’USN se réserve le droit de procéder à des audits de sécurité, dont par le biais :</w:t>
      </w:r>
    </w:p>
    <w:p w14:paraId="27B17822" w14:textId="7489517A" w:rsidR="00561256" w:rsidRDefault="00561256" w:rsidP="00561256">
      <w:pPr>
        <w:pStyle w:val="Paragraphedeliste"/>
        <w:numPr>
          <w:ilvl w:val="0"/>
          <w:numId w:val="50"/>
        </w:numPr>
        <w:suppressAutoHyphens/>
      </w:pPr>
      <w:r>
        <w:t xml:space="preserve">D’outils de sécurité réseau de type Tenable, ZAP, </w:t>
      </w:r>
      <w:proofErr w:type="spellStart"/>
      <w:r>
        <w:t>Nikto</w:t>
      </w:r>
      <w:proofErr w:type="spellEnd"/>
      <w:r>
        <w:t xml:space="preserve"> ou équivalent </w:t>
      </w:r>
    </w:p>
    <w:p w14:paraId="5E5A6D1E" w14:textId="77777777" w:rsidR="00561256" w:rsidRDefault="00561256" w:rsidP="00561256">
      <w:pPr>
        <w:pStyle w:val="Paragraphedeliste"/>
        <w:numPr>
          <w:ilvl w:val="0"/>
          <w:numId w:val="50"/>
        </w:numPr>
        <w:suppressAutoHyphens/>
      </w:pPr>
      <w:r>
        <w:t xml:space="preserve">De services externes automatisés comme, par exemple </w:t>
      </w:r>
      <w:proofErr w:type="spellStart"/>
      <w:r>
        <w:t>Scan’er</w:t>
      </w:r>
      <w:proofErr w:type="spellEnd"/>
      <w:r>
        <w:t xml:space="preserve"> de Renater ou </w:t>
      </w:r>
      <w:proofErr w:type="spellStart"/>
      <w:r>
        <w:t>Silene</w:t>
      </w:r>
      <w:proofErr w:type="spellEnd"/>
      <w:r>
        <w:t xml:space="preserve"> du CERT-FR</w:t>
      </w:r>
    </w:p>
    <w:p w14:paraId="4E18FDA7" w14:textId="77777777" w:rsidR="00561256" w:rsidRDefault="00561256" w:rsidP="00561256">
      <w:pPr>
        <w:pStyle w:val="Paragraphedeliste"/>
        <w:numPr>
          <w:ilvl w:val="0"/>
          <w:numId w:val="50"/>
        </w:numPr>
        <w:suppressAutoHyphens/>
      </w:pPr>
      <w:r>
        <w:t>Des outils d’audits de code statiques</w:t>
      </w:r>
    </w:p>
    <w:p w14:paraId="2FC7BCC5" w14:textId="77777777" w:rsidR="00561256" w:rsidRDefault="00561256" w:rsidP="00561256">
      <w:r>
        <w:t xml:space="preserve">Dans le respect du bon fonctionnement du service, l’USN sera susceptible d’exiger, à son appréciation, le renforcement de la configuration en cas de score de performances jugé trop bas selon des outils de diagnostic de type </w:t>
      </w:r>
      <w:hyperlink r:id="rId15">
        <w:r>
          <w:rPr>
            <w:rStyle w:val="LienInternet"/>
          </w:rPr>
          <w:t>https://www.webpagetest.org/</w:t>
        </w:r>
      </w:hyperlink>
      <w:r>
        <w:t xml:space="preserve">, </w:t>
      </w:r>
      <w:hyperlink r:id="rId16">
        <w:r>
          <w:rPr>
            <w:rStyle w:val="LienInternet"/>
          </w:rPr>
          <w:t>https://pagespeed.web.dev/</w:t>
        </w:r>
      </w:hyperlink>
      <w:r>
        <w:t xml:space="preserve"> , </w:t>
      </w:r>
      <w:hyperlink r:id="rId17">
        <w:r>
          <w:rPr>
            <w:rStyle w:val="LienInternet"/>
          </w:rPr>
          <w:t>https://gtmetrix.com/</w:t>
        </w:r>
      </w:hyperlink>
      <w:r>
        <w:t xml:space="preserve"> ou équivalent.</w:t>
      </w:r>
    </w:p>
    <w:p w14:paraId="63A35240" w14:textId="5BABE5E8" w:rsidR="00E809D7" w:rsidRPr="00351A68" w:rsidRDefault="0081632D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Réversibilité</w:t>
      </w:r>
    </w:p>
    <w:p w14:paraId="54EB43EE" w14:textId="64635395" w:rsidR="00351A68" w:rsidRDefault="00351A68" w:rsidP="00460F6A">
      <w:r>
        <w:t>A l’issue de la prestation, les données doivent être retournées à l’USN dans un format ouvert et exploitable.</w:t>
      </w:r>
    </w:p>
    <w:p w14:paraId="51D8471A" w14:textId="5A2E934E" w:rsidR="00F82826" w:rsidRDefault="0081632D" w:rsidP="00351A68">
      <w:pPr>
        <w:tabs>
          <w:tab w:val="left" w:pos="1350"/>
        </w:tabs>
      </w:pPr>
      <w:r>
        <w:t xml:space="preserve">À </w:t>
      </w:r>
      <w:r w:rsidR="00351A68">
        <w:t>fournir</w:t>
      </w:r>
      <w:r w:rsidR="00F82826">
        <w:t> :</w:t>
      </w:r>
      <w:r w:rsidR="00351A68">
        <w:tab/>
      </w:r>
    </w:p>
    <w:p w14:paraId="51D8EEF6" w14:textId="329B9B5B" w:rsidR="00351A68" w:rsidRDefault="00351A68" w:rsidP="00351A68">
      <w:pPr>
        <w:pStyle w:val="Paragraphedeliste"/>
        <w:numPr>
          <w:ilvl w:val="0"/>
          <w:numId w:val="48"/>
        </w:numPr>
        <w:suppressAutoHyphens/>
      </w:pPr>
      <w:r>
        <w:t>La méthode de mise en œuvre de la réversibilité, dont le format des données retournées et le délai. Les données seront fournies dans un format ouvert (</w:t>
      </w:r>
      <w:r w:rsidRPr="00C46B86">
        <w:rPr>
          <w:rFonts w:ascii="Aptos" w:hAnsi="Aptos"/>
          <w:sz w:val="20"/>
        </w:rPr>
        <w:t>ouverts (SQL, XML, format plat type MD...)</w:t>
      </w:r>
      <w:r>
        <w:rPr>
          <w:rFonts w:ascii="Aptos" w:hAnsi="Aptos"/>
          <w:sz w:val="20"/>
        </w:rPr>
        <w:t xml:space="preserve">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21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1</w:t>
      </w:r>
      <w:r w:rsidRPr="00AB408D">
        <w:rPr>
          <w:b/>
          <w:bCs/>
          <w:color w:val="002060"/>
        </w:rPr>
        <w:t>)</w:t>
      </w:r>
      <w:r>
        <w:t> </w:t>
      </w:r>
    </w:p>
    <w:p w14:paraId="0A543D3F" w14:textId="25FA1AE8" w:rsidR="00351A68" w:rsidRDefault="00351A68" w:rsidP="00351A68">
      <w:pPr>
        <w:pStyle w:val="Paragraphedeliste"/>
        <w:numPr>
          <w:ilvl w:val="0"/>
          <w:numId w:val="48"/>
        </w:numPr>
        <w:suppressAutoHyphens/>
      </w:pPr>
      <w:r>
        <w:t xml:space="preserve">Le justificatif de destruction des données à l’issue du contrat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21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2</w:t>
      </w:r>
      <w:r w:rsidRPr="00AB408D">
        <w:rPr>
          <w:b/>
          <w:bCs/>
          <w:color w:val="002060"/>
        </w:rPr>
        <w:t>)</w:t>
      </w:r>
      <w:r>
        <w:t> </w:t>
      </w:r>
    </w:p>
    <w:p w14:paraId="4D8FD24D" w14:textId="3CED5F58" w:rsidR="009F1478" w:rsidRPr="00561256" w:rsidRDefault="009F1478" w:rsidP="009F1478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Transactions financières</w:t>
      </w:r>
    </w:p>
    <w:p w14:paraId="53BB55B7" w14:textId="4DADAF26" w:rsidR="009F1478" w:rsidRPr="009F1478" w:rsidRDefault="00351A68" w:rsidP="009F1478">
      <w:r>
        <w:t xml:space="preserve">Au cas </w:t>
      </w:r>
      <w:r w:rsidR="009F1478">
        <w:t>o</w:t>
      </w:r>
      <w:r>
        <w:t>ù</w:t>
      </w:r>
      <w:r w:rsidR="009F1478">
        <w:t xml:space="preserve"> le service mette en œuvre des transactions bancaire</w:t>
      </w:r>
      <w:r w:rsidR="002B0F96">
        <w:t xml:space="preserve"> ou financières</w:t>
      </w:r>
      <w:r w:rsidR="009F1478">
        <w:t xml:space="preserve"> (ex : paiement en ligne, virement de financements, </w:t>
      </w:r>
      <w:r>
        <w:t>etc.</w:t>
      </w:r>
      <w:r w:rsidR="009F1478">
        <w:t xml:space="preserve">), seront fournis les justificatifs de certification applicables du prestataire sous-traitant (ex : PCI-DSS, DSP2, </w:t>
      </w:r>
      <w:r>
        <w:t xml:space="preserve">etc.)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2</w:t>
      </w:r>
      <w:r w:rsidR="002B0F96">
        <w:rPr>
          <w:b/>
          <w:bCs/>
          <w:color w:val="002060"/>
        </w:rPr>
        <w:t>3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1</w:t>
      </w:r>
      <w:r w:rsidRPr="00AB408D">
        <w:rPr>
          <w:b/>
          <w:bCs/>
          <w:color w:val="002060"/>
        </w:rPr>
        <w:t>)</w:t>
      </w:r>
      <w:r>
        <w:t> </w:t>
      </w:r>
    </w:p>
    <w:p w14:paraId="64883170" w14:textId="77777777" w:rsidR="009F1478" w:rsidRPr="004807A6" w:rsidRDefault="009F1478" w:rsidP="009F1478"/>
    <w:sectPr w:rsidR="009F1478" w:rsidRPr="004807A6" w:rsidSect="0017643D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BDC16" w14:textId="77777777" w:rsidR="0017643D" w:rsidRDefault="0017643D" w:rsidP="0017643D">
      <w:pPr>
        <w:spacing w:after="0" w:line="240" w:lineRule="auto"/>
      </w:pPr>
      <w:r>
        <w:separator/>
      </w:r>
    </w:p>
  </w:endnote>
  <w:endnote w:type="continuationSeparator" w:id="0">
    <w:p w14:paraId="63FD0691" w14:textId="77777777" w:rsidR="0017643D" w:rsidRDefault="0017643D" w:rsidP="00176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58B90" w14:textId="77777777" w:rsidR="0017643D" w:rsidRDefault="0017643D">
    <w:pPr>
      <w:pStyle w:val="Pieddepage"/>
      <w:jc w:val="center"/>
      <w:rPr>
        <w:color w:val="156082" w:themeColor="accent1"/>
      </w:rPr>
    </w:pPr>
    <w:r>
      <w:rPr>
        <w:color w:val="156082" w:themeColor="accent1"/>
      </w:rPr>
      <w:t xml:space="preserve">Page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PAGE  \* Arabic  \* MERGEFORMAT</w:instrText>
    </w:r>
    <w:r>
      <w:rPr>
        <w:color w:val="156082" w:themeColor="accent1"/>
      </w:rPr>
      <w:fldChar w:fldCharType="separate"/>
    </w:r>
    <w:r>
      <w:rPr>
        <w:color w:val="156082" w:themeColor="accent1"/>
      </w:rPr>
      <w:t>2</w:t>
    </w:r>
    <w:r>
      <w:rPr>
        <w:color w:val="156082" w:themeColor="accent1"/>
      </w:rPr>
      <w:fldChar w:fldCharType="end"/>
    </w:r>
    <w:r>
      <w:rPr>
        <w:color w:val="156082" w:themeColor="accent1"/>
      </w:rPr>
      <w:t xml:space="preserve"> sur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NUMPAGES  \* arabe  \* MERGEFORMAT</w:instrText>
    </w:r>
    <w:r>
      <w:rPr>
        <w:color w:val="156082" w:themeColor="accent1"/>
      </w:rPr>
      <w:fldChar w:fldCharType="separate"/>
    </w:r>
    <w:r>
      <w:rPr>
        <w:color w:val="156082" w:themeColor="accent1"/>
      </w:rPr>
      <w:t>2</w:t>
    </w:r>
    <w:r>
      <w:rPr>
        <w:color w:val="156082" w:themeColor="accent1"/>
      </w:rPr>
      <w:fldChar w:fldCharType="end"/>
    </w:r>
  </w:p>
  <w:p w14:paraId="02E549FF" w14:textId="77777777" w:rsidR="0017643D" w:rsidRDefault="0017643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099EC" w14:textId="77777777" w:rsidR="0017643D" w:rsidRDefault="0017643D">
    <w:pPr>
      <w:pStyle w:val="Pieddepage"/>
      <w:jc w:val="center"/>
      <w:rPr>
        <w:color w:val="156082" w:themeColor="accent1"/>
      </w:rPr>
    </w:pPr>
    <w:r>
      <w:rPr>
        <w:color w:val="156082" w:themeColor="accent1"/>
      </w:rPr>
      <w:t xml:space="preserve">Page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PAGE  \* Arabic  \* MERGEFORMAT</w:instrText>
    </w:r>
    <w:r>
      <w:rPr>
        <w:color w:val="156082" w:themeColor="accent1"/>
      </w:rPr>
      <w:fldChar w:fldCharType="separate"/>
    </w:r>
    <w:r>
      <w:rPr>
        <w:color w:val="156082" w:themeColor="accent1"/>
      </w:rPr>
      <w:t>2</w:t>
    </w:r>
    <w:r>
      <w:rPr>
        <w:color w:val="156082" w:themeColor="accent1"/>
      </w:rPr>
      <w:fldChar w:fldCharType="end"/>
    </w:r>
    <w:r>
      <w:rPr>
        <w:color w:val="156082" w:themeColor="accent1"/>
      </w:rPr>
      <w:t xml:space="preserve"> sur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NUMPAGES  \* arabe  \* MERGEFORMAT</w:instrText>
    </w:r>
    <w:r>
      <w:rPr>
        <w:color w:val="156082" w:themeColor="accent1"/>
      </w:rPr>
      <w:fldChar w:fldCharType="separate"/>
    </w:r>
    <w:r>
      <w:rPr>
        <w:color w:val="156082" w:themeColor="accent1"/>
      </w:rPr>
      <w:t>2</w:t>
    </w:r>
    <w:r>
      <w:rPr>
        <w:color w:val="156082" w:themeColor="accent1"/>
      </w:rPr>
      <w:fldChar w:fldCharType="end"/>
    </w:r>
  </w:p>
  <w:p w14:paraId="61C06F74" w14:textId="77777777" w:rsidR="0017643D" w:rsidRDefault="001764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BEA85" w14:textId="77777777" w:rsidR="0017643D" w:rsidRDefault="0017643D" w:rsidP="0017643D">
      <w:pPr>
        <w:spacing w:after="0" w:line="240" w:lineRule="auto"/>
      </w:pPr>
      <w:r>
        <w:separator/>
      </w:r>
    </w:p>
  </w:footnote>
  <w:footnote w:type="continuationSeparator" w:id="0">
    <w:p w14:paraId="0A5CE3BE" w14:textId="77777777" w:rsidR="0017643D" w:rsidRDefault="0017643D" w:rsidP="00176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351C0" w14:textId="38F2B9AC" w:rsidR="0017643D" w:rsidRDefault="0017643D">
    <w:pPr>
      <w:pStyle w:val="En-tte"/>
    </w:pPr>
  </w:p>
  <w:p w14:paraId="5E42F2C2" w14:textId="77777777" w:rsidR="0017643D" w:rsidRDefault="0017643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2AEF6" w14:textId="453C7156" w:rsidR="0017643D" w:rsidRDefault="0017643D">
    <w:pPr>
      <w:pStyle w:val="En-tte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3AD4C8F5" wp14:editId="102E3B3E">
          <wp:simplePos x="0" y="0"/>
          <wp:positionH relativeFrom="margin">
            <wp:posOffset>0</wp:posOffset>
          </wp:positionH>
          <wp:positionV relativeFrom="paragraph">
            <wp:posOffset>288290</wp:posOffset>
          </wp:positionV>
          <wp:extent cx="1066165" cy="714375"/>
          <wp:effectExtent l="0" t="0" r="0" b="9525"/>
          <wp:wrapSquare wrapText="bothSides" distT="114300" distB="114300" distL="114300" distR="114300"/>
          <wp:docPr id="1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r="68283"/>
                  <a:stretch>
                    <a:fillRect/>
                  </a:stretch>
                </pic:blipFill>
                <pic:spPr>
                  <a:xfrm>
                    <a:off x="0" y="0"/>
                    <a:ext cx="1066165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0288" behindDoc="0" locked="0" layoutInCell="1" hidden="0" allowOverlap="1" wp14:anchorId="58A38400" wp14:editId="140BE2F9">
          <wp:simplePos x="0" y="0"/>
          <wp:positionH relativeFrom="margin">
            <wp:posOffset>1778000</wp:posOffset>
          </wp:positionH>
          <wp:positionV relativeFrom="paragraph">
            <wp:posOffset>285115</wp:posOffset>
          </wp:positionV>
          <wp:extent cx="2186160" cy="714375"/>
          <wp:effectExtent l="0" t="0" r="5080" b="0"/>
          <wp:wrapSquare wrapText="bothSides" distT="114300" distB="114300" distL="114300" distR="1143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8616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7B9"/>
    <w:multiLevelType w:val="hybridMultilevel"/>
    <w:tmpl w:val="7D5493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341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4F36B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D16660"/>
    <w:multiLevelType w:val="hybridMultilevel"/>
    <w:tmpl w:val="9B0EDD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30861"/>
    <w:multiLevelType w:val="hybridMultilevel"/>
    <w:tmpl w:val="76588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57C5"/>
    <w:multiLevelType w:val="hybridMultilevel"/>
    <w:tmpl w:val="FBBA9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053DE"/>
    <w:multiLevelType w:val="multilevel"/>
    <w:tmpl w:val="891C8B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666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3F51E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E910B3"/>
    <w:multiLevelType w:val="hybridMultilevel"/>
    <w:tmpl w:val="C8365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F0D9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D13FF2"/>
    <w:multiLevelType w:val="hybridMultilevel"/>
    <w:tmpl w:val="E74E3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0296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CE0F3B"/>
    <w:multiLevelType w:val="hybridMultilevel"/>
    <w:tmpl w:val="FF0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35D5A"/>
    <w:multiLevelType w:val="hybridMultilevel"/>
    <w:tmpl w:val="1C66E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F267AC"/>
    <w:multiLevelType w:val="hybridMultilevel"/>
    <w:tmpl w:val="F912DBDA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22B939E7"/>
    <w:multiLevelType w:val="multilevel"/>
    <w:tmpl w:val="3A6E0AA6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879528D"/>
    <w:multiLevelType w:val="multilevel"/>
    <w:tmpl w:val="7D9E895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FA1F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A18178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A3623C8"/>
    <w:multiLevelType w:val="multilevel"/>
    <w:tmpl w:val="C5DE489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AD72A86"/>
    <w:multiLevelType w:val="multilevel"/>
    <w:tmpl w:val="3FAE6D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B40639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C08744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E7A302E"/>
    <w:multiLevelType w:val="hybridMultilevel"/>
    <w:tmpl w:val="0010D8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D84AF6"/>
    <w:multiLevelType w:val="hybridMultilevel"/>
    <w:tmpl w:val="B14A05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997609"/>
    <w:multiLevelType w:val="hybridMultilevel"/>
    <w:tmpl w:val="F9D0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E963C7"/>
    <w:multiLevelType w:val="hybridMultilevel"/>
    <w:tmpl w:val="A87C14D6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3401441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6EB0CE9"/>
    <w:multiLevelType w:val="hybridMultilevel"/>
    <w:tmpl w:val="DC0E9598"/>
    <w:lvl w:ilvl="0" w:tplc="950A4F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0F0987"/>
    <w:multiLevelType w:val="hybridMultilevel"/>
    <w:tmpl w:val="78D86F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7E7FF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7F24A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D0B153E"/>
    <w:multiLevelType w:val="multilevel"/>
    <w:tmpl w:val="602AB2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F9A2C99"/>
    <w:multiLevelType w:val="multilevel"/>
    <w:tmpl w:val="3D98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41366607"/>
    <w:multiLevelType w:val="multilevel"/>
    <w:tmpl w:val="B8BA58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8116775"/>
    <w:multiLevelType w:val="multilevel"/>
    <w:tmpl w:val="A0381F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DE46BBF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8" w15:restartNumberingAfterBreak="0">
    <w:nsid w:val="4F5958A5"/>
    <w:multiLevelType w:val="hybridMultilevel"/>
    <w:tmpl w:val="BFDCD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731DBC"/>
    <w:multiLevelType w:val="hybridMultilevel"/>
    <w:tmpl w:val="F81037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126D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98C1DC0"/>
    <w:multiLevelType w:val="hybridMultilevel"/>
    <w:tmpl w:val="FC32B2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72599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D8C054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FC431AB"/>
    <w:multiLevelType w:val="multilevel"/>
    <w:tmpl w:val="37D8CE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0B704F1"/>
    <w:multiLevelType w:val="hybridMultilevel"/>
    <w:tmpl w:val="96E0A2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0EE5D9B"/>
    <w:multiLevelType w:val="multilevel"/>
    <w:tmpl w:val="83E45572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7B3150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082034D"/>
    <w:multiLevelType w:val="multilevel"/>
    <w:tmpl w:val="7ED8AD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17A2AEA"/>
    <w:multiLevelType w:val="hybridMultilevel"/>
    <w:tmpl w:val="402AF0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897056">
    <w:abstractNumId w:val="15"/>
  </w:num>
  <w:num w:numId="2" w16cid:durableId="460851033">
    <w:abstractNumId w:val="11"/>
  </w:num>
  <w:num w:numId="3" w16cid:durableId="1406149306">
    <w:abstractNumId w:val="0"/>
  </w:num>
  <w:num w:numId="4" w16cid:durableId="95637337">
    <w:abstractNumId w:val="41"/>
  </w:num>
  <w:num w:numId="5" w16cid:durableId="17777632">
    <w:abstractNumId w:val="14"/>
  </w:num>
  <w:num w:numId="6" w16cid:durableId="397368200">
    <w:abstractNumId w:val="27"/>
  </w:num>
  <w:num w:numId="7" w16cid:durableId="908344171">
    <w:abstractNumId w:val="26"/>
  </w:num>
  <w:num w:numId="8" w16cid:durableId="338237913">
    <w:abstractNumId w:val="39"/>
  </w:num>
  <w:num w:numId="9" w16cid:durableId="973291287">
    <w:abstractNumId w:val="3"/>
  </w:num>
  <w:num w:numId="10" w16cid:durableId="1826311029">
    <w:abstractNumId w:val="7"/>
  </w:num>
  <w:num w:numId="11" w16cid:durableId="1551381458">
    <w:abstractNumId w:val="29"/>
  </w:num>
  <w:num w:numId="12" w16cid:durableId="1822888611">
    <w:abstractNumId w:val="12"/>
  </w:num>
  <w:num w:numId="13" w16cid:durableId="60296314">
    <w:abstractNumId w:val="43"/>
  </w:num>
  <w:num w:numId="14" w16cid:durableId="363871813">
    <w:abstractNumId w:val="22"/>
  </w:num>
  <w:num w:numId="15" w16cid:durableId="630599469">
    <w:abstractNumId w:val="8"/>
  </w:num>
  <w:num w:numId="16" w16cid:durableId="794832062">
    <w:abstractNumId w:val="19"/>
  </w:num>
  <w:num w:numId="17" w16cid:durableId="670184117">
    <w:abstractNumId w:val="2"/>
  </w:num>
  <w:num w:numId="18" w16cid:durableId="1155102211">
    <w:abstractNumId w:val="18"/>
  </w:num>
  <w:num w:numId="19" w16cid:durableId="1404176595">
    <w:abstractNumId w:val="31"/>
  </w:num>
  <w:num w:numId="20" w16cid:durableId="1470124495">
    <w:abstractNumId w:val="28"/>
  </w:num>
  <w:num w:numId="21" w16cid:durableId="225533630">
    <w:abstractNumId w:val="42"/>
  </w:num>
  <w:num w:numId="22" w16cid:durableId="875970461">
    <w:abstractNumId w:val="23"/>
  </w:num>
  <w:num w:numId="23" w16cid:durableId="104155231">
    <w:abstractNumId w:val="32"/>
  </w:num>
  <w:num w:numId="24" w16cid:durableId="2131432779">
    <w:abstractNumId w:val="1"/>
  </w:num>
  <w:num w:numId="25" w16cid:durableId="1136675866">
    <w:abstractNumId w:val="40"/>
  </w:num>
  <w:num w:numId="26" w16cid:durableId="573399419">
    <w:abstractNumId w:val="47"/>
  </w:num>
  <w:num w:numId="27" w16cid:durableId="1052459740">
    <w:abstractNumId w:val="30"/>
  </w:num>
  <w:num w:numId="28" w16cid:durableId="1113477479">
    <w:abstractNumId w:val="9"/>
  </w:num>
  <w:num w:numId="29" w16cid:durableId="356783835">
    <w:abstractNumId w:val="49"/>
  </w:num>
  <w:num w:numId="30" w16cid:durableId="1808472177">
    <w:abstractNumId w:val="38"/>
  </w:num>
  <w:num w:numId="31" w16cid:durableId="1418867471">
    <w:abstractNumId w:val="4"/>
  </w:num>
  <w:num w:numId="32" w16cid:durableId="442531716">
    <w:abstractNumId w:val="24"/>
  </w:num>
  <w:num w:numId="33" w16cid:durableId="219630437">
    <w:abstractNumId w:val="13"/>
  </w:num>
  <w:num w:numId="34" w16cid:durableId="482890805">
    <w:abstractNumId w:val="25"/>
  </w:num>
  <w:num w:numId="35" w16cid:durableId="1775400596">
    <w:abstractNumId w:val="10"/>
  </w:num>
  <w:num w:numId="36" w16cid:durableId="592323354">
    <w:abstractNumId w:val="37"/>
  </w:num>
  <w:num w:numId="37" w16cid:durableId="787969761">
    <w:abstractNumId w:val="17"/>
  </w:num>
  <w:num w:numId="38" w16cid:durableId="1521822914">
    <w:abstractNumId w:val="33"/>
  </w:num>
  <w:num w:numId="39" w16cid:durableId="1227574379">
    <w:abstractNumId w:val="35"/>
  </w:num>
  <w:num w:numId="40" w16cid:durableId="796921511">
    <w:abstractNumId w:val="46"/>
  </w:num>
  <w:num w:numId="41" w16cid:durableId="266161101">
    <w:abstractNumId w:val="44"/>
  </w:num>
  <w:num w:numId="42" w16cid:durableId="1504586103">
    <w:abstractNumId w:val="48"/>
  </w:num>
  <w:num w:numId="43" w16cid:durableId="375473289">
    <w:abstractNumId w:val="6"/>
  </w:num>
  <w:num w:numId="44" w16cid:durableId="866479493">
    <w:abstractNumId w:val="45"/>
  </w:num>
  <w:num w:numId="45" w16cid:durableId="1749841098">
    <w:abstractNumId w:val="21"/>
  </w:num>
  <w:num w:numId="46" w16cid:durableId="789862115">
    <w:abstractNumId w:val="36"/>
  </w:num>
  <w:num w:numId="47" w16cid:durableId="1925605046">
    <w:abstractNumId w:val="20"/>
  </w:num>
  <w:num w:numId="48" w16cid:durableId="197208615">
    <w:abstractNumId w:val="34"/>
  </w:num>
  <w:num w:numId="49" w16cid:durableId="1690834431">
    <w:abstractNumId w:val="5"/>
  </w:num>
  <w:num w:numId="50" w16cid:durableId="11313947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F6A"/>
    <w:rsid w:val="0000339D"/>
    <w:rsid w:val="000A00AB"/>
    <w:rsid w:val="000E686D"/>
    <w:rsid w:val="00125D3E"/>
    <w:rsid w:val="0017643D"/>
    <w:rsid w:val="001766E8"/>
    <w:rsid w:val="001A0562"/>
    <w:rsid w:val="00260394"/>
    <w:rsid w:val="00283800"/>
    <w:rsid w:val="002B0F96"/>
    <w:rsid w:val="002B6299"/>
    <w:rsid w:val="00300A78"/>
    <w:rsid w:val="00310FD8"/>
    <w:rsid w:val="00351A68"/>
    <w:rsid w:val="00365462"/>
    <w:rsid w:val="003660D6"/>
    <w:rsid w:val="00387BFC"/>
    <w:rsid w:val="003A22BC"/>
    <w:rsid w:val="003C13D9"/>
    <w:rsid w:val="003E01BF"/>
    <w:rsid w:val="003E5C47"/>
    <w:rsid w:val="003F1D14"/>
    <w:rsid w:val="003F3AE3"/>
    <w:rsid w:val="00424DC5"/>
    <w:rsid w:val="00451419"/>
    <w:rsid w:val="00460F6A"/>
    <w:rsid w:val="00472408"/>
    <w:rsid w:val="004807A6"/>
    <w:rsid w:val="00487E8D"/>
    <w:rsid w:val="00533F9A"/>
    <w:rsid w:val="00540D9E"/>
    <w:rsid w:val="00561256"/>
    <w:rsid w:val="00582199"/>
    <w:rsid w:val="005853C2"/>
    <w:rsid w:val="005A2AE9"/>
    <w:rsid w:val="00607B00"/>
    <w:rsid w:val="00641D9A"/>
    <w:rsid w:val="006D221C"/>
    <w:rsid w:val="00721BA2"/>
    <w:rsid w:val="007F7E95"/>
    <w:rsid w:val="00810F26"/>
    <w:rsid w:val="0081632D"/>
    <w:rsid w:val="008227E2"/>
    <w:rsid w:val="008F0066"/>
    <w:rsid w:val="00902A89"/>
    <w:rsid w:val="00923436"/>
    <w:rsid w:val="009530B9"/>
    <w:rsid w:val="00957B2F"/>
    <w:rsid w:val="009D1880"/>
    <w:rsid w:val="009F1478"/>
    <w:rsid w:val="009F298C"/>
    <w:rsid w:val="009F5F9A"/>
    <w:rsid w:val="00A477B1"/>
    <w:rsid w:val="00A613AF"/>
    <w:rsid w:val="00AB408D"/>
    <w:rsid w:val="00B0006F"/>
    <w:rsid w:val="00B3201F"/>
    <w:rsid w:val="00B33258"/>
    <w:rsid w:val="00B9419C"/>
    <w:rsid w:val="00BA5F83"/>
    <w:rsid w:val="00C30C34"/>
    <w:rsid w:val="00C324BC"/>
    <w:rsid w:val="00C604C1"/>
    <w:rsid w:val="00CE4C70"/>
    <w:rsid w:val="00D32BC7"/>
    <w:rsid w:val="00D74C7B"/>
    <w:rsid w:val="00D77566"/>
    <w:rsid w:val="00D92A3A"/>
    <w:rsid w:val="00DF2540"/>
    <w:rsid w:val="00DF40AC"/>
    <w:rsid w:val="00E400D6"/>
    <w:rsid w:val="00E568A5"/>
    <w:rsid w:val="00E809D7"/>
    <w:rsid w:val="00E81498"/>
    <w:rsid w:val="00F01ABF"/>
    <w:rsid w:val="00F0242C"/>
    <w:rsid w:val="00F23320"/>
    <w:rsid w:val="00F255C6"/>
    <w:rsid w:val="00F738C1"/>
    <w:rsid w:val="00F8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298A8"/>
  <w15:chartTrackingRefBased/>
  <w15:docId w15:val="{5E33A1F1-2F71-40E0-846C-7A445AD17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258"/>
  </w:style>
  <w:style w:type="paragraph" w:styleId="Titre1">
    <w:name w:val="heading 1"/>
    <w:basedOn w:val="Normal"/>
    <w:next w:val="Normal"/>
    <w:link w:val="Titre1Car"/>
    <w:uiPriority w:val="9"/>
    <w:qFormat/>
    <w:rsid w:val="00460F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60F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0F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0F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0F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0F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0F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0F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0F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0F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460F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460F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0F6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0F6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0F6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0F6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0F6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0F6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0F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0F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0F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0F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0F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0F6A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460F6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0F6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0F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0F6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0F6A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533F9A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33F9A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9F1478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9F1478"/>
    <w:rPr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9F1478"/>
    <w:pPr>
      <w:suppressAutoHyphens/>
      <w:spacing w:line="240" w:lineRule="auto"/>
    </w:pPr>
    <w:rPr>
      <w:sz w:val="20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9F1478"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AB408D"/>
    <w:rPr>
      <w:color w:val="96607D" w:themeColor="followedHyperlink"/>
      <w:u w:val="single"/>
    </w:rPr>
  </w:style>
  <w:style w:type="character" w:customStyle="1" w:styleId="LienInternet">
    <w:name w:val="Lien Internet"/>
    <w:basedOn w:val="Policepardfaut"/>
    <w:uiPriority w:val="99"/>
    <w:unhideWhenUsed/>
    <w:rsid w:val="00F738C1"/>
    <w:rPr>
      <w:color w:val="467886" w:themeColor="hyperlink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B33258"/>
  </w:style>
  <w:style w:type="paragraph" w:styleId="En-tte">
    <w:name w:val="header"/>
    <w:basedOn w:val="Normal"/>
    <w:link w:val="En-tteCar"/>
    <w:uiPriority w:val="99"/>
    <w:unhideWhenUsed/>
    <w:rsid w:val="00176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643D"/>
  </w:style>
  <w:style w:type="paragraph" w:styleId="Pieddepage">
    <w:name w:val="footer"/>
    <w:basedOn w:val="Normal"/>
    <w:link w:val="PieddepageCar"/>
    <w:uiPriority w:val="99"/>
    <w:unhideWhenUsed/>
    <w:rsid w:val="00176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6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s.statcounter.com/" TargetMode="External"/><Relationship Id="rId13" Type="http://schemas.openxmlformats.org/officeDocument/2006/relationships/hyperlink" Target="https://developer.mozilla.org/en-US/observatory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developer.mozilla.org/en-US/observatory" TargetMode="External"/><Relationship Id="rId17" Type="http://schemas.openxmlformats.org/officeDocument/2006/relationships/hyperlink" Target="https://gtmetrix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agespeed.web.dev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yber.gouv.fr/publications/automatisation-de-la-gestion-des-certificats-avec-acm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ebpagetest.org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sl-config.mozilla.org/%20%2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as.sorbonne-nouvelle.fr/" TargetMode="External"/><Relationship Id="rId14" Type="http://schemas.openxmlformats.org/officeDocument/2006/relationships/hyperlink" Target="mailto:rssi@sorbonne-nouvelle.fr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5721F-E16D-44F6-BF97-6525ADFF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7</Pages>
  <Words>2527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Henry</dc:creator>
  <cp:keywords/>
  <dc:description/>
  <cp:lastModifiedBy>Laurent Henry</cp:lastModifiedBy>
  <cp:revision>14</cp:revision>
  <dcterms:created xsi:type="dcterms:W3CDTF">2025-06-16T13:56:00Z</dcterms:created>
  <dcterms:modified xsi:type="dcterms:W3CDTF">2025-06-18T11:14:00Z</dcterms:modified>
</cp:coreProperties>
</file>