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817088" w:rsidRDefault="00E42FF3">
      <w:pPr>
        <w:rPr>
          <w:rFonts w:ascii="Arial Narrow" w:hAnsi="Arial Narrow"/>
          <w:vanish/>
          <w:specVanish/>
        </w:rPr>
      </w:pPr>
    </w:p>
    <w:p w14:paraId="0E54E7E5" w14:textId="6260A034" w:rsidR="00E42FF3" w:rsidRPr="00817088" w:rsidRDefault="00817088" w:rsidP="00E42FF3">
      <w:pPr>
        <w:rPr>
          <w:rFonts w:ascii="Arial Narrow" w:hAnsi="Arial Narrow"/>
          <w:vanish/>
          <w:specVanish/>
        </w:rPr>
      </w:pPr>
      <w:r>
        <w:rPr>
          <w:rFonts w:ascii="Arial Narrow" w:hAnsi="Arial Narrow"/>
        </w:rPr>
        <w:t xml:space="preserve"> </w:t>
      </w:r>
    </w:p>
    <w:p w14:paraId="6A50FD60" w14:textId="2F0B1B66" w:rsidR="00E42FF3" w:rsidRPr="003E63FD" w:rsidRDefault="00817088" w:rsidP="00E42FF3">
      <w:pPr>
        <w:pStyle w:val="Notedebasdepage1"/>
        <w:tabs>
          <w:tab w:val="left" w:pos="0"/>
        </w:tabs>
        <w:spacing w:after="40"/>
        <w:rPr>
          <w:rFonts w:ascii="Arial Narrow" w:hAnsi="Arial Narrow"/>
          <w:sz w:val="48"/>
          <w:szCs w:val="48"/>
        </w:rPr>
      </w:pPr>
      <w:r>
        <w:rPr>
          <w:rFonts w:ascii="Arial Narrow" w:hAnsi="Arial Narrow"/>
          <w:sz w:val="48"/>
          <w:szCs w:val="48"/>
        </w:rPr>
        <w:t xml:space="preserve"> </w:t>
      </w: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246AD8" w:rsidRDefault="00E42FF3" w:rsidP="00E42FF3">
      <w:pPr>
        <w:pStyle w:val="Notedebasdepage1"/>
        <w:tabs>
          <w:tab w:val="left" w:pos="0"/>
        </w:tabs>
        <w:spacing w:after="40"/>
        <w:jc w:val="center"/>
        <w:rPr>
          <w:rFonts w:ascii="Arial Narrow" w:hAnsi="Arial Narrow"/>
          <w:color w:val="2E74B5" w:themeColor="accent1" w:themeShade="BF"/>
          <w:sz w:val="48"/>
          <w:szCs w:val="48"/>
        </w:rPr>
      </w:pPr>
      <w:r w:rsidRPr="00246AD8">
        <w:rPr>
          <w:rFonts w:ascii="Arial Narrow" w:hAnsi="Arial Narrow"/>
          <w:color w:val="2E74B5" w:themeColor="accent1" w:themeShade="BF"/>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073044E0" w14:textId="77777777" w:rsidR="00645501" w:rsidRDefault="00645501" w:rsidP="00645501">
      <w:pPr>
        <w:pStyle w:val="En-tte"/>
        <w:tabs>
          <w:tab w:val="clear" w:pos="4536"/>
          <w:tab w:val="clear" w:pos="9072"/>
        </w:tabs>
        <w:spacing w:after="160" w:line="259" w:lineRule="auto"/>
        <w:jc w:val="center"/>
        <w:rPr>
          <w:rFonts w:ascii="Arial Narrow" w:hAnsi="Arial Narrow"/>
          <w:sz w:val="28"/>
          <w:szCs w:val="28"/>
        </w:rPr>
      </w:pPr>
      <w:r>
        <w:rPr>
          <w:rFonts w:ascii="Arial Narrow" w:hAnsi="Arial Narrow"/>
          <w:sz w:val="28"/>
          <w:szCs w:val="28"/>
        </w:rPr>
        <w:t>Prestations de mandataire d’achat d’espaces publicitaires</w:t>
      </w:r>
    </w:p>
    <w:p w14:paraId="402D2A97" w14:textId="09E7B23B" w:rsidR="00D13677" w:rsidRDefault="00D13677" w:rsidP="00D13677">
      <w:pPr>
        <w:pStyle w:val="En-tte"/>
        <w:tabs>
          <w:tab w:val="clear" w:pos="4536"/>
          <w:tab w:val="clear" w:pos="9072"/>
        </w:tabs>
        <w:spacing w:after="160" w:line="259" w:lineRule="auto"/>
        <w:jc w:val="center"/>
        <w:rPr>
          <w:rFonts w:ascii="Arial Narrow" w:hAnsi="Arial Narrow"/>
          <w:sz w:val="28"/>
          <w:szCs w:val="28"/>
        </w:rPr>
      </w:pPr>
      <w:r>
        <w:rPr>
          <w:rFonts w:ascii="Arial Narrow" w:hAnsi="Arial Narrow"/>
          <w:sz w:val="28"/>
          <w:szCs w:val="28"/>
        </w:rPr>
        <w:t>N°2025-</w:t>
      </w:r>
      <w:r w:rsidR="00F10808">
        <w:rPr>
          <w:rFonts w:ascii="Arial Narrow" w:hAnsi="Arial Narrow"/>
          <w:sz w:val="28"/>
          <w:szCs w:val="28"/>
        </w:rPr>
        <w:t>1</w:t>
      </w:r>
      <w:r>
        <w:rPr>
          <w:rFonts w:ascii="Arial Narrow" w:hAnsi="Arial Narrow"/>
          <w:sz w:val="28"/>
          <w:szCs w:val="28"/>
        </w:rPr>
        <w:t>6</w:t>
      </w:r>
      <w:r w:rsidR="00F10808">
        <w:rPr>
          <w:rFonts w:ascii="Arial Narrow" w:hAnsi="Arial Narrow"/>
          <w:sz w:val="28"/>
          <w:szCs w:val="28"/>
        </w:rPr>
        <w:t>4</w:t>
      </w:r>
    </w:p>
    <w:p w14:paraId="5B9748D6"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55D22CE8"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7B11A116"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2C367903"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40CD2216" w14:textId="77777777" w:rsidR="00E42FF3" w:rsidRPr="003E63FD" w:rsidRDefault="00E42FF3" w:rsidP="00E42FF3">
      <w:pPr>
        <w:rPr>
          <w:rFonts w:ascii="Arial Narrow" w:hAnsi="Arial Narrow"/>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3FE76964" w:rsidR="00E42FF3" w:rsidRPr="003E63FD" w:rsidRDefault="00E42FF3" w:rsidP="0024335F">
            <w:pPr>
              <w:pStyle w:val="5Normal"/>
              <w:ind w:left="30" w:right="31"/>
              <w:jc w:val="left"/>
              <w:rPr>
                <w:rFonts w:ascii="Arial Narrow" w:hAnsi="Arial Narrow"/>
                <w:sz w:val="28"/>
                <w:szCs w:val="28"/>
              </w:rPr>
            </w:pPr>
            <w:r w:rsidRPr="003E63FD">
              <w:rPr>
                <w:rFonts w:ascii="Arial Narrow" w:hAnsi="Arial Narrow"/>
                <w:sz w:val="28"/>
                <w:szCs w:val="28"/>
              </w:rPr>
              <w:t xml:space="preserve">Date limite de remise des offres :  </w:t>
            </w:r>
            <w:sdt>
              <w:sdtPr>
                <w:rPr>
                  <w:rFonts w:ascii="Arial Narrow" w:hAnsi="Arial Narrow"/>
                  <w:sz w:val="28"/>
                  <w:szCs w:val="28"/>
                </w:rPr>
                <w:alias w:val="DLRO"/>
                <w:tag w:val="DLRO"/>
                <w:id w:val="1896242589"/>
                <w:placeholder>
                  <w:docPart w:val="E89994D442754721AEA82704206A4513"/>
                </w:placeholder>
                <w15:color w:val="00FF00"/>
                <w:date w:fullDate="2025-08-01T00:00:00Z">
                  <w:dateFormat w:val="dddd d MMMM yyyy"/>
                  <w:lid w:val="fr-FR"/>
                  <w:storeMappedDataAs w:val="dateTime"/>
                  <w:calendar w:val="gregorian"/>
                </w:date>
              </w:sdtPr>
              <w:sdtEndPr/>
              <w:sdtContent>
                <w:r w:rsidR="002E01F2">
                  <w:rPr>
                    <w:rFonts w:ascii="Arial Narrow" w:hAnsi="Arial Narrow"/>
                    <w:sz w:val="28"/>
                    <w:szCs w:val="28"/>
                  </w:rPr>
                  <w:t>vendredi 1er août 2025</w:t>
                </w:r>
              </w:sdtContent>
            </w:sdt>
            <w:r w:rsidRPr="006F737E">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3C14FE" w:rsidRPr="006F737E">
                  <w:rPr>
                    <w:rFonts w:ascii="Arial Narrow" w:hAnsi="Arial Narrow"/>
                    <w:sz w:val="28"/>
                    <w:szCs w:val="28"/>
                  </w:rPr>
                  <w:t>10H00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70F2FC8E"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FD224D">
                  <w:rPr>
                    <w:rFonts w:ascii="Arial Narrow" w:hAnsi="Arial Narrow"/>
                    <w:sz w:val="22"/>
                    <w:szCs w:val="22"/>
                  </w:rPr>
                  <w:t>Services</w:t>
                </w:r>
              </w:sdtContent>
            </w:sdt>
          </w:p>
          <w:p w14:paraId="30DF2B6F" w14:textId="37663896"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D13677">
                  <w:rPr>
                    <w:rFonts w:ascii="Arial Narrow" w:hAnsi="Arial Narrow"/>
                  </w:rPr>
                  <w:t>- Procédure d’appel d’offres ouvert en application des dispositions de l’article L. 2124-2, du 1° de l’article R. 2124-2 et des articles R. 2161-2 à R. 2161-5 du code de la commande publique</w:t>
                </w:r>
              </w:sdtContent>
            </w:sdt>
          </w:p>
          <w:p w14:paraId="7C920E92" w14:textId="667A30DD"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FD224D">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1BCFB119" w14:textId="77777777" w:rsidR="0024335F" w:rsidRPr="003E63FD" w:rsidRDefault="0024335F">
      <w:pPr>
        <w:rPr>
          <w:rFonts w:ascii="Arial Narrow" w:hAnsi="Arial Narrow"/>
          <w:b/>
        </w:rPr>
      </w:pPr>
      <w:r w:rsidRPr="003E63FD">
        <w:rPr>
          <w:rFonts w:ascii="Arial Narrow" w:hAnsi="Arial Narrow"/>
          <w:b/>
        </w:rPr>
        <w:br w:type="page"/>
      </w:r>
    </w:p>
    <w:p w14:paraId="09C9DFC8" w14:textId="77777777" w:rsidR="00E42FF3" w:rsidRPr="003E63FD" w:rsidRDefault="00E42FF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OBJET DE LA CONSULTATION</w:t>
      </w:r>
    </w:p>
    <w:p w14:paraId="45D16895" w14:textId="66DC11C7" w:rsidR="007221BF" w:rsidRPr="003E63FD" w:rsidRDefault="00E42FF3"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 présente consultation a pour objet de conclure un </w:t>
      </w:r>
      <w:r w:rsidR="00C80B51">
        <w:rPr>
          <w:rFonts w:ascii="Arial Narrow" w:hAnsi="Arial Narrow"/>
        </w:rPr>
        <w:t>accord-cadre</w:t>
      </w:r>
      <w:r w:rsidRPr="003E63FD">
        <w:rPr>
          <w:rFonts w:ascii="Arial Narrow" w:hAnsi="Arial Narrow"/>
        </w:rPr>
        <w:t xml:space="preserve"> </w:t>
      </w:r>
      <w:r w:rsidR="00F10808">
        <w:rPr>
          <w:rFonts w:ascii="Arial Narrow" w:hAnsi="Arial Narrow"/>
        </w:rPr>
        <w:t xml:space="preserve">pour </w:t>
      </w:r>
      <w:r w:rsidR="00F10808" w:rsidRPr="00F10808">
        <w:rPr>
          <w:rFonts w:ascii="Arial Narrow" w:hAnsi="Arial Narrow"/>
        </w:rPr>
        <w:t>la réalisation des prestations de mandataire pour l’achat d’espaces</w:t>
      </w:r>
      <w:r w:rsidR="0009091C">
        <w:rPr>
          <w:rFonts w:ascii="Arial Narrow" w:hAnsi="Arial Narrow"/>
        </w:rPr>
        <w:t xml:space="preserve"> publicitaires</w:t>
      </w:r>
      <w:r w:rsidR="00F10808" w:rsidRPr="00F10808">
        <w:rPr>
          <w:rFonts w:ascii="Arial Narrow" w:hAnsi="Arial Narrow"/>
        </w:rPr>
        <w:t xml:space="preserve"> pour l’établissement public des musées d’Orsay et de l’Orangerie – Valéry Giscard d’Estaing (EPMO-VGE). Les prestations consistent à négocier, acheter et gérer des espaces publicitaires, dans le cadre des stratégies de communication. </w:t>
      </w:r>
      <w:r w:rsidR="007221BF" w:rsidRPr="003E63FD">
        <w:rPr>
          <w:rFonts w:ascii="Arial Narrow" w:hAnsi="Arial Narrow"/>
        </w:rPr>
        <w:t>Les prestations sont rattachées au code CPV (</w:t>
      </w:r>
      <w:r w:rsidR="007221BF" w:rsidRPr="003E63FD">
        <w:rPr>
          <w:rFonts w:ascii="Arial Narrow" w:hAnsi="Arial Narrow"/>
          <w:i/>
        </w:rPr>
        <w:t xml:space="preserve">Common </w:t>
      </w:r>
      <w:proofErr w:type="spellStart"/>
      <w:r w:rsidR="007221BF" w:rsidRPr="003E63FD">
        <w:rPr>
          <w:rFonts w:ascii="Arial Narrow" w:hAnsi="Arial Narrow"/>
          <w:i/>
        </w:rPr>
        <w:t>Procurement</w:t>
      </w:r>
      <w:proofErr w:type="spellEnd"/>
      <w:r w:rsidR="007221BF" w:rsidRPr="003E63FD">
        <w:rPr>
          <w:rFonts w:ascii="Arial Narrow" w:hAnsi="Arial Narrow"/>
          <w:i/>
        </w:rPr>
        <w:t xml:space="preserve"> </w:t>
      </w:r>
      <w:proofErr w:type="spellStart"/>
      <w:r w:rsidR="007221BF" w:rsidRPr="003E63FD">
        <w:rPr>
          <w:rFonts w:ascii="Arial Narrow" w:hAnsi="Arial Narrow"/>
          <w:i/>
        </w:rPr>
        <w:t>Vocabulary</w:t>
      </w:r>
      <w:proofErr w:type="spellEnd"/>
      <w:r w:rsidR="007221BF" w:rsidRPr="003E63FD">
        <w:rPr>
          <w:rFonts w:ascii="Arial Narrow" w:hAnsi="Arial Narrow"/>
        </w:rPr>
        <w:t xml:space="preserve">)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057"/>
      </w:tblGrid>
      <w:tr w:rsidR="000331CB" w:rsidRPr="000331CB" w14:paraId="7E00DB0F" w14:textId="77777777" w:rsidTr="000331CB">
        <w:trPr>
          <w:trHeight w:val="235"/>
        </w:trPr>
        <w:tc>
          <w:tcPr>
            <w:tcW w:w="2122" w:type="dxa"/>
          </w:tcPr>
          <w:p w14:paraId="4BBAEC1B" w14:textId="27DB3589" w:rsidR="000331CB" w:rsidRPr="000331CB" w:rsidRDefault="00F10808" w:rsidP="00F10808">
            <w:pPr>
              <w:pStyle w:val="En-tte"/>
              <w:spacing w:after="120" w:line="360" w:lineRule="auto"/>
              <w:rPr>
                <w:rFonts w:ascii="Arial Narrow" w:hAnsi="Arial Narrow"/>
              </w:rPr>
            </w:pPr>
            <w:r>
              <w:rPr>
                <w:rFonts w:ascii="Arial Narrow" w:hAnsi="Arial Narrow"/>
              </w:rPr>
              <w:t>79341000-6</w:t>
            </w:r>
          </w:p>
        </w:tc>
        <w:tc>
          <w:tcPr>
            <w:tcW w:w="5057" w:type="dxa"/>
          </w:tcPr>
          <w:p w14:paraId="5D00AD2F" w14:textId="6F4AB8A9" w:rsidR="000331CB" w:rsidRPr="000331CB" w:rsidRDefault="00F10808" w:rsidP="00F10808">
            <w:pPr>
              <w:pStyle w:val="En-tte"/>
              <w:spacing w:after="120" w:line="360" w:lineRule="auto"/>
              <w:ind w:left="360"/>
              <w:rPr>
                <w:rFonts w:ascii="Arial Narrow" w:hAnsi="Arial Narrow"/>
              </w:rPr>
            </w:pPr>
            <w:r>
              <w:rPr>
                <w:rFonts w:ascii="Arial Narrow" w:hAnsi="Arial Narrow"/>
              </w:rPr>
              <w:t>Service de publicité</w:t>
            </w:r>
          </w:p>
        </w:tc>
      </w:tr>
    </w:tbl>
    <w:p w14:paraId="2F5F1A22" w14:textId="19A11D58" w:rsidR="00257918" w:rsidRPr="000331CB" w:rsidRDefault="000331CB" w:rsidP="00257918">
      <w:pPr>
        <w:pStyle w:val="En-tte"/>
        <w:tabs>
          <w:tab w:val="clear" w:pos="4536"/>
          <w:tab w:val="clear" w:pos="9072"/>
        </w:tabs>
        <w:spacing w:after="240" w:line="360" w:lineRule="auto"/>
        <w:jc w:val="both"/>
        <w:rPr>
          <w:rFonts w:ascii="Arial Narrow" w:hAnsi="Arial Narrow"/>
          <w:i/>
          <w:color w:val="ED7D31" w:themeColor="accent2"/>
        </w:rPr>
      </w:pPr>
      <w:r>
        <w:rPr>
          <w:rFonts w:ascii="Arial Narrow" w:hAnsi="Arial Narrow"/>
          <w:i/>
          <w:color w:val="ED7D31" w:themeColor="accent2"/>
        </w:rPr>
        <w:t> </w:t>
      </w: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74D64F23" w14:textId="234B1E30" w:rsidR="00854870"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 présente </w:t>
      </w:r>
      <w:r w:rsidR="00246AD8">
        <w:rPr>
          <w:rFonts w:ascii="Arial Narrow" w:hAnsi="Arial Narrow"/>
        </w:rPr>
        <w:t xml:space="preserve">consultation vise à conclure un </w:t>
      </w: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246AD8">
            <w:rPr>
              <w:rFonts w:ascii="Arial Narrow" w:hAnsi="Arial Narrow"/>
            </w:rPr>
            <w:t>a</w:t>
          </w:r>
          <w:r w:rsidR="000331CB">
            <w:rPr>
              <w:rFonts w:ascii="Arial Narrow" w:hAnsi="Arial Narrow"/>
            </w:rPr>
            <w:t xml:space="preserve">ccord-cadre mono-attributaire donnant lieu à l’émission de bons de commande en application du 1° de l’article L. 2125-1 et des articles R. 2162-1 à R. 2162-6 et R. 2162-13 à R. 2162-14 du code de la commande publique. </w:t>
          </w:r>
        </w:sdtContent>
      </w:sdt>
    </w:p>
    <w:p w14:paraId="6C035289" w14:textId="3ECCBBF4" w:rsidR="0009091C" w:rsidRDefault="0088600A" w:rsidP="000B7422">
      <w:pPr>
        <w:pStyle w:val="En-tte"/>
        <w:tabs>
          <w:tab w:val="clear" w:pos="4536"/>
          <w:tab w:val="clear" w:pos="9072"/>
        </w:tabs>
        <w:spacing w:after="120" w:line="360" w:lineRule="auto"/>
        <w:jc w:val="both"/>
        <w:rPr>
          <w:rFonts w:ascii="Arial Narrow" w:hAnsi="Arial Narrow"/>
        </w:rPr>
      </w:pPr>
      <w:r w:rsidRPr="00440B05">
        <w:rPr>
          <w:rFonts w:ascii="Arial Narrow" w:hAnsi="Arial Narrow"/>
        </w:rPr>
        <w:t xml:space="preserve">L’accord cadre ne comprend pas de montant minimum et comprend un montant maximum de </w:t>
      </w:r>
      <w:r w:rsidR="0009091C" w:rsidRPr="00E349BC">
        <w:rPr>
          <w:rFonts w:ascii="Arial Narrow" w:hAnsi="Arial Narrow"/>
        </w:rPr>
        <w:t>10 000</w:t>
      </w:r>
      <w:r w:rsidR="00E100AC" w:rsidRPr="00E349BC">
        <w:rPr>
          <w:rFonts w:ascii="Arial Narrow" w:hAnsi="Arial Narrow"/>
        </w:rPr>
        <w:t> </w:t>
      </w:r>
      <w:r w:rsidR="000619F3" w:rsidRPr="00E349BC">
        <w:rPr>
          <w:rFonts w:ascii="Arial Narrow" w:hAnsi="Arial Narrow"/>
        </w:rPr>
        <w:t>000</w:t>
      </w:r>
      <w:r w:rsidR="00E100AC" w:rsidRPr="00E349BC">
        <w:rPr>
          <w:rFonts w:ascii="Arial Narrow" w:hAnsi="Arial Narrow"/>
        </w:rPr>
        <w:t xml:space="preserve"> </w:t>
      </w:r>
      <w:r w:rsidRPr="00E349BC">
        <w:rPr>
          <w:rFonts w:ascii="Arial Narrow" w:hAnsi="Arial Narrow"/>
        </w:rPr>
        <w:t>€ HT</w:t>
      </w:r>
      <w:r w:rsidR="00E349BC">
        <w:rPr>
          <w:rFonts w:ascii="Arial Narrow" w:hAnsi="Arial Narrow"/>
        </w:rPr>
        <w:t xml:space="preserve"> (dix millions d’euros hors taxes)</w:t>
      </w:r>
      <w:r w:rsidRPr="00440B05">
        <w:rPr>
          <w:rFonts w:ascii="Arial Narrow" w:hAnsi="Arial Narrow"/>
        </w:rPr>
        <w:t xml:space="preserve"> sur sa durée totale.</w:t>
      </w:r>
    </w:p>
    <w:p w14:paraId="5526E481" w14:textId="77777777" w:rsidR="0009091C" w:rsidRPr="00440B05" w:rsidRDefault="0009091C" w:rsidP="000B7422">
      <w:pPr>
        <w:pStyle w:val="En-tte"/>
        <w:tabs>
          <w:tab w:val="clear" w:pos="4536"/>
          <w:tab w:val="clear" w:pos="9072"/>
        </w:tabs>
        <w:spacing w:after="120" w:line="360" w:lineRule="auto"/>
        <w:jc w:val="both"/>
        <w:rPr>
          <w:rFonts w:ascii="Arial Narrow" w:hAnsi="Arial Narrow"/>
        </w:rPr>
      </w:pPr>
    </w:p>
    <w:p w14:paraId="1201F953" w14:textId="0D7E806C" w:rsidR="00F10808" w:rsidRPr="00F10808" w:rsidRDefault="00F10808" w:rsidP="00F10808">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F10808">
        <w:rPr>
          <w:rFonts w:ascii="Arial Narrow" w:hAnsi="Arial Narrow"/>
          <w:b/>
        </w:rPr>
        <w:t xml:space="preserve">Quantités et étendue des besoins </w:t>
      </w:r>
    </w:p>
    <w:p w14:paraId="70C6A849" w14:textId="659A77FD" w:rsidR="00F10808" w:rsidRDefault="00F10808" w:rsidP="00F10808">
      <w:pPr>
        <w:pStyle w:val="Default"/>
        <w:jc w:val="both"/>
        <w:rPr>
          <w:rFonts w:ascii="Arial Narrow" w:hAnsi="Arial Narrow" w:cstheme="minorBidi"/>
          <w:color w:val="auto"/>
          <w:sz w:val="22"/>
          <w:szCs w:val="22"/>
        </w:rPr>
      </w:pPr>
      <w:r w:rsidRPr="00F10808">
        <w:rPr>
          <w:rFonts w:ascii="Arial Narrow" w:hAnsi="Arial Narrow" w:cstheme="minorBidi"/>
          <w:color w:val="auto"/>
          <w:sz w:val="22"/>
          <w:szCs w:val="22"/>
        </w:rPr>
        <w:t xml:space="preserve">A titre indicatif, le pouvoir adjudicateur fournit l’estimation des dépenses à venir. Les éléments indiqués ci-après ne sont fournis aux candidats qu’à titre indicatif et n’ont aucune valeur contractuelle ou contraignante. </w:t>
      </w:r>
    </w:p>
    <w:p w14:paraId="71FA123A" w14:textId="77777777" w:rsidR="00F10808" w:rsidRPr="00F10808" w:rsidRDefault="00F10808" w:rsidP="00F10808">
      <w:pPr>
        <w:pStyle w:val="Default"/>
        <w:jc w:val="both"/>
        <w:rPr>
          <w:rFonts w:ascii="Arial Narrow" w:hAnsi="Arial Narrow" w:cstheme="minorBidi"/>
          <w:color w:val="auto"/>
          <w:sz w:val="22"/>
          <w:szCs w:val="22"/>
        </w:rPr>
      </w:pPr>
    </w:p>
    <w:p w14:paraId="1032EF22" w14:textId="055F7280" w:rsidR="00F10808" w:rsidRPr="00430B1D" w:rsidRDefault="00F10808" w:rsidP="00F10808">
      <w:pPr>
        <w:pStyle w:val="Default"/>
        <w:jc w:val="both"/>
        <w:rPr>
          <w:rFonts w:ascii="Arial Narrow" w:hAnsi="Arial Narrow" w:cstheme="minorBidi"/>
          <w:color w:val="auto"/>
          <w:sz w:val="22"/>
          <w:szCs w:val="22"/>
        </w:rPr>
      </w:pPr>
      <w:r w:rsidRPr="00430B1D">
        <w:rPr>
          <w:rFonts w:ascii="Arial Narrow" w:hAnsi="Arial Narrow" w:cstheme="minorBidi"/>
          <w:color w:val="auto"/>
          <w:sz w:val="22"/>
          <w:szCs w:val="22"/>
        </w:rPr>
        <w:t xml:space="preserve">Pour </w:t>
      </w:r>
      <w:r w:rsidR="005F42F4" w:rsidRPr="00430B1D">
        <w:rPr>
          <w:rFonts w:ascii="Arial Narrow" w:hAnsi="Arial Narrow" w:cstheme="minorBidi"/>
          <w:color w:val="auto"/>
          <w:sz w:val="22"/>
          <w:szCs w:val="22"/>
        </w:rPr>
        <w:t>la durée totale de l’accord-cadre</w:t>
      </w:r>
      <w:r w:rsidRPr="00430B1D">
        <w:rPr>
          <w:rFonts w:ascii="Arial Narrow" w:hAnsi="Arial Narrow" w:cstheme="minorBidi"/>
          <w:color w:val="auto"/>
          <w:sz w:val="22"/>
          <w:szCs w:val="22"/>
        </w:rPr>
        <w:t xml:space="preserve">, les dépenses estimées représentent </w:t>
      </w:r>
      <w:r w:rsidR="00E349BC" w:rsidRPr="00430B1D">
        <w:rPr>
          <w:rFonts w:ascii="Arial Narrow" w:hAnsi="Arial Narrow" w:cstheme="minorBidi"/>
          <w:color w:val="auto"/>
          <w:sz w:val="22"/>
          <w:szCs w:val="22"/>
        </w:rPr>
        <w:t>2 </w:t>
      </w:r>
      <w:r w:rsidR="0009091C" w:rsidRPr="00430B1D">
        <w:rPr>
          <w:rFonts w:ascii="Arial Narrow" w:hAnsi="Arial Narrow" w:cstheme="minorBidi"/>
          <w:color w:val="auto"/>
          <w:sz w:val="22"/>
          <w:szCs w:val="22"/>
        </w:rPr>
        <w:t>500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005F42F4" w:rsidRPr="00430B1D">
        <w:rPr>
          <w:rFonts w:ascii="Arial Narrow" w:hAnsi="Arial Narrow" w:cstheme="minorBidi"/>
          <w:color w:val="auto"/>
          <w:sz w:val="22"/>
          <w:szCs w:val="22"/>
        </w:rPr>
        <w:t>HT tous contrats confondus par an</w:t>
      </w:r>
      <w:r w:rsidRPr="00430B1D">
        <w:rPr>
          <w:rFonts w:ascii="Arial Narrow" w:hAnsi="Arial Narrow" w:cstheme="minorBidi"/>
          <w:color w:val="auto"/>
          <w:sz w:val="22"/>
          <w:szCs w:val="22"/>
        </w:rPr>
        <w:t xml:space="preserve"> dont : </w:t>
      </w:r>
    </w:p>
    <w:p w14:paraId="23D5B896" w14:textId="74539FBE" w:rsidR="005F42F4" w:rsidRPr="00430B1D" w:rsidRDefault="00F10808" w:rsidP="00F10808">
      <w:pPr>
        <w:pStyle w:val="Default"/>
        <w:spacing w:after="11"/>
        <w:jc w:val="both"/>
        <w:rPr>
          <w:rFonts w:ascii="Arial Narrow" w:hAnsi="Arial Narrow" w:cstheme="minorBidi"/>
          <w:color w:val="auto"/>
          <w:sz w:val="22"/>
          <w:szCs w:val="22"/>
        </w:rPr>
      </w:pPr>
      <w:r w:rsidRPr="00430B1D">
        <w:rPr>
          <w:rFonts w:ascii="Arial Narrow" w:hAnsi="Arial Narrow" w:cstheme="minorBidi"/>
          <w:color w:val="auto"/>
          <w:sz w:val="22"/>
          <w:szCs w:val="22"/>
        </w:rPr>
        <w:t xml:space="preserve">- </w:t>
      </w:r>
      <w:r w:rsidR="0009091C" w:rsidRPr="00430B1D">
        <w:rPr>
          <w:rFonts w:ascii="Arial Narrow" w:hAnsi="Arial Narrow" w:cstheme="minorBidi"/>
          <w:color w:val="auto"/>
          <w:sz w:val="22"/>
          <w:szCs w:val="22"/>
        </w:rPr>
        <w:t>8</w:t>
      </w:r>
      <w:r w:rsidR="005F42F4" w:rsidRPr="00430B1D">
        <w:rPr>
          <w:rFonts w:ascii="Arial Narrow" w:hAnsi="Arial Narrow" w:cstheme="minorBidi"/>
          <w:color w:val="auto"/>
          <w:sz w:val="22"/>
          <w:szCs w:val="22"/>
        </w:rPr>
        <w:t>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 xml:space="preserve">HT de dépenses relatives </w:t>
      </w:r>
      <w:r w:rsidR="005F42F4" w:rsidRPr="00430B1D">
        <w:rPr>
          <w:rFonts w:ascii="Arial Narrow" w:hAnsi="Arial Narrow" w:cstheme="minorBidi"/>
          <w:color w:val="auto"/>
          <w:sz w:val="22"/>
          <w:szCs w:val="22"/>
        </w:rPr>
        <w:t>aux achats d’espaces publicitaires pour la direction de la communication</w:t>
      </w:r>
    </w:p>
    <w:p w14:paraId="0D0CB383" w14:textId="51027307" w:rsidR="00F10808" w:rsidRPr="00430B1D" w:rsidRDefault="005F42F4" w:rsidP="00F10808">
      <w:pPr>
        <w:pStyle w:val="Default"/>
        <w:spacing w:after="11"/>
        <w:jc w:val="both"/>
        <w:rPr>
          <w:rFonts w:ascii="Arial Narrow" w:hAnsi="Arial Narrow" w:cstheme="minorBidi"/>
          <w:color w:val="auto"/>
          <w:sz w:val="22"/>
          <w:szCs w:val="22"/>
        </w:rPr>
      </w:pPr>
      <w:r w:rsidRPr="00430B1D">
        <w:rPr>
          <w:rFonts w:ascii="Arial Narrow" w:hAnsi="Arial Narrow" w:cstheme="minorBidi"/>
          <w:color w:val="auto"/>
          <w:sz w:val="22"/>
          <w:szCs w:val="22"/>
        </w:rPr>
        <w:t>- 400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HT de dépenses relatives aux achats d’espaces publicitaires pour la direction du développement et des relations internationales</w:t>
      </w:r>
      <w:r w:rsidR="00F10808" w:rsidRPr="00430B1D">
        <w:rPr>
          <w:rFonts w:ascii="Arial Narrow" w:hAnsi="Arial Narrow" w:cstheme="minorBidi"/>
          <w:color w:val="auto"/>
          <w:sz w:val="22"/>
          <w:szCs w:val="22"/>
        </w:rPr>
        <w:t xml:space="preserve"> </w:t>
      </w:r>
    </w:p>
    <w:p w14:paraId="65459EC7" w14:textId="20C590F0" w:rsidR="0009091C" w:rsidRPr="00430B1D" w:rsidRDefault="005F42F4" w:rsidP="00DD01B0">
      <w:pPr>
        <w:pStyle w:val="Default"/>
        <w:jc w:val="both"/>
        <w:rPr>
          <w:rFonts w:ascii="Arial Narrow" w:hAnsi="Arial Narrow" w:cstheme="minorBidi"/>
          <w:color w:val="auto"/>
          <w:sz w:val="22"/>
          <w:szCs w:val="22"/>
        </w:rPr>
      </w:pPr>
      <w:r w:rsidRPr="00430B1D">
        <w:rPr>
          <w:rFonts w:ascii="Arial Narrow" w:hAnsi="Arial Narrow" w:cstheme="minorBidi"/>
          <w:color w:val="auto"/>
          <w:sz w:val="22"/>
          <w:szCs w:val="22"/>
        </w:rPr>
        <w:t>- 50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HT de dépenses relatives aux frais administratifs des achats d’espaces publicitaires ;</w:t>
      </w:r>
    </w:p>
    <w:p w14:paraId="6B8C0C67" w14:textId="276EA1DA" w:rsidR="0009091C" w:rsidRPr="00430B1D" w:rsidRDefault="0009091C" w:rsidP="00DD01B0">
      <w:pPr>
        <w:pStyle w:val="Default"/>
        <w:jc w:val="both"/>
        <w:rPr>
          <w:rFonts w:ascii="Arial Narrow" w:hAnsi="Arial Narrow" w:cstheme="minorBidi"/>
          <w:color w:val="auto"/>
          <w:sz w:val="22"/>
          <w:szCs w:val="22"/>
        </w:rPr>
      </w:pPr>
      <w:r w:rsidRPr="00430B1D">
        <w:rPr>
          <w:rFonts w:ascii="Arial Narrow" w:hAnsi="Arial Narrow" w:cstheme="minorBidi"/>
          <w:color w:val="auto"/>
          <w:sz w:val="22"/>
          <w:szCs w:val="22"/>
        </w:rPr>
        <w:t>- 1</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240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Pr="00430B1D">
        <w:rPr>
          <w:rFonts w:ascii="Arial Narrow" w:hAnsi="Arial Narrow" w:cstheme="minorBidi"/>
          <w:color w:val="auto"/>
          <w:sz w:val="22"/>
          <w:szCs w:val="22"/>
        </w:rPr>
        <w:t>HT de dépenses en nature relatives aux partenariats médias et aux échanges marchandises</w:t>
      </w:r>
    </w:p>
    <w:p w14:paraId="2431371D" w14:textId="6BCD7F61" w:rsidR="005F42F4" w:rsidRPr="00430B1D" w:rsidRDefault="005F42F4" w:rsidP="00DD01B0">
      <w:pPr>
        <w:pStyle w:val="Default"/>
        <w:jc w:val="both"/>
        <w:rPr>
          <w:rFonts w:ascii="Arial Narrow" w:hAnsi="Arial Narrow" w:cstheme="minorBidi"/>
          <w:color w:val="auto"/>
          <w:sz w:val="22"/>
          <w:szCs w:val="22"/>
        </w:rPr>
      </w:pPr>
      <w:r w:rsidRPr="00430B1D">
        <w:rPr>
          <w:rFonts w:ascii="Arial Narrow" w:hAnsi="Arial Narrow" w:cstheme="minorBidi"/>
          <w:color w:val="auto"/>
          <w:sz w:val="22"/>
          <w:szCs w:val="22"/>
        </w:rPr>
        <w:t>- 10</w:t>
      </w:r>
      <w:r w:rsidR="00E349BC" w:rsidRPr="00430B1D">
        <w:rPr>
          <w:rFonts w:ascii="Arial Narrow" w:hAnsi="Arial Narrow" w:cstheme="minorBidi"/>
          <w:color w:val="auto"/>
          <w:sz w:val="22"/>
          <w:szCs w:val="22"/>
        </w:rPr>
        <w:t> </w:t>
      </w:r>
      <w:r w:rsidR="00F10808" w:rsidRPr="00430B1D">
        <w:rPr>
          <w:rFonts w:ascii="Arial Narrow" w:hAnsi="Arial Narrow" w:cstheme="minorBidi"/>
          <w:color w:val="auto"/>
          <w:sz w:val="22"/>
          <w:szCs w:val="22"/>
        </w:rPr>
        <w:t>000</w:t>
      </w:r>
      <w:r w:rsidR="00E349BC" w:rsidRPr="00430B1D">
        <w:rPr>
          <w:rFonts w:ascii="Arial Narrow" w:hAnsi="Arial Narrow" w:cstheme="minorBidi"/>
          <w:color w:val="auto"/>
          <w:sz w:val="22"/>
          <w:szCs w:val="22"/>
        </w:rPr>
        <w:t> </w:t>
      </w:r>
      <w:r w:rsidR="00F10808" w:rsidRPr="00430B1D">
        <w:rPr>
          <w:rFonts w:ascii="Arial Narrow" w:hAnsi="Arial Narrow" w:cstheme="minorBidi"/>
          <w:color w:val="auto"/>
          <w:sz w:val="22"/>
          <w:szCs w:val="22"/>
        </w:rPr>
        <w:t>€</w:t>
      </w:r>
      <w:r w:rsidR="00E349BC" w:rsidRPr="00430B1D">
        <w:rPr>
          <w:rFonts w:ascii="Arial Narrow" w:hAnsi="Arial Narrow" w:cstheme="minorBidi"/>
          <w:color w:val="auto"/>
          <w:sz w:val="22"/>
          <w:szCs w:val="22"/>
        </w:rPr>
        <w:t> </w:t>
      </w:r>
      <w:r w:rsidR="00F10808" w:rsidRPr="00430B1D">
        <w:rPr>
          <w:rFonts w:ascii="Arial Narrow" w:hAnsi="Arial Narrow" w:cstheme="minorBidi"/>
          <w:color w:val="auto"/>
          <w:sz w:val="22"/>
          <w:szCs w:val="22"/>
        </w:rPr>
        <w:t xml:space="preserve">HT de </w:t>
      </w:r>
      <w:r w:rsidRPr="00430B1D">
        <w:rPr>
          <w:rFonts w:ascii="Arial Narrow" w:hAnsi="Arial Narrow" w:cstheme="minorBidi"/>
          <w:color w:val="auto"/>
          <w:sz w:val="22"/>
          <w:szCs w:val="22"/>
        </w:rPr>
        <w:t xml:space="preserve">dépenses relatives aux </w:t>
      </w:r>
      <w:r w:rsidR="00F10808" w:rsidRPr="00430B1D">
        <w:rPr>
          <w:rFonts w:ascii="Arial Narrow" w:hAnsi="Arial Narrow" w:cstheme="minorBidi"/>
          <w:color w:val="auto"/>
          <w:sz w:val="22"/>
          <w:szCs w:val="22"/>
        </w:rPr>
        <w:t>frais administratifs des partenariats médias et échanges marchandises ;</w:t>
      </w:r>
    </w:p>
    <w:p w14:paraId="3E85241C" w14:textId="49F08B6C" w:rsidR="005F42F4" w:rsidRDefault="005F42F4" w:rsidP="00F10808">
      <w:pPr>
        <w:pStyle w:val="Default"/>
        <w:jc w:val="both"/>
        <w:rPr>
          <w:rFonts w:ascii="Arial Narrow" w:hAnsi="Arial Narrow" w:cstheme="minorBidi"/>
          <w:color w:val="auto"/>
          <w:sz w:val="22"/>
          <w:szCs w:val="22"/>
          <w:highlight w:val="yellow"/>
        </w:rPr>
      </w:pPr>
    </w:p>
    <w:p w14:paraId="2C21945D" w14:textId="77777777" w:rsidR="0009091C" w:rsidRDefault="0009091C" w:rsidP="00F10808">
      <w:pPr>
        <w:pStyle w:val="Default"/>
        <w:jc w:val="both"/>
        <w:rPr>
          <w:rFonts w:ascii="Arial Narrow" w:hAnsi="Arial Narrow" w:cstheme="minorBidi"/>
          <w:color w:val="auto"/>
          <w:sz w:val="22"/>
          <w:szCs w:val="22"/>
          <w:highlight w:val="yellow"/>
        </w:rPr>
      </w:pPr>
    </w:p>
    <w:p w14:paraId="47E3DE96" w14:textId="418F867E"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688514F6" w14:textId="2864613F" w:rsidR="00854870" w:rsidRPr="00F10808" w:rsidRDefault="00891B1A" w:rsidP="00F10808">
      <w:pPr>
        <w:pStyle w:val="Corpsdetexte"/>
        <w:rPr>
          <w:rFonts w:ascii="Arial Narrow" w:hAnsi="Arial Narrow"/>
        </w:rPr>
      </w:pPr>
      <w:r w:rsidRPr="00F10808">
        <w:rPr>
          <w:rFonts w:ascii="Arial Narrow" w:hAnsi="Arial Narrow"/>
        </w:rPr>
        <w:t>La procédure de passation utilisée pour la présente consultation est </w:t>
      </w:r>
      <w:r w:rsidR="00246AD8" w:rsidRPr="00F10808">
        <w:rPr>
          <w:rFonts w:ascii="Arial Narrow" w:hAnsi="Arial Narrow"/>
        </w:rPr>
        <w:t xml:space="preserve">la </w:t>
      </w: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553219">
            <w:rPr>
              <w:rFonts w:ascii="Arial Narrow" w:hAnsi="Arial Narrow"/>
            </w:rPr>
            <w:t>p</w:t>
          </w:r>
          <w:r w:rsidR="00D13677" w:rsidRPr="00F10808">
            <w:rPr>
              <w:rFonts w:ascii="Arial Narrow" w:hAnsi="Arial Narrow"/>
            </w:rPr>
            <w:t>rocédure d’appel d’offres ouvert en application des dispositions de l’article L. 2124-2, du 1° de l’article R. 2124-2 et des articles R. 2161-2 à R. 2161-5 du code de la commande publique</w:t>
          </w:r>
        </w:sdtContent>
      </w:sdt>
    </w:p>
    <w:p w14:paraId="4E6ED4F0" w14:textId="5C1733B3" w:rsidR="0009091C" w:rsidRDefault="0009091C" w:rsidP="0009091C">
      <w:pPr>
        <w:pStyle w:val="En-tte"/>
        <w:tabs>
          <w:tab w:val="clear" w:pos="4536"/>
          <w:tab w:val="clear" w:pos="9072"/>
        </w:tabs>
        <w:spacing w:after="240" w:line="360" w:lineRule="auto"/>
        <w:ind w:left="425"/>
        <w:jc w:val="both"/>
        <w:rPr>
          <w:rFonts w:ascii="Arial Narrow" w:hAnsi="Arial Narrow"/>
          <w:b/>
        </w:rPr>
      </w:pPr>
    </w:p>
    <w:p w14:paraId="49F40686" w14:textId="3F80E21A" w:rsidR="00180990" w:rsidRPr="0009091C" w:rsidRDefault="000B7422" w:rsidP="0009091C">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09091C">
        <w:rPr>
          <w:rFonts w:ascii="Arial Narrow" w:hAnsi="Arial Narrow"/>
          <w:b/>
        </w:rPr>
        <w:lastRenderedPageBreak/>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77777777" w:rsidR="000B7422" w:rsidRPr="003E63FD" w:rsidRDefault="000B7422" w:rsidP="000B7422">
      <w:pPr>
        <w:pStyle w:val="Corpsdetexte"/>
        <w:rPr>
          <w:rFonts w:ascii="Arial Narrow" w:hAnsi="Arial Narrow"/>
        </w:rPr>
      </w:pPr>
      <w:r w:rsidRPr="003E63FD">
        <w:rPr>
          <w:rFonts w:ascii="Arial Narrow" w:hAnsi="Arial Narrow"/>
        </w:rPr>
        <w:t xml:space="preserve">La présentation de variante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7472A52E" w14:textId="65BFFA97" w:rsidR="00246AD8" w:rsidRDefault="00D524F5" w:rsidP="00D13677">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77777777" w:rsidR="00F065F4" w:rsidRPr="003E63FD" w:rsidRDefault="006B3027" w:rsidP="00F065F4">
      <w:pPr>
        <w:pStyle w:val="Corpsdetexte"/>
        <w:rPr>
          <w:rFonts w:ascii="Arial Narrow" w:hAnsi="Arial Narrow"/>
        </w:rPr>
      </w:pPr>
      <w:hyperlink r:id="rId8"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77777777" w:rsidR="00F065F4" w:rsidRPr="003E63FD" w:rsidRDefault="00A118F1" w:rsidP="000B7422">
      <w:pPr>
        <w:pStyle w:val="Corpsdetexte"/>
        <w:rPr>
          <w:rFonts w:ascii="Arial Narrow" w:hAnsi="Arial Narrow"/>
        </w:rPr>
      </w:pPr>
      <w:r w:rsidRPr="003E63FD">
        <w:rPr>
          <w:rFonts w:ascii="Arial Narrow" w:hAnsi="Arial Narrow"/>
        </w:rPr>
        <w:t>Le DCE comprend les pièces suivantes :</w:t>
      </w:r>
    </w:p>
    <w:p w14:paraId="62516CCB" w14:textId="114CD82D" w:rsidR="00AC0181" w:rsidRDefault="00A118F1" w:rsidP="00A118F1">
      <w:pPr>
        <w:pStyle w:val="Corpsdetexte"/>
        <w:numPr>
          <w:ilvl w:val="0"/>
          <w:numId w:val="7"/>
        </w:numPr>
        <w:rPr>
          <w:rFonts w:ascii="Arial Narrow" w:hAnsi="Arial Narrow"/>
        </w:rPr>
      </w:pPr>
      <w:r w:rsidRPr="003E63FD">
        <w:rPr>
          <w:rFonts w:ascii="Arial Narrow" w:hAnsi="Arial Narrow"/>
        </w:rPr>
        <w:t xml:space="preserve">Le présent règlement de la consultation et </w:t>
      </w:r>
      <w:r w:rsidR="00AC0181">
        <w:rPr>
          <w:rFonts w:ascii="Arial Narrow" w:hAnsi="Arial Narrow"/>
          <w:lang w:eastAsia="fr-FR"/>
        </w:rPr>
        <w:t>s</w:t>
      </w:r>
      <w:r w:rsidR="000B39F9">
        <w:rPr>
          <w:rFonts w:ascii="Arial Narrow" w:hAnsi="Arial Narrow"/>
          <w:lang w:eastAsia="fr-FR"/>
        </w:rPr>
        <w:t>es</w:t>
      </w:r>
      <w:r w:rsidRPr="003E63FD">
        <w:rPr>
          <w:rFonts w:ascii="Arial Narrow" w:hAnsi="Arial Narrow"/>
          <w:lang w:eastAsia="fr-FR"/>
        </w:rPr>
        <w:t xml:space="preserve"> annexe</w:t>
      </w:r>
      <w:r w:rsidR="000B39F9">
        <w:rPr>
          <w:rFonts w:ascii="Arial Narrow" w:hAnsi="Arial Narrow"/>
          <w:lang w:eastAsia="fr-FR"/>
        </w:rPr>
        <w:t>s</w:t>
      </w:r>
      <w:r w:rsidR="00AC0181">
        <w:rPr>
          <w:rFonts w:ascii="Arial Narrow" w:hAnsi="Arial Narrow"/>
          <w:lang w:eastAsia="fr-FR"/>
        </w:rPr>
        <w:t> :</w:t>
      </w:r>
    </w:p>
    <w:p w14:paraId="4C0DF19E" w14:textId="3F935F57" w:rsidR="00F10808" w:rsidRDefault="00F10808" w:rsidP="00F10808">
      <w:pPr>
        <w:pStyle w:val="Corpsdetexte"/>
        <w:numPr>
          <w:ilvl w:val="0"/>
          <w:numId w:val="37"/>
        </w:numPr>
        <w:rPr>
          <w:rFonts w:ascii="Arial Narrow" w:hAnsi="Arial Narrow"/>
          <w:lang w:eastAsia="fr-FR"/>
        </w:rPr>
      </w:pPr>
      <w:r>
        <w:rPr>
          <w:rFonts w:ascii="Arial Narrow" w:hAnsi="Arial Narrow"/>
          <w:lang w:eastAsia="fr-FR"/>
        </w:rPr>
        <w:t xml:space="preserve">Le détail quantitatif estimatif </w:t>
      </w:r>
      <w:proofErr w:type="gramStart"/>
      <w:r>
        <w:rPr>
          <w:rFonts w:ascii="Arial Narrow" w:hAnsi="Arial Narrow"/>
          <w:lang w:eastAsia="fr-FR"/>
        </w:rPr>
        <w:t>( DQE</w:t>
      </w:r>
      <w:proofErr w:type="gramEnd"/>
      <w:r>
        <w:rPr>
          <w:rFonts w:ascii="Arial Narrow" w:hAnsi="Arial Narrow"/>
          <w:lang w:eastAsia="fr-FR"/>
        </w:rPr>
        <w:t>)</w:t>
      </w:r>
    </w:p>
    <w:p w14:paraId="193B2189"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lang w:eastAsia="fr-FR"/>
        </w:rPr>
        <w:t>L’acte d’engagement ;</w:t>
      </w:r>
    </w:p>
    <w:p w14:paraId="0C823374" w14:textId="5E453E05" w:rsidR="00A118F1" w:rsidRPr="003E63FD" w:rsidRDefault="0088306B" w:rsidP="00A118F1">
      <w:pPr>
        <w:pStyle w:val="Corpsdetexte"/>
        <w:numPr>
          <w:ilvl w:val="0"/>
          <w:numId w:val="7"/>
        </w:numPr>
        <w:rPr>
          <w:rFonts w:ascii="Arial Narrow" w:hAnsi="Arial Narrow"/>
        </w:rPr>
      </w:pPr>
      <w:r w:rsidRPr="003E63FD">
        <w:rPr>
          <w:rFonts w:ascii="Arial Narrow" w:hAnsi="Arial Narrow"/>
        </w:rPr>
        <w:t>La</w:t>
      </w:r>
      <w:r w:rsidR="00A118F1" w:rsidRPr="003E63FD">
        <w:rPr>
          <w:rFonts w:ascii="Arial Narrow" w:hAnsi="Arial Narrow"/>
        </w:rPr>
        <w:t xml:space="preserve"> pièce financière suivante :</w:t>
      </w:r>
    </w:p>
    <w:p w14:paraId="6BFFC055" w14:textId="55978025" w:rsidR="00A118F1" w:rsidRPr="003E63FD" w:rsidRDefault="00A118F1" w:rsidP="00246AD8">
      <w:pPr>
        <w:pStyle w:val="Corpsdetexte"/>
        <w:numPr>
          <w:ilvl w:val="0"/>
          <w:numId w:val="33"/>
        </w:numPr>
        <w:rPr>
          <w:rFonts w:ascii="Arial Narrow" w:hAnsi="Arial Narrow"/>
          <w:lang w:eastAsia="fr-FR"/>
        </w:rPr>
      </w:pPr>
      <w:r w:rsidRPr="003E63FD">
        <w:rPr>
          <w:rFonts w:ascii="Arial Narrow" w:hAnsi="Arial Narrow"/>
          <w:lang w:eastAsia="fr-FR"/>
        </w:rPr>
        <w:t>Le bordereau de prix unitaires (BPU)</w:t>
      </w:r>
      <w:r w:rsidR="00D13677">
        <w:rPr>
          <w:rFonts w:ascii="Arial Narrow" w:hAnsi="Arial Narrow"/>
          <w:lang w:eastAsia="fr-FR"/>
        </w:rPr>
        <w:t> ;</w:t>
      </w:r>
    </w:p>
    <w:p w14:paraId="5ADF498D" w14:textId="5903CE2D" w:rsidR="00F10808" w:rsidRDefault="00F10808" w:rsidP="00B62E99">
      <w:pPr>
        <w:pStyle w:val="Corpsdetexte"/>
        <w:numPr>
          <w:ilvl w:val="0"/>
          <w:numId w:val="7"/>
        </w:numPr>
        <w:rPr>
          <w:rFonts w:ascii="Arial Narrow" w:hAnsi="Arial Narrow"/>
          <w:lang w:eastAsia="fr-FR"/>
        </w:rPr>
      </w:pPr>
      <w:r>
        <w:rPr>
          <w:rFonts w:ascii="Arial Narrow" w:hAnsi="Arial Narrow"/>
        </w:rPr>
        <w:t>Le cahier des clauses</w:t>
      </w:r>
      <w:r w:rsidR="00144BAC">
        <w:rPr>
          <w:rFonts w:ascii="Arial Narrow" w:hAnsi="Arial Narrow"/>
        </w:rPr>
        <w:t xml:space="preserve"> administratives</w:t>
      </w:r>
      <w:r w:rsidR="00D13677">
        <w:rPr>
          <w:rFonts w:ascii="Arial Narrow" w:hAnsi="Arial Narrow"/>
        </w:rPr>
        <w:t xml:space="preserve"> </w:t>
      </w:r>
      <w:r w:rsidR="00A118F1" w:rsidRPr="003E63FD">
        <w:rPr>
          <w:rFonts w:ascii="Arial Narrow" w:hAnsi="Arial Narrow"/>
        </w:rPr>
        <w:t>particulières (CC</w:t>
      </w:r>
      <w:r w:rsidR="00144BAC">
        <w:rPr>
          <w:rFonts w:ascii="Arial Narrow" w:hAnsi="Arial Narrow"/>
        </w:rPr>
        <w:t>A</w:t>
      </w:r>
      <w:r w:rsidR="00A118F1" w:rsidRPr="003E63FD">
        <w:rPr>
          <w:rFonts w:ascii="Arial Narrow" w:hAnsi="Arial Narrow"/>
        </w:rPr>
        <w:t>P)</w:t>
      </w:r>
      <w:r>
        <w:rPr>
          <w:rFonts w:ascii="Arial Narrow" w:hAnsi="Arial Narrow"/>
        </w:rPr>
        <w:t xml:space="preserve"> </w:t>
      </w:r>
    </w:p>
    <w:p w14:paraId="24FAC7A1" w14:textId="00775C54" w:rsidR="00B62E99" w:rsidRDefault="00B62E99" w:rsidP="00B62E99">
      <w:pPr>
        <w:pStyle w:val="Corpsdetexte"/>
        <w:numPr>
          <w:ilvl w:val="0"/>
          <w:numId w:val="7"/>
        </w:numPr>
        <w:rPr>
          <w:rFonts w:ascii="Arial Narrow" w:hAnsi="Arial Narrow"/>
          <w:lang w:eastAsia="fr-FR"/>
        </w:rPr>
      </w:pPr>
      <w:r>
        <w:rPr>
          <w:rFonts w:ascii="Arial Narrow" w:hAnsi="Arial Narrow"/>
          <w:lang w:eastAsia="fr-FR"/>
        </w:rPr>
        <w:t xml:space="preserve">Le Cahier des Clauses Techniques </w:t>
      </w:r>
      <w:r w:rsidR="00C65860">
        <w:rPr>
          <w:rFonts w:ascii="Arial Narrow" w:hAnsi="Arial Narrow"/>
          <w:lang w:eastAsia="fr-FR"/>
        </w:rPr>
        <w:t>Particulières</w:t>
      </w:r>
      <w:r>
        <w:rPr>
          <w:rFonts w:ascii="Arial Narrow" w:hAnsi="Arial Narrow"/>
          <w:lang w:eastAsia="fr-FR"/>
        </w:rPr>
        <w:t xml:space="preserve"> (CCTP) et son annexe 1 délais de transmission</w:t>
      </w:r>
    </w:p>
    <w:p w14:paraId="7578FB5D" w14:textId="25500B75" w:rsidR="00246AD8" w:rsidRDefault="00246AD8" w:rsidP="00F10808">
      <w:pPr>
        <w:pStyle w:val="Corpsdetexte"/>
        <w:ind w:left="360"/>
        <w:rPr>
          <w:rFonts w:ascii="Arial Narrow" w:hAnsi="Arial Narrow"/>
        </w:rPr>
      </w:pPr>
    </w:p>
    <w:p w14:paraId="0AD43AE9" w14:textId="77777777" w:rsidR="006F737E" w:rsidRDefault="006F737E" w:rsidP="00F10808">
      <w:pPr>
        <w:pStyle w:val="Corpsdetexte"/>
        <w:ind w:left="360"/>
        <w:rPr>
          <w:rFonts w:ascii="Arial Narrow" w:hAnsi="Arial Narrow"/>
        </w:rPr>
      </w:pPr>
    </w:p>
    <w:p w14:paraId="4B5B669B" w14:textId="4B27E069"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Modifications du DCE</w:t>
      </w:r>
    </w:p>
    <w:p w14:paraId="0C7C2812" w14:textId="06B141C2" w:rsidR="00A118F1" w:rsidRPr="003E63FD" w:rsidRDefault="0088306B" w:rsidP="000B7422">
      <w:pPr>
        <w:pStyle w:val="Corpsdetexte"/>
        <w:rPr>
          <w:rFonts w:ascii="Arial Narrow" w:hAnsi="Arial Narrow"/>
        </w:rPr>
      </w:pPr>
      <w:r w:rsidRPr="003E63FD">
        <w:rPr>
          <w:rFonts w:ascii="Arial Narrow" w:hAnsi="Arial Narrow"/>
        </w:rPr>
        <w:t>L’EPMO</w:t>
      </w:r>
      <w:r w:rsidR="00C80B51">
        <w:rPr>
          <w:rFonts w:ascii="Arial Narrow" w:hAnsi="Arial Narrow"/>
        </w:rPr>
        <w:t>-VGE</w:t>
      </w:r>
      <w:r w:rsidRPr="003E63FD">
        <w:rPr>
          <w:rFonts w:ascii="Arial Narrow" w:hAnsi="Arial Narrow"/>
        </w:rPr>
        <w:t xml:space="preserve"> se réserve le droit d’apporter des modifications de détail au DCE au plus tard 6 (s</w:t>
      </w:r>
      <w:bookmarkStart w:id="0" w:name="_GoBack"/>
      <w:bookmarkEnd w:id="0"/>
      <w:r w:rsidRPr="003E63FD">
        <w:rPr>
          <w:rFonts w:ascii="Arial Narrow" w:hAnsi="Arial Narrow"/>
        </w:rPr>
        <w:t xml:space="preserve">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2DB7CA30" w:rsidR="0088306B"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7258AA" w:rsidRPr="003E63FD">
        <w:rPr>
          <w:rFonts w:ascii="Arial Narrow" w:hAnsi="Arial Narrow"/>
          <w:lang w:eastAsia="fr-FR"/>
        </w:rPr>
        <w:t xml:space="preserve">le </w:t>
      </w:r>
      <w:sdt>
        <w:sdtPr>
          <w:rPr>
            <w:rFonts w:ascii="Arial Narrow" w:hAnsi="Arial Narrow"/>
            <w:lang w:eastAsia="fr-FR"/>
          </w:rPr>
          <w:alias w:val="Date"/>
          <w:tag w:val="Date"/>
          <w:id w:val="932699868"/>
          <w:placeholder>
            <w:docPart w:val="EAB02B3F4C524A378393354354EC498C"/>
          </w:placeholder>
          <w15:color w:val="00FF00"/>
          <w:date w:fullDate="2025-07-23T00:00:00Z">
            <w:dateFormat w:val="dd/MM/yyyy"/>
            <w:lid w:val="fr-FR"/>
            <w:storeMappedDataAs w:val="dateTime"/>
            <w:calendar w:val="gregorian"/>
          </w:date>
        </w:sdtPr>
        <w:sdtEndPr/>
        <w:sdtContent>
          <w:r w:rsidR="006B3027">
            <w:rPr>
              <w:rFonts w:ascii="Arial Narrow" w:hAnsi="Arial Narrow"/>
              <w:lang w:eastAsia="fr-FR"/>
            </w:rPr>
            <w:t>23/07/2025</w:t>
          </w:r>
        </w:sdtContent>
      </w:sdt>
      <w:r w:rsidR="007258AA" w:rsidRPr="006F737E">
        <w:rPr>
          <w:rFonts w:ascii="Arial Narrow" w:hAnsi="Arial Narrow"/>
          <w:lang w:eastAsia="fr-FR"/>
        </w:rPr>
        <w:t xml:space="preserve">– </w:t>
      </w:r>
      <w:sdt>
        <w:sdtPr>
          <w:rPr>
            <w:rFonts w:ascii="Arial Narrow" w:hAnsi="Arial Narrow"/>
            <w:lang w:eastAsia="fr-FR"/>
          </w:rPr>
          <w:alias w:val="Heure"/>
          <w:tag w:val="Heure"/>
          <w:id w:val="2071925927"/>
          <w:placeholder>
            <w:docPart w:val="F3FB9DD6D2CA42C9BC3FE27D9F2982A6"/>
          </w:placeholder>
          <w15:color w:val="00FF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comboBox>
        </w:sdtPr>
        <w:sdtEndPr/>
        <w:sdtContent>
          <w:r w:rsidR="00D13677" w:rsidRPr="006F737E">
            <w:rPr>
              <w:rFonts w:ascii="Arial Narrow" w:hAnsi="Arial Narrow"/>
              <w:lang w:eastAsia="fr-FR"/>
            </w:rPr>
            <w:t>10H00</w:t>
          </w:r>
        </w:sdtContent>
      </w:sdt>
      <w:r w:rsidR="007258AA" w:rsidRPr="006F737E">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400238BB" w14:textId="77777777" w:rsidR="00440B05" w:rsidRPr="003E63FD" w:rsidRDefault="00440B05"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1DB34F8D" w:rsidR="00F065F4"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02FF89E0" w14:textId="62EE1003" w:rsidR="00D13677" w:rsidRPr="00D13677" w:rsidRDefault="00D13677" w:rsidP="00D13677">
      <w:pPr>
        <w:pStyle w:val="Corpsdetexte"/>
        <w:spacing w:after="240"/>
        <w:rPr>
          <w:rFonts w:ascii="Arial Narrow" w:hAnsi="Arial Narrow"/>
          <w:b/>
          <w:color w:val="FF0000"/>
        </w:rPr>
      </w:pPr>
      <w:r w:rsidRPr="00D13677">
        <w:rPr>
          <w:rFonts w:ascii="Arial Narrow" w:hAnsi="Arial Narrow"/>
          <w:b/>
          <w:color w:val="FF0000"/>
        </w:rPr>
        <w:t xml:space="preserve">Le candidat transmettra </w:t>
      </w:r>
      <w:r w:rsidR="00F10808" w:rsidRPr="00D13677">
        <w:rPr>
          <w:rFonts w:ascii="Arial Narrow" w:hAnsi="Arial Narrow"/>
          <w:b/>
          <w:color w:val="FF0000"/>
        </w:rPr>
        <w:t xml:space="preserve">préalablement </w:t>
      </w:r>
      <w:r w:rsidR="00F10808">
        <w:rPr>
          <w:rFonts w:ascii="Arial Narrow" w:hAnsi="Arial Narrow"/>
          <w:b/>
          <w:color w:val="FF0000"/>
        </w:rPr>
        <w:t>les éléments relatifs aux l</w:t>
      </w:r>
      <w:r w:rsidR="00F10808" w:rsidRPr="00F10808">
        <w:rPr>
          <w:rFonts w:ascii="Arial Narrow" w:hAnsi="Arial Narrow"/>
          <w:b/>
          <w:color w:val="FF0000"/>
        </w:rPr>
        <w:t xml:space="preserve">iens financiers </w:t>
      </w:r>
      <w:r w:rsidR="00F10808">
        <w:rPr>
          <w:rFonts w:ascii="Arial Narrow" w:hAnsi="Arial Narrow"/>
          <w:b/>
          <w:color w:val="FF0000"/>
        </w:rPr>
        <w:t>que lui ou</w:t>
      </w:r>
      <w:r w:rsidR="00F10808" w:rsidRPr="00F10808">
        <w:rPr>
          <w:rFonts w:ascii="Arial Narrow" w:hAnsi="Arial Narrow"/>
          <w:b/>
          <w:color w:val="FF0000"/>
        </w:rPr>
        <w:t xml:space="preserve"> son groupe entretient avec des vendeurs (notion de « vendeur » mentionnés à l'article 20 de la loi n°93-122), en précisant le</w:t>
      </w:r>
      <w:r w:rsidR="00F10808">
        <w:rPr>
          <w:rFonts w:ascii="Arial Narrow" w:hAnsi="Arial Narrow"/>
          <w:b/>
          <w:color w:val="FF0000"/>
        </w:rPr>
        <w:t xml:space="preserve"> montant de ces participations.</w:t>
      </w:r>
    </w:p>
    <w:p w14:paraId="40D6959F" w14:textId="7777777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9"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77777777"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Pr="003E63FD">
        <w:rPr>
          <w:rFonts w:ascii="Arial Narrow" w:hAnsi="Arial Narrow"/>
          <w:lang w:eastAsia="fr-FR"/>
        </w:rPr>
        <w:t xml:space="preserve"> dument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77777777"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Pr="003E63FD">
        <w:rPr>
          <w:rFonts w:ascii="Arial Narrow" w:hAnsi="Arial Narrow"/>
          <w:lang w:eastAsia="fr-FR"/>
        </w:rPr>
        <w:t xml:space="preserve"> dument complété permettant au candidat d’attester qu’il dispose des capacités économiques et financières, techniques et professionnelles pour exécuter les prestations.</w:t>
      </w:r>
    </w:p>
    <w:p w14:paraId="4F80A471" w14:textId="77777777"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l’EPMO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6EEA6A1C" w:rsidR="00BD6430" w:rsidRPr="00FD224D" w:rsidRDefault="00EC6141" w:rsidP="00EC6141">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w:t>
      </w:r>
      <w:r w:rsidR="00FD224D" w:rsidRPr="003E63FD">
        <w:rPr>
          <w:rFonts w:ascii="Arial Narrow" w:hAnsi="Arial Narrow"/>
          <w:lang w:eastAsia="fr-FR"/>
        </w:rPr>
        <w:t>du présent marché effectué</w:t>
      </w:r>
      <w:r w:rsidRPr="003E63FD">
        <w:rPr>
          <w:rFonts w:ascii="Arial Narrow" w:hAnsi="Arial Narrow"/>
          <w:lang w:eastAsia="fr-FR"/>
        </w:rPr>
        <w:t xml:space="preserve"> au cours des trois (3)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E63FD">
        <w:rPr>
          <w:rFonts w:ascii="Arial Narrow" w:hAnsi="Arial Narrow"/>
          <w:lang w:eastAsia="fr-FR"/>
        </w:rPr>
        <w:t xml:space="preserve">A l’appui de son dossier de candidature, le candidat pourra produire les documents justificatifs et moyens de preuve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lastRenderedPageBreak/>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38A25EAD"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4816E229" w14:textId="77777777" w:rsidR="00A7568E" w:rsidRPr="003E63FD" w:rsidRDefault="00A7568E" w:rsidP="00A7568E">
      <w:pPr>
        <w:pStyle w:val="Corpsdetexte"/>
        <w:ind w:left="720"/>
        <w:rPr>
          <w:rFonts w:ascii="Arial Narrow" w:hAnsi="Arial Narrow"/>
          <w:lang w:eastAsia="fr-FR"/>
        </w:rPr>
      </w:pP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177D767D"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l’EP</w:t>
      </w:r>
      <w:r w:rsidR="00765628">
        <w:rPr>
          <w:rFonts w:ascii="Arial Narrow" w:hAnsi="Arial Narrow"/>
          <w:lang w:eastAsia="fr-FR"/>
        </w:rPr>
        <w:t>MO</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77777777"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forme du Document unique de marchés européen (DUME) rédigé en français et disponible à l’adresse suivante :</w:t>
      </w:r>
      <w:r w:rsidRPr="003E63FD">
        <w:rPr>
          <w:rFonts w:ascii="Arial Narrow" w:hAnsi="Arial Narrow"/>
        </w:rPr>
        <w:t xml:space="preserve"> </w:t>
      </w:r>
      <w:hyperlink r:id="rId10" w:anchor="/" w:history="1">
        <w:r w:rsidRPr="003E63FD">
          <w:rPr>
            <w:rFonts w:ascii="Arial Narrow" w:hAnsi="Arial Narrow" w:cs="Calibri Light"/>
            <w:color w:val="0000FF"/>
            <w:u w:val="single"/>
          </w:rPr>
          <w:t>https://dume.chorus-pro.gouv.fr/#/</w:t>
        </w:r>
      </w:hyperlink>
      <w:r w:rsidRPr="003E63FD">
        <w:rPr>
          <w:rFonts w:ascii="Arial Narrow" w:hAnsi="Arial Narrow"/>
        </w:rPr>
        <w:t>;</w:t>
      </w:r>
    </w:p>
    <w:p w14:paraId="40A64F25" w14:textId="052DE9F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l’E</w:t>
      </w:r>
      <w:r w:rsidR="00765628">
        <w:rPr>
          <w:rFonts w:ascii="Arial Narrow" w:hAnsi="Arial Narrow"/>
          <w:lang w:eastAsia="fr-FR"/>
        </w:rPr>
        <w:t>PMO</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056FA9ED" w:rsidR="00A7568E"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27D68AD1" w14:textId="209A8214" w:rsidR="0009091C" w:rsidRDefault="0009091C">
      <w:pPr>
        <w:rPr>
          <w:rFonts w:ascii="Arial Narrow" w:hAnsi="Arial Narrow"/>
          <w:lang w:eastAsia="fr-FR"/>
        </w:rPr>
      </w:pPr>
      <w:r>
        <w:rPr>
          <w:rFonts w:ascii="Arial Narrow" w:hAnsi="Arial Narrow"/>
          <w:lang w:eastAsia="fr-FR"/>
        </w:rPr>
        <w:br w:type="page"/>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lastRenderedPageBreak/>
        <w:t xml:space="preserve"> Dossier de l’offre</w:t>
      </w:r>
    </w:p>
    <w:p w14:paraId="5774FBE6" w14:textId="77777777"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 :</w:t>
      </w:r>
    </w:p>
    <w:p w14:paraId="3DF0844A" w14:textId="77777777" w:rsidR="00A7568E" w:rsidRPr="00C23BDD" w:rsidRDefault="00A7568E" w:rsidP="00A7568E">
      <w:pPr>
        <w:pStyle w:val="Corpsdetexte"/>
        <w:numPr>
          <w:ilvl w:val="0"/>
          <w:numId w:val="23"/>
        </w:numPr>
        <w:rPr>
          <w:rFonts w:ascii="Arial Narrow" w:hAnsi="Arial Narrow"/>
          <w:lang w:eastAsia="fr-FR"/>
        </w:rPr>
      </w:pPr>
      <w:r w:rsidRPr="00C23BDD">
        <w:rPr>
          <w:rFonts w:ascii="Arial Narrow" w:hAnsi="Arial Narrow"/>
          <w:b/>
          <w:lang w:eastAsia="fr-FR"/>
        </w:rPr>
        <w:t>L’acte d’engagement</w:t>
      </w:r>
      <w:r w:rsidRPr="00C23BDD">
        <w:rPr>
          <w:rFonts w:ascii="Arial Narrow" w:hAnsi="Arial Narrow"/>
          <w:lang w:eastAsia="fr-FR"/>
        </w:rPr>
        <w:t xml:space="preserve"> complété ;</w:t>
      </w:r>
    </w:p>
    <w:p w14:paraId="1046AE1D" w14:textId="3054C5C3" w:rsidR="00B82A60" w:rsidRDefault="00B82A60" w:rsidP="00B82A60">
      <w:pPr>
        <w:pStyle w:val="Corpsdetexte"/>
        <w:numPr>
          <w:ilvl w:val="0"/>
          <w:numId w:val="23"/>
        </w:numPr>
        <w:rPr>
          <w:rFonts w:ascii="Arial Narrow" w:hAnsi="Arial Narrow"/>
          <w:lang w:eastAsia="fr-FR"/>
        </w:rPr>
      </w:pPr>
      <w:r w:rsidRPr="00C23BDD">
        <w:rPr>
          <w:rFonts w:ascii="Arial Narrow" w:hAnsi="Arial Narrow"/>
          <w:lang w:eastAsia="fr-FR"/>
        </w:rPr>
        <w:t xml:space="preserve">Le </w:t>
      </w:r>
      <w:r w:rsidRPr="00C23BDD">
        <w:rPr>
          <w:rFonts w:ascii="Arial Narrow" w:hAnsi="Arial Narrow"/>
          <w:b/>
          <w:lang w:eastAsia="fr-FR"/>
        </w:rPr>
        <w:t>Bordereau des Prix Unitaires</w:t>
      </w:r>
      <w:r w:rsidRPr="00C23BDD">
        <w:rPr>
          <w:rFonts w:ascii="Arial Narrow" w:hAnsi="Arial Narrow"/>
          <w:lang w:eastAsia="fr-FR"/>
        </w:rPr>
        <w:t xml:space="preserve"> (B.P.U) et </w:t>
      </w:r>
      <w:r w:rsidR="00F10808">
        <w:rPr>
          <w:rFonts w:ascii="Arial Narrow" w:hAnsi="Arial Narrow"/>
          <w:lang w:eastAsia="fr-FR"/>
        </w:rPr>
        <w:t>le Détail quantitatif Estimatif (D.Q.E)</w:t>
      </w:r>
      <w:r w:rsidRPr="00C23BDD">
        <w:rPr>
          <w:rFonts w:ascii="Arial Narrow" w:hAnsi="Arial Narrow"/>
          <w:lang w:eastAsia="fr-FR"/>
        </w:rPr>
        <w:t xml:space="preserve"> complétés ;</w:t>
      </w:r>
    </w:p>
    <w:p w14:paraId="5B2D396F" w14:textId="77777777" w:rsidR="00A92272" w:rsidRPr="00430B1D" w:rsidRDefault="00A92272" w:rsidP="00A92272">
      <w:pPr>
        <w:pStyle w:val="Corpsdetexte"/>
        <w:numPr>
          <w:ilvl w:val="0"/>
          <w:numId w:val="23"/>
        </w:numPr>
        <w:rPr>
          <w:rFonts w:ascii="Arial Narrow" w:hAnsi="Arial Narrow"/>
          <w:lang w:eastAsia="fr-FR"/>
        </w:rPr>
      </w:pPr>
      <w:r w:rsidRPr="00430B1D">
        <w:rPr>
          <w:rFonts w:ascii="Arial Narrow" w:hAnsi="Arial Narrow"/>
          <w:lang w:eastAsia="fr-FR"/>
        </w:rPr>
        <w:t xml:space="preserve">Le </w:t>
      </w:r>
      <w:r w:rsidRPr="00430B1D">
        <w:rPr>
          <w:rFonts w:ascii="Arial Narrow" w:hAnsi="Arial Narrow"/>
          <w:b/>
          <w:lang w:eastAsia="fr-FR"/>
        </w:rPr>
        <w:t>mémoire technique</w:t>
      </w:r>
      <w:r w:rsidRPr="00430B1D">
        <w:rPr>
          <w:rFonts w:ascii="Arial Narrow" w:hAnsi="Arial Narrow"/>
          <w:lang w:eastAsia="fr-FR"/>
        </w:rPr>
        <w:t xml:space="preserve"> dans lequel le candidat doit détailler les points suivants :</w:t>
      </w:r>
    </w:p>
    <w:p w14:paraId="71014EC2" w14:textId="4D6EB274" w:rsidR="00A92272" w:rsidRPr="00466E10" w:rsidRDefault="00A92272" w:rsidP="006F737E">
      <w:pPr>
        <w:pStyle w:val="Corpsdetexte"/>
        <w:numPr>
          <w:ilvl w:val="0"/>
          <w:numId w:val="22"/>
        </w:numPr>
        <w:ind w:left="1843"/>
      </w:pPr>
      <w:r w:rsidRPr="006750FD">
        <w:rPr>
          <w:rFonts w:ascii="Arial Narrow" w:hAnsi="Arial Narrow"/>
          <w:lang w:eastAsia="fr-FR"/>
        </w:rPr>
        <w:t>Méthodologie d'exécution des prestations : négociation, réservation, suivi et gestion administrative. Vous êtes particulièrement invités à produire des exemples de documents (documents de suivis, bilans de piges, etc.)</w:t>
      </w:r>
      <w:r w:rsidR="00E81B1D" w:rsidRPr="006750FD">
        <w:rPr>
          <w:rFonts w:ascii="Arial Narrow" w:hAnsi="Arial Narrow"/>
          <w:lang w:eastAsia="fr-FR"/>
        </w:rPr>
        <w:t xml:space="preserve"> ainsi qu’à présenter </w:t>
      </w:r>
      <w:r w:rsidR="001C418E" w:rsidRPr="006750FD">
        <w:rPr>
          <w:rFonts w:ascii="Arial Narrow" w:hAnsi="Arial Narrow"/>
          <w:lang w:eastAsia="fr-FR"/>
        </w:rPr>
        <w:t xml:space="preserve">vos réseaux </w:t>
      </w:r>
      <w:r w:rsidR="00E349BC" w:rsidRPr="006750FD">
        <w:rPr>
          <w:rFonts w:ascii="Arial Narrow" w:hAnsi="Arial Narrow"/>
          <w:lang w:eastAsia="fr-FR"/>
        </w:rPr>
        <w:t xml:space="preserve">de supports </w:t>
      </w:r>
      <w:r w:rsidR="001C418E" w:rsidRPr="006750FD">
        <w:rPr>
          <w:rFonts w:ascii="Arial Narrow" w:hAnsi="Arial Narrow"/>
          <w:lang w:eastAsia="fr-FR"/>
        </w:rPr>
        <w:t xml:space="preserve">(noms, emplacements, etc.) et </w:t>
      </w:r>
      <w:r w:rsidR="00E81B1D" w:rsidRPr="006750FD">
        <w:rPr>
          <w:rFonts w:ascii="Arial Narrow" w:hAnsi="Arial Narrow"/>
          <w:lang w:eastAsia="fr-FR"/>
        </w:rPr>
        <w:t>les références d’autres</w:t>
      </w:r>
      <w:r w:rsidR="00E349BC" w:rsidRPr="006750FD">
        <w:rPr>
          <w:rFonts w:ascii="Arial Narrow" w:hAnsi="Arial Narrow"/>
          <w:lang w:eastAsia="fr-FR"/>
        </w:rPr>
        <w:t xml:space="preserve"> </w:t>
      </w:r>
      <w:r w:rsidR="00E349BC" w:rsidRPr="00466E10">
        <w:rPr>
          <w:rFonts w:ascii="Arial Narrow" w:hAnsi="Arial Narrow"/>
          <w:lang w:eastAsia="fr-FR"/>
        </w:rPr>
        <w:t>supports</w:t>
      </w:r>
      <w:r w:rsidRPr="00466E10">
        <w:rPr>
          <w:rFonts w:ascii="Arial Narrow" w:hAnsi="Arial Narrow"/>
          <w:lang w:eastAsia="fr-FR"/>
        </w:rPr>
        <w:t>.</w:t>
      </w:r>
      <w:r w:rsidR="00116E95" w:rsidRPr="00466E10">
        <w:rPr>
          <w:rFonts w:ascii="Arial Narrow" w:hAnsi="Arial Narrow"/>
          <w:lang w:eastAsia="fr-FR"/>
        </w:rPr>
        <w:t xml:space="preserve"> En outre, le candidat présentera</w:t>
      </w:r>
      <w:r w:rsidR="006750FD" w:rsidRPr="00466E10">
        <w:rPr>
          <w:rFonts w:ascii="Arial Narrow" w:hAnsi="Arial Narrow"/>
          <w:lang w:eastAsia="fr-FR"/>
        </w:rPr>
        <w:t>,</w:t>
      </w:r>
      <w:r w:rsidR="00116E95" w:rsidRPr="00466E10">
        <w:rPr>
          <w:rFonts w:ascii="Arial Narrow" w:hAnsi="Arial Narrow"/>
          <w:lang w:eastAsia="fr-FR"/>
        </w:rPr>
        <w:t xml:space="preserve"> </w:t>
      </w:r>
      <w:r w:rsidR="006750FD" w:rsidRPr="00466E10">
        <w:rPr>
          <w:rFonts w:ascii="Arial Narrow" w:hAnsi="Arial Narrow"/>
          <w:lang w:eastAsia="fr-FR"/>
        </w:rPr>
        <w:t xml:space="preserve">en quelques lignes, </w:t>
      </w:r>
      <w:r w:rsidR="00116E95" w:rsidRPr="00466E10">
        <w:rPr>
          <w:rFonts w:ascii="Arial Narrow" w:hAnsi="Arial Narrow"/>
          <w:lang w:eastAsia="fr-FR"/>
        </w:rPr>
        <w:t xml:space="preserve">une proposition de stratégie </w:t>
      </w:r>
      <w:r w:rsidR="006750FD" w:rsidRPr="00466E10">
        <w:rPr>
          <w:rFonts w:ascii="Arial Narrow" w:hAnsi="Arial Narrow"/>
          <w:lang w:eastAsia="fr-FR"/>
        </w:rPr>
        <w:t>innovante qu’il préconis</w:t>
      </w:r>
      <w:r w:rsidR="00116E95" w:rsidRPr="00466E10">
        <w:rPr>
          <w:rFonts w:ascii="Arial Narrow" w:hAnsi="Arial Narrow"/>
          <w:lang w:eastAsia="fr-FR"/>
        </w:rPr>
        <w:t>e</w:t>
      </w:r>
      <w:r w:rsidR="006750FD" w:rsidRPr="00466E10">
        <w:rPr>
          <w:rFonts w:ascii="Arial Narrow" w:hAnsi="Arial Narrow"/>
          <w:lang w:eastAsia="fr-FR"/>
        </w:rPr>
        <w:t xml:space="preserve">rait pour </w:t>
      </w:r>
      <w:r w:rsidR="00116E95" w:rsidRPr="00466E10">
        <w:rPr>
          <w:rFonts w:ascii="Arial Narrow" w:hAnsi="Arial Narrow"/>
          <w:lang w:eastAsia="fr-FR"/>
        </w:rPr>
        <w:t xml:space="preserve">un projet </w:t>
      </w:r>
      <w:r w:rsidR="00395599" w:rsidRPr="00466E10">
        <w:rPr>
          <w:rFonts w:ascii="Arial Narrow" w:hAnsi="Arial Narrow"/>
          <w:lang w:eastAsia="fr-FR"/>
        </w:rPr>
        <w:t xml:space="preserve">fictif </w:t>
      </w:r>
      <w:r w:rsidR="00116E95" w:rsidRPr="00466E10">
        <w:rPr>
          <w:rFonts w:ascii="Arial Narrow" w:hAnsi="Arial Narrow"/>
          <w:lang w:eastAsia="fr-FR"/>
        </w:rPr>
        <w:t>d’exposition sur le thème de l’orientalisme</w:t>
      </w:r>
      <w:r w:rsidR="00EF0070" w:rsidRPr="00466E10">
        <w:rPr>
          <w:rFonts w:ascii="Arial Narrow" w:hAnsi="Arial Narrow"/>
          <w:lang w:eastAsia="fr-FR"/>
        </w:rPr>
        <w:t xml:space="preserve"> programmée sur la période automne-hiver</w:t>
      </w:r>
      <w:r w:rsidR="00395599" w:rsidRPr="00466E10">
        <w:rPr>
          <w:rFonts w:ascii="Arial Narrow" w:hAnsi="Arial Narrow"/>
          <w:lang w:eastAsia="fr-FR"/>
        </w:rPr>
        <w:t>.</w:t>
      </w:r>
    </w:p>
    <w:p w14:paraId="5A3756D8" w14:textId="2C2701F4" w:rsidR="00A92272" w:rsidRPr="00395599" w:rsidRDefault="00A92272" w:rsidP="00A92272">
      <w:pPr>
        <w:pStyle w:val="Corpsdetexte"/>
        <w:numPr>
          <w:ilvl w:val="0"/>
          <w:numId w:val="22"/>
        </w:numPr>
        <w:ind w:left="1843"/>
        <w:rPr>
          <w:rFonts w:ascii="Arial Narrow" w:hAnsi="Arial Narrow"/>
          <w:lang w:eastAsia="fr-FR"/>
        </w:rPr>
      </w:pPr>
      <w:r w:rsidRPr="00395599">
        <w:rPr>
          <w:rFonts w:ascii="Arial Narrow" w:hAnsi="Arial Narrow"/>
          <w:lang w:eastAsia="fr-FR"/>
        </w:rPr>
        <w:t>Moyens humains mis en œuvre pour l’exécution des prestations : organisation, nombre, qualifications et expériences des membres de l’équipe ;</w:t>
      </w:r>
    </w:p>
    <w:p w14:paraId="2FC810A2" w14:textId="77777777" w:rsidR="00A92272" w:rsidRPr="00395599" w:rsidRDefault="00A92272" w:rsidP="00A92272">
      <w:pPr>
        <w:pStyle w:val="Corpsdetexte"/>
        <w:numPr>
          <w:ilvl w:val="0"/>
          <w:numId w:val="23"/>
        </w:numPr>
        <w:rPr>
          <w:rFonts w:ascii="Arial Narrow" w:hAnsi="Arial Narrow"/>
          <w:lang w:eastAsia="fr-FR"/>
        </w:rPr>
      </w:pPr>
      <w:r w:rsidRPr="00395599">
        <w:rPr>
          <w:rFonts w:ascii="Arial Narrow" w:hAnsi="Arial Narrow"/>
          <w:lang w:eastAsia="fr-FR"/>
        </w:rPr>
        <w:t xml:space="preserve">Le </w:t>
      </w:r>
      <w:r w:rsidRPr="00395599">
        <w:rPr>
          <w:rFonts w:ascii="Arial Narrow" w:hAnsi="Arial Narrow"/>
          <w:b/>
          <w:lang w:eastAsia="fr-FR"/>
        </w:rPr>
        <w:t>mémoire portant sur les enjeux de développement durable</w:t>
      </w:r>
      <w:r w:rsidRPr="00395599">
        <w:rPr>
          <w:rFonts w:ascii="Arial Narrow" w:hAnsi="Arial Narrow"/>
          <w:lang w:eastAsia="fr-FR"/>
        </w:rPr>
        <w:t xml:space="preserve"> dans le cadre de l’exécution des prestations ;</w:t>
      </w:r>
    </w:p>
    <w:p w14:paraId="76DA37C8" w14:textId="77777777" w:rsidR="003765CC" w:rsidRPr="003E63FD" w:rsidRDefault="003765CC" w:rsidP="003765CC">
      <w:pPr>
        <w:pStyle w:val="Corpsdetexte"/>
        <w:ind w:left="720"/>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p>
    <w:p w14:paraId="00B024D4"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763D8058" w14:textId="79916126"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lastRenderedPageBreak/>
        <w:t xml:space="preserve">A cette fin, il est demandé au candidat de remettre à l’appui de son offre le formulaire DC4 renseigné et disponible à l’adresse suivante : </w:t>
      </w:r>
      <w:hyperlink r:id="rId11" w:history="1">
        <w:r w:rsidRPr="003E63FD">
          <w:rPr>
            <w:rStyle w:val="Lienhypertexte"/>
            <w:rFonts w:ascii="Arial Narrow" w:hAnsi="Arial Narrow"/>
          </w:rPr>
          <w:t>https://www.economie.gouv.fr/daj/formulaires-declaration-du-candidat</w:t>
        </w:r>
      </w:hyperlink>
    </w:p>
    <w:p w14:paraId="7824C0BC"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l’EPMO (voir sur la signature des pièces l’article 6.3 du présent règlement de la consultation).</w:t>
      </w:r>
    </w:p>
    <w:p w14:paraId="3502DA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l’EPMO vaudra acceptation du sous-traitant et agrément de ses conditions de paiement.</w:t>
      </w:r>
    </w:p>
    <w:p w14:paraId="49971A82" w14:textId="77777777" w:rsidR="003765CC"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44E0D2D4" w14:textId="77777777" w:rsidR="002C5191" w:rsidRPr="003E63FD" w:rsidRDefault="002C5191" w:rsidP="003765CC">
      <w:pPr>
        <w:pStyle w:val="Corpsdetexte"/>
        <w:rPr>
          <w:rFonts w:ascii="Arial Narrow" w:hAnsi="Arial Narrow"/>
          <w:lang w:eastAsia="fr-FR"/>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Attention, les plis sont « hors délai » si leur téléchargement se termine après la date et l’heure limites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0A11C33E" w14:textId="77777777"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l’EPMO,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6B9C083F"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r w:rsidR="007D5383">
        <w:rPr>
          <w:rFonts w:ascii="Arial Narrow" w:hAnsi="Arial Narrow"/>
          <w:lang w:eastAsia="fr-FR"/>
        </w:rPr>
        <w:t xml:space="preserve"> – Ludovic LE GOFF</w:t>
      </w:r>
    </w:p>
    <w:p w14:paraId="1D2542CC" w14:textId="1E7F0BBC" w:rsidR="004F429E" w:rsidRPr="003E63FD" w:rsidRDefault="007D5383" w:rsidP="00B17100">
      <w:pPr>
        <w:spacing w:after="0"/>
        <w:jc w:val="center"/>
        <w:rPr>
          <w:rFonts w:ascii="Arial Narrow" w:hAnsi="Arial Narrow"/>
          <w:lang w:eastAsia="fr-FR"/>
        </w:rPr>
      </w:pPr>
      <w:r>
        <w:rPr>
          <w:rFonts w:ascii="Arial Narrow" w:hAnsi="Arial Narrow"/>
          <w:lang w:eastAsia="fr-FR"/>
        </w:rPr>
        <w:t>Esplanade Valéry Giscard d’Estaing</w:t>
      </w:r>
    </w:p>
    <w:p w14:paraId="39804B20" w14:textId="1EB09BE8"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w:t>
      </w:r>
      <w:r w:rsidR="007D5383">
        <w:rPr>
          <w:rFonts w:ascii="Arial Narrow" w:hAnsi="Arial Narrow"/>
          <w:lang w:eastAsia="fr-FR"/>
        </w:rPr>
        <w:t>7</w:t>
      </w:r>
      <w:r w:rsidRPr="003E63FD">
        <w:rPr>
          <w:rFonts w:ascii="Arial Narrow" w:hAnsi="Arial Narrow"/>
          <w:lang w:eastAsia="fr-FR"/>
        </w:rPr>
        <w:t xml:space="preserve"> Paris</w:t>
      </w:r>
    </w:p>
    <w:p w14:paraId="09CEDB40" w14:textId="77777777" w:rsidR="005F1D51" w:rsidRPr="003E63FD" w:rsidRDefault="005F1D51"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lastRenderedPageBreak/>
        <w:t xml:space="preserve">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l’EPMO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77777777" w:rsidR="00D17E86" w:rsidRPr="003E63FD" w:rsidRDefault="006B3027" w:rsidP="00D17E86">
      <w:pPr>
        <w:pStyle w:val="Corpsdetexte"/>
        <w:rPr>
          <w:rFonts w:ascii="Arial Narrow" w:hAnsi="Arial Narrow"/>
          <w:lang w:eastAsia="fr-FR"/>
        </w:rPr>
      </w:pPr>
      <w:hyperlink r:id="rId12"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3" w:history="1">
        <w:r w:rsidRPr="003E63FD">
          <w:rPr>
            <w:rStyle w:val="Lienhypertexte"/>
            <w:rFonts w:ascii="Arial Narrow" w:hAnsi="Arial Narrow"/>
            <w:lang w:eastAsia="fr-FR"/>
          </w:rPr>
          <w:t>http://www.ssi.gouv.fr/administration/reglementation/confiance-numerique/le-reglement-eidas/liste-nationale-de-confiance</w:t>
        </w:r>
      </w:hyperlink>
    </w:p>
    <w:p w14:paraId="5CCB489E" w14:textId="01A2F4B0" w:rsidR="004D081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3E8C4C4E" w14:textId="77777777" w:rsidR="003F3420" w:rsidRPr="003E63FD" w:rsidRDefault="003F3420" w:rsidP="00C02487">
      <w:pPr>
        <w:pStyle w:val="Corpsdetexte"/>
        <w:rPr>
          <w:rFonts w:ascii="Arial Narrow" w:hAnsi="Arial Narrow"/>
          <w:b/>
          <w:lang w:eastAsia="fr-FR"/>
        </w:rPr>
      </w:pP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66A8FADF"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L’EPMO</w:t>
      </w:r>
      <w:r w:rsidR="00C80B51">
        <w:rPr>
          <w:rFonts w:ascii="Arial Narrow" w:hAnsi="Arial Narrow"/>
        </w:rPr>
        <w:t>-VGE</w:t>
      </w:r>
      <w:r w:rsidRPr="003E63FD">
        <w:rPr>
          <w:rFonts w:ascii="Arial Narrow" w:hAnsi="Arial Narrow"/>
        </w:rPr>
        <w:t xml:space="preserve">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65451110" w:rsidR="00AA3E07" w:rsidRPr="003E63FD" w:rsidRDefault="004302A7" w:rsidP="000B7422">
      <w:pPr>
        <w:pStyle w:val="Corpsdetexte"/>
        <w:rPr>
          <w:rFonts w:ascii="Arial Narrow" w:hAnsi="Arial Narrow"/>
        </w:rPr>
      </w:pPr>
      <w:r w:rsidRPr="003E63FD">
        <w:rPr>
          <w:rFonts w:ascii="Arial Narrow" w:hAnsi="Arial Narrow"/>
        </w:rPr>
        <w:t>L’offre économiquement la plus avantageuse sera appréciée en fonction des critères pondérés énoncés ci</w:t>
      </w:r>
      <w:r w:rsidR="004D0816">
        <w:rPr>
          <w:rFonts w:ascii="Arial Narrow" w:hAnsi="Arial Narrow"/>
        </w:rPr>
        <w:noBreakHyphen/>
      </w:r>
      <w:r w:rsidRPr="003E63FD">
        <w:rPr>
          <w:rFonts w:ascii="Arial Narrow" w:hAnsi="Arial Narrow"/>
        </w:rPr>
        <w:t>dessous</w:t>
      </w:r>
      <w:r w:rsidR="004D0816">
        <w:rPr>
          <w:rFonts w:ascii="Arial Narrow" w:hAnsi="Arial Narrow"/>
        </w:rPr>
        <w:t> </w:t>
      </w:r>
      <w:r w:rsidRPr="003E63FD">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945"/>
        <w:gridCol w:w="1129"/>
      </w:tblGrid>
      <w:tr w:rsidR="00041AEF" w:rsidRPr="003E63FD" w14:paraId="0137A9FA" w14:textId="77777777" w:rsidTr="00041AEF">
        <w:trPr>
          <w:trHeight w:val="537"/>
        </w:trPr>
        <w:tc>
          <w:tcPr>
            <w:tcW w:w="4377" w:type="pct"/>
            <w:gridSpan w:val="2"/>
            <w:shd w:val="clear" w:color="auto" w:fill="DEEAF6" w:themeFill="accent1" w:themeFillTint="33"/>
          </w:tcPr>
          <w:p w14:paraId="56B5B849" w14:textId="2521C2F7" w:rsidR="00041AEF" w:rsidRPr="006F737E" w:rsidRDefault="00041AEF" w:rsidP="00F10808">
            <w:pPr>
              <w:spacing w:before="120" w:after="0"/>
              <w:rPr>
                <w:rFonts w:ascii="Arial Narrow" w:eastAsia="Lucida Sans Unicode" w:hAnsi="Arial Narrow" w:cs="Arial"/>
                <w:b/>
              </w:rPr>
            </w:pPr>
            <w:r w:rsidRPr="006F737E">
              <w:rPr>
                <w:rFonts w:ascii="Arial Narrow" w:eastAsia="Lucida Sans Unicode" w:hAnsi="Arial Narrow" w:cs="Arial"/>
                <w:b/>
              </w:rPr>
              <w:t xml:space="preserve">Critère 1 - Valeur technique </w:t>
            </w:r>
          </w:p>
        </w:tc>
        <w:tc>
          <w:tcPr>
            <w:tcW w:w="623" w:type="pct"/>
            <w:shd w:val="clear" w:color="auto" w:fill="DEEAF6" w:themeFill="accent1" w:themeFillTint="33"/>
            <w:vAlign w:val="center"/>
          </w:tcPr>
          <w:p w14:paraId="146BA8CE" w14:textId="6BCB0E0C" w:rsidR="00041AEF" w:rsidRPr="006F737E" w:rsidRDefault="0009091C" w:rsidP="00A77FBC">
            <w:pPr>
              <w:spacing w:before="120" w:after="0"/>
              <w:jc w:val="center"/>
              <w:rPr>
                <w:rFonts w:ascii="Arial Narrow" w:eastAsia="Lucida Sans Unicode" w:hAnsi="Arial Narrow" w:cs="Arial"/>
                <w:b/>
              </w:rPr>
            </w:pPr>
            <w:r w:rsidRPr="006F737E">
              <w:rPr>
                <w:rFonts w:ascii="Arial Narrow" w:eastAsia="Lucida Sans Unicode" w:hAnsi="Arial Narrow" w:cs="Arial"/>
                <w:b/>
              </w:rPr>
              <w:t xml:space="preserve">50 </w:t>
            </w:r>
            <w:r w:rsidR="00041AEF" w:rsidRPr="006F737E">
              <w:rPr>
                <w:rFonts w:ascii="Arial Narrow" w:eastAsia="Lucida Sans Unicode" w:hAnsi="Arial Narrow" w:cs="Arial"/>
                <w:b/>
              </w:rPr>
              <w:t>%</w:t>
            </w:r>
          </w:p>
        </w:tc>
      </w:tr>
      <w:tr w:rsidR="0009091C" w:rsidRPr="003E63FD" w14:paraId="5AD71A58" w14:textId="77777777" w:rsidTr="00E81B1D">
        <w:tc>
          <w:tcPr>
            <w:tcW w:w="545" w:type="pct"/>
          </w:tcPr>
          <w:p w14:paraId="0520D073" w14:textId="4109393B" w:rsidR="0009091C" w:rsidRPr="0004454A" w:rsidRDefault="0009091C" w:rsidP="0009091C">
            <w:pPr>
              <w:pStyle w:val="Paragraphedeliste"/>
              <w:spacing w:before="120" w:after="0"/>
              <w:ind w:left="164"/>
              <w:rPr>
                <w:rFonts w:ascii="Arial Narrow" w:hAnsi="Arial Narrow"/>
                <w:b/>
              </w:rPr>
            </w:pPr>
            <w:r w:rsidRPr="0004454A">
              <w:rPr>
                <w:rFonts w:ascii="Arial Narrow" w:hAnsi="Arial Narrow"/>
                <w:b/>
              </w:rPr>
              <w:t>1.1</w:t>
            </w:r>
          </w:p>
        </w:tc>
        <w:tc>
          <w:tcPr>
            <w:tcW w:w="3832" w:type="pct"/>
            <w:vAlign w:val="center"/>
          </w:tcPr>
          <w:p w14:paraId="79EB539D" w14:textId="77777777" w:rsidR="0009091C" w:rsidRPr="006F737E" w:rsidRDefault="0009091C" w:rsidP="00E81B1D">
            <w:pPr>
              <w:spacing w:before="120" w:after="0" w:line="240" w:lineRule="auto"/>
              <w:rPr>
                <w:rFonts w:ascii="Arial Narrow" w:hAnsi="Arial Narrow"/>
                <w:lang w:eastAsia="fr-FR"/>
              </w:rPr>
            </w:pPr>
            <w:r w:rsidRPr="006F737E">
              <w:rPr>
                <w:rFonts w:ascii="Arial Narrow" w:eastAsia="Lucida Sans Unicode" w:hAnsi="Arial Narrow" w:cs="Arial"/>
              </w:rPr>
              <w:t xml:space="preserve">Méthodologie d'exécution des prestations : </w:t>
            </w:r>
            <w:r w:rsidRPr="006F737E">
              <w:rPr>
                <w:rFonts w:ascii="Arial Narrow" w:hAnsi="Arial Narrow"/>
                <w:lang w:eastAsia="fr-FR"/>
              </w:rPr>
              <w:t>négociation, réservation, suivi et gestion administrative des achats d’espaces publicitaires</w:t>
            </w:r>
          </w:p>
          <w:p w14:paraId="1840975D" w14:textId="346B96F3" w:rsidR="00395599" w:rsidRPr="006F737E" w:rsidRDefault="0009091C" w:rsidP="00395599">
            <w:pPr>
              <w:pStyle w:val="Corpsdetexte"/>
              <w:widowControl w:val="0"/>
              <w:numPr>
                <w:ilvl w:val="2"/>
                <w:numId w:val="38"/>
              </w:numPr>
              <w:autoSpaceDE w:val="0"/>
              <w:autoSpaceDN w:val="0"/>
              <w:spacing w:before="93" w:after="0" w:line="240" w:lineRule="auto"/>
            </w:pPr>
            <w:r w:rsidRPr="006F737E">
              <w:rPr>
                <w:rFonts w:ascii="Arial Narrow" w:eastAsia="Lucida Sans Unicode" w:hAnsi="Arial Narrow" w:cs="Arial"/>
              </w:rPr>
              <w:t>Appréciation qualitative des documents fournis illustrant la méthodologie (</w:t>
            </w:r>
            <w:r w:rsidRPr="006F737E">
              <w:rPr>
                <w:rFonts w:ascii="Arial Narrow" w:hAnsi="Arial Narrow"/>
                <w:lang w:eastAsia="fr-FR"/>
              </w:rPr>
              <w:t>mémoire technique, documents de suivis administratifs,</w:t>
            </w:r>
            <w:r w:rsidR="001347C2" w:rsidRPr="006F737E">
              <w:rPr>
                <w:rFonts w:ascii="Arial Narrow" w:hAnsi="Arial Narrow"/>
                <w:lang w:eastAsia="fr-FR"/>
              </w:rPr>
              <w:t xml:space="preserve"> bilans des piges</w:t>
            </w:r>
            <w:r w:rsidR="00286B0C" w:rsidRPr="006F737E">
              <w:rPr>
                <w:rFonts w:ascii="Arial Narrow" w:hAnsi="Arial Narrow"/>
                <w:lang w:eastAsia="fr-FR"/>
              </w:rPr>
              <w:t xml:space="preserve">, </w:t>
            </w:r>
            <w:r w:rsidR="001347C2" w:rsidRPr="006F737E">
              <w:rPr>
                <w:rFonts w:ascii="Arial Narrow" w:hAnsi="Arial Narrow"/>
                <w:lang w:eastAsia="fr-FR"/>
              </w:rPr>
              <w:t>etc.</w:t>
            </w:r>
            <w:r w:rsidRPr="006F737E">
              <w:rPr>
                <w:rFonts w:ascii="Arial Narrow" w:hAnsi="Arial Narrow"/>
                <w:lang w:eastAsia="fr-FR"/>
              </w:rPr>
              <w:t>)</w:t>
            </w:r>
            <w:r w:rsidR="00286B0C" w:rsidRPr="006F737E">
              <w:rPr>
                <w:rFonts w:ascii="Arial Narrow" w:hAnsi="Arial Narrow"/>
                <w:lang w:eastAsia="fr-FR"/>
              </w:rPr>
              <w:t xml:space="preserve"> ainsi que de la présentation des </w:t>
            </w:r>
            <w:r w:rsidR="00852F81" w:rsidRPr="006F737E">
              <w:rPr>
                <w:rFonts w:ascii="Arial Narrow" w:hAnsi="Arial Narrow"/>
                <w:lang w:eastAsia="fr-FR"/>
              </w:rPr>
              <w:t xml:space="preserve">réseaux </w:t>
            </w:r>
            <w:r w:rsidR="00AC1E22" w:rsidRPr="006F737E">
              <w:rPr>
                <w:rFonts w:ascii="Arial Narrow" w:hAnsi="Arial Narrow"/>
                <w:lang w:eastAsia="fr-FR"/>
              </w:rPr>
              <w:t xml:space="preserve">de supports </w:t>
            </w:r>
            <w:r w:rsidR="00852F81" w:rsidRPr="006F737E">
              <w:rPr>
                <w:rFonts w:ascii="Arial Narrow" w:hAnsi="Arial Narrow"/>
                <w:lang w:eastAsia="fr-FR"/>
              </w:rPr>
              <w:t xml:space="preserve">et les </w:t>
            </w:r>
            <w:r w:rsidR="00286B0C" w:rsidRPr="006F737E">
              <w:rPr>
                <w:rFonts w:ascii="Arial Narrow" w:hAnsi="Arial Narrow"/>
                <w:lang w:eastAsia="fr-FR"/>
              </w:rPr>
              <w:t xml:space="preserve">références d’autres </w:t>
            </w:r>
            <w:r w:rsidR="00AC1E22" w:rsidRPr="006F737E">
              <w:rPr>
                <w:rFonts w:ascii="Arial Narrow" w:hAnsi="Arial Narrow"/>
                <w:lang w:eastAsia="fr-FR"/>
              </w:rPr>
              <w:t>supports</w:t>
            </w:r>
            <w:r w:rsidR="00EF0070" w:rsidRPr="006F737E">
              <w:rPr>
                <w:rFonts w:ascii="Arial Narrow" w:hAnsi="Arial Narrow"/>
                <w:lang w:eastAsia="fr-FR"/>
              </w:rPr>
              <w:t>,</w:t>
            </w:r>
            <w:r w:rsidR="00395599" w:rsidRPr="006F737E">
              <w:rPr>
                <w:rFonts w:ascii="Arial Narrow" w:hAnsi="Arial Narrow"/>
                <w:lang w:eastAsia="fr-FR"/>
              </w:rPr>
              <w:t xml:space="preserve"> et </w:t>
            </w:r>
            <w:r w:rsidR="001776DF" w:rsidRPr="006F737E">
              <w:rPr>
                <w:rFonts w:ascii="Arial Narrow" w:hAnsi="Arial Narrow"/>
                <w:lang w:eastAsia="fr-FR"/>
              </w:rPr>
              <w:t>d’une</w:t>
            </w:r>
            <w:r w:rsidR="00395599" w:rsidRPr="006F737E">
              <w:rPr>
                <w:rFonts w:ascii="Arial Narrow" w:hAnsi="Arial Narrow"/>
                <w:lang w:eastAsia="fr-FR"/>
              </w:rPr>
              <w:t xml:space="preserve"> proposition de stratégie préconisée, en quelques lignes, avec des propositions de solutions innovantes relatives à un projet fictif d’exposition sur le thème de l’orientalisme</w:t>
            </w:r>
            <w:r w:rsidR="00EF0070" w:rsidRPr="006F737E">
              <w:rPr>
                <w:rFonts w:ascii="Arial Narrow" w:hAnsi="Arial Narrow"/>
                <w:lang w:eastAsia="fr-FR"/>
              </w:rPr>
              <w:t xml:space="preserve"> programmée sur la période automne-hiver</w:t>
            </w:r>
            <w:r w:rsidR="00395599" w:rsidRPr="006F737E">
              <w:rPr>
                <w:rFonts w:ascii="Arial Narrow" w:hAnsi="Arial Narrow"/>
                <w:lang w:eastAsia="fr-FR"/>
              </w:rPr>
              <w:t>.</w:t>
            </w:r>
          </w:p>
          <w:p w14:paraId="0255CC14" w14:textId="0C8B8008" w:rsidR="0009091C" w:rsidRPr="006F737E" w:rsidRDefault="0009091C" w:rsidP="0009091C">
            <w:pPr>
              <w:pStyle w:val="Paragraphedeliste"/>
              <w:spacing w:before="120" w:after="0" w:line="240" w:lineRule="auto"/>
              <w:ind w:left="360"/>
              <w:rPr>
                <w:rFonts w:ascii="Arial Narrow" w:eastAsia="Lucida Sans Unicode" w:hAnsi="Arial Narrow" w:cs="Arial"/>
              </w:rPr>
            </w:pPr>
          </w:p>
          <w:p w14:paraId="109638D7" w14:textId="0452DCC0" w:rsidR="0009091C" w:rsidRPr="006F737E" w:rsidRDefault="0009091C" w:rsidP="00E81B1D">
            <w:pPr>
              <w:spacing w:before="120" w:after="0" w:line="240" w:lineRule="auto"/>
              <w:rPr>
                <w:rFonts w:ascii="Arial Narrow" w:eastAsia="Lucida Sans Unicode" w:hAnsi="Arial Narrow" w:cs="Arial"/>
              </w:rPr>
            </w:pPr>
          </w:p>
        </w:tc>
        <w:tc>
          <w:tcPr>
            <w:tcW w:w="623" w:type="pct"/>
            <w:vAlign w:val="center"/>
          </w:tcPr>
          <w:p w14:paraId="6E0F4501" w14:textId="3C78E0C8" w:rsidR="0009091C" w:rsidRPr="006F737E" w:rsidRDefault="00286B0C" w:rsidP="0009091C">
            <w:pPr>
              <w:spacing w:before="120" w:after="0"/>
              <w:jc w:val="center"/>
              <w:rPr>
                <w:rFonts w:ascii="Arial Narrow" w:eastAsia="Lucida Sans Unicode" w:hAnsi="Arial Narrow" w:cs="Arial"/>
              </w:rPr>
            </w:pPr>
            <w:r w:rsidRPr="006F737E">
              <w:rPr>
                <w:rFonts w:ascii="Arial Narrow" w:eastAsia="Lucida Sans Unicode" w:hAnsi="Arial Narrow" w:cs="Arial"/>
              </w:rPr>
              <w:t>6</w:t>
            </w:r>
            <w:r w:rsidR="001347C2" w:rsidRPr="006F737E">
              <w:rPr>
                <w:rFonts w:ascii="Arial Narrow" w:eastAsia="Lucida Sans Unicode" w:hAnsi="Arial Narrow" w:cs="Arial"/>
              </w:rPr>
              <w:t>0%</w:t>
            </w:r>
          </w:p>
        </w:tc>
      </w:tr>
      <w:tr w:rsidR="0009091C" w:rsidRPr="003E63FD" w14:paraId="1E483960" w14:textId="77777777" w:rsidTr="00E81B1D">
        <w:tc>
          <w:tcPr>
            <w:tcW w:w="545" w:type="pct"/>
          </w:tcPr>
          <w:p w14:paraId="5978731E" w14:textId="530503A9" w:rsidR="0009091C" w:rsidRPr="0004454A" w:rsidRDefault="0009091C" w:rsidP="0009091C">
            <w:pPr>
              <w:pStyle w:val="Paragraphedeliste"/>
              <w:spacing w:before="120" w:after="0"/>
              <w:ind w:left="164"/>
              <w:rPr>
                <w:rFonts w:ascii="Arial Narrow" w:hAnsi="Arial Narrow"/>
                <w:b/>
              </w:rPr>
            </w:pPr>
            <w:r w:rsidRPr="0004454A">
              <w:rPr>
                <w:rFonts w:ascii="Arial Narrow" w:hAnsi="Arial Narrow"/>
                <w:b/>
              </w:rPr>
              <w:lastRenderedPageBreak/>
              <w:t>1.2</w:t>
            </w:r>
          </w:p>
        </w:tc>
        <w:tc>
          <w:tcPr>
            <w:tcW w:w="3832" w:type="pct"/>
            <w:vAlign w:val="center"/>
          </w:tcPr>
          <w:p w14:paraId="74AD8B75" w14:textId="09898388" w:rsidR="0009091C" w:rsidRPr="006F737E" w:rsidRDefault="0009091C" w:rsidP="00E81B1D">
            <w:pPr>
              <w:spacing w:before="120" w:after="0" w:line="240" w:lineRule="auto"/>
              <w:rPr>
                <w:rFonts w:ascii="Arial Narrow" w:eastAsia="Lucida Sans Unicode" w:hAnsi="Arial Narrow" w:cs="Arial"/>
              </w:rPr>
            </w:pPr>
            <w:r w:rsidRPr="006F737E">
              <w:rPr>
                <w:rFonts w:ascii="Arial Narrow" w:eastAsia="Lucida Sans Unicode" w:hAnsi="Arial Narrow" w:cs="Arial"/>
              </w:rPr>
              <w:t>Moyens humains mis en œuvre pour l’exécution des prestations</w:t>
            </w:r>
          </w:p>
          <w:p w14:paraId="40CBEB4F" w14:textId="391DFFE8" w:rsidR="0009091C" w:rsidRPr="006F737E" w:rsidRDefault="0009091C" w:rsidP="0009091C">
            <w:pPr>
              <w:pStyle w:val="Paragraphedeliste"/>
              <w:spacing w:before="120" w:after="0" w:line="240" w:lineRule="auto"/>
              <w:ind w:left="360"/>
              <w:rPr>
                <w:rFonts w:ascii="Arial Narrow" w:eastAsia="Lucida Sans Unicode" w:hAnsi="Arial Narrow" w:cs="Arial"/>
              </w:rPr>
            </w:pPr>
            <w:r w:rsidRPr="006F737E">
              <w:rPr>
                <w:rFonts w:ascii="Arial Narrow" w:eastAsia="Lucida Sans Unicode" w:hAnsi="Arial Narrow" w:cs="Arial"/>
              </w:rPr>
              <w:t>Appréciation qualitative de l’équipe dédiée (</w:t>
            </w:r>
            <w:r w:rsidRPr="006F737E">
              <w:rPr>
                <w:rFonts w:ascii="Arial Narrow" w:hAnsi="Arial Narrow"/>
                <w:lang w:eastAsia="fr-FR"/>
              </w:rPr>
              <w:t>organisation, nombre, qualifications et expériences des membres de l’équipe)</w:t>
            </w:r>
          </w:p>
          <w:p w14:paraId="57C1C93B" w14:textId="33B77D7E" w:rsidR="0009091C" w:rsidRPr="00E81B1D" w:rsidRDefault="0009091C" w:rsidP="0009091C">
            <w:pPr>
              <w:pStyle w:val="Paragraphedeliste"/>
              <w:spacing w:before="120" w:after="0"/>
              <w:ind w:left="40"/>
              <w:rPr>
                <w:rFonts w:ascii="Arial Narrow" w:eastAsia="Lucida Sans Unicode" w:hAnsi="Arial Narrow" w:cs="Arial"/>
                <w:highlight w:val="yellow"/>
              </w:rPr>
            </w:pPr>
          </w:p>
        </w:tc>
        <w:tc>
          <w:tcPr>
            <w:tcW w:w="623" w:type="pct"/>
            <w:vAlign w:val="center"/>
          </w:tcPr>
          <w:p w14:paraId="4051D43F" w14:textId="7D37D970" w:rsidR="0009091C" w:rsidRPr="006F737E" w:rsidRDefault="00286B0C" w:rsidP="0009091C">
            <w:pPr>
              <w:spacing w:before="120" w:after="0"/>
              <w:jc w:val="center"/>
              <w:rPr>
                <w:rFonts w:ascii="Arial Narrow" w:eastAsia="Lucida Sans Unicode" w:hAnsi="Arial Narrow" w:cs="Arial"/>
              </w:rPr>
            </w:pPr>
            <w:r w:rsidRPr="006F737E">
              <w:rPr>
                <w:rFonts w:ascii="Arial Narrow" w:eastAsia="Lucida Sans Unicode" w:hAnsi="Arial Narrow" w:cs="Arial"/>
              </w:rPr>
              <w:t>4</w:t>
            </w:r>
            <w:r w:rsidR="001347C2" w:rsidRPr="006F737E">
              <w:rPr>
                <w:rFonts w:ascii="Arial Narrow" w:eastAsia="Lucida Sans Unicode" w:hAnsi="Arial Narrow" w:cs="Arial"/>
              </w:rPr>
              <w:t>0%</w:t>
            </w:r>
          </w:p>
        </w:tc>
      </w:tr>
      <w:tr w:rsidR="00041AEF" w:rsidRPr="003E63FD" w14:paraId="3CB68594" w14:textId="77777777" w:rsidTr="00041AEF">
        <w:trPr>
          <w:trHeight w:val="487"/>
        </w:trPr>
        <w:tc>
          <w:tcPr>
            <w:tcW w:w="4377" w:type="pct"/>
            <w:gridSpan w:val="2"/>
            <w:shd w:val="clear" w:color="auto" w:fill="DEEAF6" w:themeFill="accent1" w:themeFillTint="33"/>
          </w:tcPr>
          <w:p w14:paraId="22B0F2DE" w14:textId="653319C4" w:rsidR="00041AEF" w:rsidRPr="005B7685" w:rsidRDefault="00041AEF" w:rsidP="00246AD8">
            <w:pPr>
              <w:spacing w:before="120" w:after="0"/>
              <w:rPr>
                <w:rFonts w:ascii="Arial Narrow" w:eastAsia="Lucida Sans Unicode" w:hAnsi="Arial Narrow" w:cs="Arial"/>
                <w:b/>
              </w:rPr>
            </w:pPr>
            <w:r w:rsidRPr="003E63FD">
              <w:rPr>
                <w:rFonts w:ascii="Arial Narrow" w:hAnsi="Arial Narrow"/>
                <w:b/>
              </w:rPr>
              <w:t xml:space="preserve">Critère 2 - </w:t>
            </w:r>
            <w:r w:rsidRPr="003E63FD">
              <w:rPr>
                <w:rFonts w:ascii="Arial Narrow" w:eastAsia="Lucida Sans Unicode" w:hAnsi="Arial Narrow" w:cs="Arial"/>
                <w:b/>
              </w:rPr>
              <w:t>Prise en compte des enjeux</w:t>
            </w:r>
            <w:r>
              <w:rPr>
                <w:rFonts w:ascii="Arial Narrow" w:eastAsia="Lucida Sans Unicode" w:hAnsi="Arial Narrow" w:cs="Arial"/>
                <w:b/>
              </w:rPr>
              <w:t xml:space="preserve"> de</w:t>
            </w:r>
            <w:r w:rsidRPr="003E63FD">
              <w:rPr>
                <w:rFonts w:ascii="Arial Narrow" w:eastAsia="Lucida Sans Unicode" w:hAnsi="Arial Narrow" w:cs="Arial"/>
                <w:b/>
              </w:rPr>
              <w:t xml:space="preserve"> </w:t>
            </w:r>
            <w:r w:rsidRPr="00C23BDD">
              <w:rPr>
                <w:rFonts w:ascii="Arial Narrow" w:eastAsia="Lucida Sans Unicode" w:hAnsi="Arial Narrow" w:cs="Arial"/>
                <w:b/>
              </w:rPr>
              <w:t>transition écologique dans le cadre de l’exécution des prestations</w:t>
            </w:r>
          </w:p>
        </w:tc>
        <w:tc>
          <w:tcPr>
            <w:tcW w:w="623" w:type="pct"/>
            <w:shd w:val="clear" w:color="auto" w:fill="DEEAF6" w:themeFill="accent1" w:themeFillTint="33"/>
            <w:vAlign w:val="center"/>
          </w:tcPr>
          <w:p w14:paraId="7961EC63" w14:textId="4A0953A6" w:rsidR="00041AEF" w:rsidRPr="006F737E" w:rsidRDefault="00824EFE" w:rsidP="00A77FBC">
            <w:pPr>
              <w:spacing w:before="120" w:after="0"/>
              <w:jc w:val="center"/>
              <w:rPr>
                <w:rFonts w:ascii="Arial Narrow" w:hAnsi="Arial Narrow"/>
                <w:b/>
              </w:rPr>
            </w:pPr>
            <w:r w:rsidRPr="006F737E">
              <w:rPr>
                <w:rFonts w:ascii="Arial Narrow" w:hAnsi="Arial Narrow"/>
                <w:b/>
              </w:rPr>
              <w:t>1</w:t>
            </w:r>
            <w:r w:rsidR="0004454A" w:rsidRPr="006F737E">
              <w:rPr>
                <w:rFonts w:ascii="Arial Narrow" w:hAnsi="Arial Narrow"/>
                <w:b/>
              </w:rPr>
              <w:t>0</w:t>
            </w:r>
            <w:r w:rsidR="00041AEF" w:rsidRPr="006F737E">
              <w:rPr>
                <w:rFonts w:ascii="Arial Narrow" w:hAnsi="Arial Narrow"/>
                <w:b/>
              </w:rPr>
              <w:t xml:space="preserve"> %</w:t>
            </w:r>
          </w:p>
        </w:tc>
      </w:tr>
      <w:tr w:rsidR="00041AEF" w:rsidRPr="003E63FD" w14:paraId="69927644" w14:textId="77777777" w:rsidTr="00041AEF">
        <w:trPr>
          <w:trHeight w:val="565"/>
        </w:trPr>
        <w:tc>
          <w:tcPr>
            <w:tcW w:w="4377" w:type="pct"/>
            <w:gridSpan w:val="2"/>
            <w:shd w:val="clear" w:color="auto" w:fill="DEEAF6" w:themeFill="accent1" w:themeFillTint="33"/>
          </w:tcPr>
          <w:p w14:paraId="412F6318" w14:textId="0EB018FE" w:rsidR="00041AEF" w:rsidRPr="003E63FD" w:rsidRDefault="00041AEF" w:rsidP="00F10808">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3 - Prix </w:t>
            </w:r>
          </w:p>
        </w:tc>
        <w:tc>
          <w:tcPr>
            <w:tcW w:w="623" w:type="pct"/>
            <w:shd w:val="clear" w:color="auto" w:fill="DEEAF6" w:themeFill="accent1" w:themeFillTint="33"/>
            <w:vAlign w:val="center"/>
          </w:tcPr>
          <w:p w14:paraId="51F971E0" w14:textId="1AD45695" w:rsidR="00041AEF" w:rsidRPr="006F737E" w:rsidRDefault="0009091C" w:rsidP="00F837B7">
            <w:pPr>
              <w:spacing w:before="120" w:after="0"/>
              <w:jc w:val="center"/>
              <w:rPr>
                <w:rFonts w:ascii="Arial Narrow" w:eastAsia="Lucida Sans Unicode" w:hAnsi="Arial Narrow" w:cs="Arial"/>
                <w:b/>
              </w:rPr>
            </w:pPr>
            <w:r w:rsidRPr="006F737E">
              <w:rPr>
                <w:rFonts w:ascii="Arial Narrow" w:eastAsia="Lucida Sans Unicode" w:hAnsi="Arial Narrow" w:cs="Arial"/>
                <w:b/>
              </w:rPr>
              <w:t xml:space="preserve">40 </w:t>
            </w:r>
            <w:r w:rsidR="00041AEF" w:rsidRPr="006F737E">
              <w:rPr>
                <w:rFonts w:ascii="Arial Narrow" w:eastAsia="Lucida Sans Unicode" w:hAnsi="Arial Narrow" w:cs="Arial"/>
                <w:b/>
              </w:rPr>
              <w:t>%</w:t>
            </w:r>
          </w:p>
        </w:tc>
      </w:tr>
      <w:tr w:rsidR="00F10808" w:rsidRPr="003E63FD" w14:paraId="5F23900E" w14:textId="77777777" w:rsidTr="00F10808">
        <w:trPr>
          <w:trHeight w:val="565"/>
        </w:trPr>
        <w:tc>
          <w:tcPr>
            <w:tcW w:w="545" w:type="pct"/>
            <w:shd w:val="clear" w:color="auto" w:fill="FFFFFF" w:themeFill="background1"/>
          </w:tcPr>
          <w:p w14:paraId="7590F73D" w14:textId="315A9B9F" w:rsidR="00F10808" w:rsidRPr="00F10808" w:rsidRDefault="00F10808" w:rsidP="00F10808">
            <w:pPr>
              <w:spacing w:before="120" w:after="0" w:line="240" w:lineRule="auto"/>
              <w:ind w:left="164"/>
              <w:rPr>
                <w:rFonts w:ascii="Arial Narrow" w:hAnsi="Arial Narrow"/>
                <w:b/>
              </w:rPr>
            </w:pPr>
            <w:r>
              <w:rPr>
                <w:rFonts w:ascii="Arial Narrow" w:hAnsi="Arial Narrow"/>
                <w:b/>
              </w:rPr>
              <w:t>3.1</w:t>
            </w:r>
          </w:p>
        </w:tc>
        <w:tc>
          <w:tcPr>
            <w:tcW w:w="3832" w:type="pct"/>
            <w:shd w:val="clear" w:color="auto" w:fill="FFFFFF" w:themeFill="background1"/>
          </w:tcPr>
          <w:p w14:paraId="22DC96C3" w14:textId="77777777" w:rsidR="00F10808" w:rsidRPr="00F10808" w:rsidRDefault="00F10808" w:rsidP="00F10808">
            <w:pPr>
              <w:pStyle w:val="Default"/>
              <w:rPr>
                <w:rFonts w:ascii="Arial Narrow" w:hAnsi="Arial Narrow" w:cstheme="minorBidi"/>
                <w:color w:val="auto"/>
                <w:sz w:val="22"/>
                <w:szCs w:val="22"/>
              </w:rPr>
            </w:pPr>
          </w:p>
          <w:p w14:paraId="03907629" w14:textId="77777777" w:rsidR="00F10808" w:rsidRPr="00F10808" w:rsidRDefault="00F10808" w:rsidP="00F10808">
            <w:pPr>
              <w:pStyle w:val="Default"/>
              <w:rPr>
                <w:rFonts w:ascii="Arial Narrow" w:hAnsi="Arial Narrow" w:cstheme="minorBidi"/>
                <w:color w:val="auto"/>
                <w:sz w:val="22"/>
                <w:szCs w:val="22"/>
              </w:rPr>
            </w:pPr>
            <w:r w:rsidRPr="00F10808">
              <w:rPr>
                <w:rFonts w:ascii="Arial Narrow" w:hAnsi="Arial Narrow" w:cstheme="minorBidi"/>
                <w:color w:val="auto"/>
                <w:sz w:val="22"/>
                <w:szCs w:val="22"/>
              </w:rPr>
              <w:t xml:space="preserve">Montant forfaitaire inscrit dans le DQE relatif aux prix fixes </w:t>
            </w:r>
          </w:p>
          <w:p w14:paraId="5BD50B82" w14:textId="0675F051" w:rsidR="00F10808" w:rsidRPr="00F10808" w:rsidRDefault="00F10808" w:rsidP="00F10808">
            <w:pPr>
              <w:spacing w:before="120" w:after="0" w:line="240" w:lineRule="auto"/>
              <w:ind w:left="164"/>
              <w:rPr>
                <w:rFonts w:ascii="Arial Narrow" w:hAnsi="Arial Narrow"/>
              </w:rPr>
            </w:pPr>
          </w:p>
        </w:tc>
        <w:tc>
          <w:tcPr>
            <w:tcW w:w="623" w:type="pct"/>
            <w:shd w:val="clear" w:color="auto" w:fill="FFFFFF" w:themeFill="background1"/>
            <w:vAlign w:val="center"/>
          </w:tcPr>
          <w:p w14:paraId="172770EA" w14:textId="60544B43" w:rsidR="00F10808" w:rsidRPr="00F10808" w:rsidRDefault="00F10808" w:rsidP="00F10808">
            <w:pPr>
              <w:spacing w:before="120" w:after="0" w:line="240" w:lineRule="auto"/>
              <w:ind w:left="41"/>
              <w:jc w:val="center"/>
              <w:rPr>
                <w:rFonts w:ascii="Arial Narrow" w:hAnsi="Arial Narrow"/>
              </w:rPr>
            </w:pPr>
            <w:r w:rsidRPr="00F10808">
              <w:rPr>
                <w:rFonts w:ascii="Arial Narrow" w:hAnsi="Arial Narrow"/>
              </w:rPr>
              <w:t>70%</w:t>
            </w:r>
          </w:p>
        </w:tc>
      </w:tr>
      <w:tr w:rsidR="00F10808" w:rsidRPr="003E63FD" w14:paraId="2C66ABD0" w14:textId="77777777" w:rsidTr="00F10808">
        <w:trPr>
          <w:trHeight w:val="565"/>
        </w:trPr>
        <w:tc>
          <w:tcPr>
            <w:tcW w:w="545" w:type="pct"/>
            <w:shd w:val="clear" w:color="auto" w:fill="FFFFFF" w:themeFill="background1"/>
          </w:tcPr>
          <w:p w14:paraId="05598949" w14:textId="6E1983EB" w:rsidR="00F10808" w:rsidRPr="00F10808" w:rsidRDefault="00F10808" w:rsidP="00F10808">
            <w:pPr>
              <w:spacing w:before="120" w:after="0" w:line="240" w:lineRule="auto"/>
              <w:ind w:left="164"/>
              <w:rPr>
                <w:rFonts w:ascii="Arial Narrow" w:hAnsi="Arial Narrow"/>
                <w:b/>
              </w:rPr>
            </w:pPr>
            <w:r>
              <w:rPr>
                <w:rFonts w:ascii="Arial Narrow" w:hAnsi="Arial Narrow"/>
                <w:b/>
              </w:rPr>
              <w:t>3.2</w:t>
            </w:r>
          </w:p>
        </w:tc>
        <w:tc>
          <w:tcPr>
            <w:tcW w:w="3832" w:type="pct"/>
            <w:shd w:val="clear" w:color="auto" w:fill="FFFFFF" w:themeFill="background1"/>
          </w:tcPr>
          <w:p w14:paraId="01D15B76" w14:textId="77777777" w:rsidR="00F10808" w:rsidRPr="00F10808" w:rsidRDefault="00F10808" w:rsidP="00F10808">
            <w:pPr>
              <w:pStyle w:val="Default"/>
              <w:rPr>
                <w:rFonts w:ascii="Arial Narrow" w:hAnsi="Arial Narrow" w:cstheme="minorBidi"/>
                <w:color w:val="auto"/>
                <w:sz w:val="22"/>
                <w:szCs w:val="22"/>
              </w:rPr>
            </w:pPr>
            <w:r w:rsidRPr="00F10808">
              <w:rPr>
                <w:rFonts w:ascii="Arial Narrow" w:hAnsi="Arial Narrow" w:cstheme="minorBidi"/>
                <w:color w:val="auto"/>
                <w:sz w:val="22"/>
                <w:szCs w:val="22"/>
              </w:rPr>
              <w:t xml:space="preserve">Taux de rémunération sur les montants négociés (part variable inscrite dans le BPU) </w:t>
            </w:r>
          </w:p>
          <w:p w14:paraId="65CB601C" w14:textId="5EA5451E" w:rsidR="00F10808" w:rsidRPr="00F10808" w:rsidRDefault="00F10808" w:rsidP="00F10808">
            <w:pPr>
              <w:spacing w:before="120" w:after="0" w:line="240" w:lineRule="auto"/>
              <w:ind w:left="164"/>
              <w:rPr>
                <w:rFonts w:ascii="Arial Narrow" w:hAnsi="Arial Narrow"/>
              </w:rPr>
            </w:pPr>
          </w:p>
        </w:tc>
        <w:tc>
          <w:tcPr>
            <w:tcW w:w="623" w:type="pct"/>
            <w:shd w:val="clear" w:color="auto" w:fill="FFFFFF" w:themeFill="background1"/>
            <w:vAlign w:val="center"/>
          </w:tcPr>
          <w:p w14:paraId="4632F826" w14:textId="7E275DC9" w:rsidR="00F10808" w:rsidRPr="00F10808" w:rsidRDefault="00F10808" w:rsidP="00F10808">
            <w:pPr>
              <w:spacing w:before="120" w:after="0" w:line="240" w:lineRule="auto"/>
              <w:ind w:left="41"/>
              <w:jc w:val="center"/>
              <w:rPr>
                <w:rFonts w:ascii="Arial Narrow" w:hAnsi="Arial Narrow"/>
              </w:rPr>
            </w:pPr>
            <w:r w:rsidRPr="00F10808">
              <w:rPr>
                <w:rFonts w:ascii="Arial Narrow" w:hAnsi="Arial Narrow"/>
              </w:rPr>
              <w:t>30%</w:t>
            </w:r>
          </w:p>
        </w:tc>
      </w:tr>
    </w:tbl>
    <w:p w14:paraId="32CFEB04" w14:textId="77777777" w:rsidR="004302A7" w:rsidRPr="003E63FD" w:rsidRDefault="004302A7" w:rsidP="004302A7">
      <w:pPr>
        <w:rPr>
          <w:rFonts w:ascii="Arial Narrow" w:hAnsi="Arial Narrow"/>
          <w:lang w:eastAsia="fr-FR"/>
        </w:rPr>
      </w:pPr>
    </w:p>
    <w:p w14:paraId="6D77C9E6" w14:textId="62DAD18F"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sidRPr="003E63FD">
        <w:rPr>
          <w:rFonts w:ascii="Arial Narrow" w:eastAsiaTheme="minorHAnsi" w:hAnsi="Arial Narrow" w:cstheme="minorBidi"/>
          <w:color w:val="auto"/>
          <w:sz w:val="22"/>
          <w:u w:val="single"/>
        </w:rPr>
        <w:t>s</w:t>
      </w:r>
      <w:r w:rsidR="004302A7" w:rsidRPr="003E63FD">
        <w:rPr>
          <w:rFonts w:ascii="Arial Narrow" w:eastAsiaTheme="minorHAnsi" w:hAnsi="Arial Narrow" w:cstheme="minorBidi"/>
          <w:color w:val="auto"/>
          <w:sz w:val="22"/>
          <w:u w:val="single"/>
        </w:rPr>
        <w:t xml:space="preserve"> « valeur technique »</w:t>
      </w:r>
      <w:r w:rsidRPr="003E63FD">
        <w:rPr>
          <w:rFonts w:ascii="Arial Narrow" w:eastAsiaTheme="minorHAnsi" w:hAnsi="Arial Narrow" w:cstheme="minorBidi"/>
          <w:color w:val="auto"/>
          <w:sz w:val="22"/>
          <w:u w:val="single"/>
        </w:rPr>
        <w:t xml:space="preserve"> et « prise en compte des enjeux de </w:t>
      </w:r>
      <w:r w:rsidR="00B46916">
        <w:rPr>
          <w:rFonts w:ascii="Arial Narrow" w:eastAsiaTheme="minorHAnsi" w:hAnsi="Arial Narrow" w:cstheme="minorBidi"/>
          <w:color w:val="auto"/>
          <w:sz w:val="22"/>
          <w:u w:val="single"/>
        </w:rPr>
        <w:t>transition écologique</w:t>
      </w:r>
      <w:r w:rsidRPr="003E63FD">
        <w:rPr>
          <w:rFonts w:ascii="Arial Narrow" w:eastAsiaTheme="minorHAnsi" w:hAnsi="Arial Narrow" w:cstheme="minorBidi"/>
          <w:color w:val="auto"/>
          <w:sz w:val="22"/>
          <w:u w:val="single"/>
        </w:rPr>
        <w:t> »</w:t>
      </w:r>
      <w:r w:rsidR="004302A7" w:rsidRPr="003E63FD">
        <w:rPr>
          <w:rFonts w:ascii="Arial Narrow" w:eastAsiaTheme="minorHAnsi" w:hAnsi="Arial Narrow" w:cstheme="minorBidi"/>
          <w:color w:val="auto"/>
          <w:sz w:val="22"/>
          <w:u w:val="single"/>
        </w:rPr>
        <w:t> :</w:t>
      </w:r>
    </w:p>
    <w:p w14:paraId="27896767" w14:textId="77777777" w:rsidR="004302A7" w:rsidRPr="003E63FD" w:rsidRDefault="00CE4A76" w:rsidP="004302A7">
      <w:pPr>
        <w:rPr>
          <w:rFonts w:ascii="Arial Narrow" w:hAnsi="Arial Narrow"/>
        </w:rPr>
      </w:pPr>
      <w:r w:rsidRPr="003E63FD">
        <w:rPr>
          <w:rFonts w:ascii="Arial Narrow" w:hAnsi="Arial Narrow"/>
        </w:rPr>
        <w:t>Chacun</w:t>
      </w:r>
      <w:r w:rsidR="004302A7" w:rsidRPr="003E63FD">
        <w:rPr>
          <w:rFonts w:ascii="Arial Narrow" w:hAnsi="Arial Narrow"/>
        </w:rPr>
        <w:t xml:space="preserve"> des critères et sous 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498B84AC" w14:textId="2BA3ABA7" w:rsidR="00F10808" w:rsidRPr="00F10808" w:rsidRDefault="00F10808" w:rsidP="00F10808">
      <w:pPr>
        <w:spacing w:after="120" w:line="360" w:lineRule="auto"/>
        <w:jc w:val="both"/>
        <w:rPr>
          <w:rFonts w:ascii="Arial Narrow" w:hAnsi="Arial Narrow"/>
          <w:u w:val="single"/>
        </w:rPr>
      </w:pPr>
      <w:r w:rsidRPr="00F10808">
        <w:rPr>
          <w:rFonts w:ascii="Arial Narrow" w:hAnsi="Arial Narrow"/>
          <w:u w:val="single"/>
        </w:rPr>
        <w:t xml:space="preserve">Notation du sous critère </w:t>
      </w:r>
      <w:r>
        <w:rPr>
          <w:rFonts w:ascii="Arial Narrow" w:hAnsi="Arial Narrow"/>
          <w:u w:val="single"/>
        </w:rPr>
        <w:t>3</w:t>
      </w:r>
      <w:r w:rsidRPr="00F10808">
        <w:rPr>
          <w:rFonts w:ascii="Arial Narrow" w:hAnsi="Arial Narrow"/>
          <w:u w:val="single"/>
        </w:rPr>
        <w:t>-1 « montant du DQE » pondéré à 70%</w:t>
      </w:r>
    </w:p>
    <w:p w14:paraId="086DA962" w14:textId="77777777" w:rsidR="00F10808" w:rsidRPr="00F10808" w:rsidRDefault="00F10808" w:rsidP="00F10808">
      <w:pPr>
        <w:spacing w:after="120" w:line="360" w:lineRule="auto"/>
        <w:jc w:val="both"/>
        <w:rPr>
          <w:rFonts w:ascii="Arial Narrow" w:hAnsi="Arial Narrow"/>
        </w:rPr>
      </w:pPr>
      <w:r w:rsidRPr="00F10808">
        <w:rPr>
          <w:rFonts w:ascii="Arial Narrow" w:hAnsi="Arial Narrow"/>
        </w:rPr>
        <w:t>Au regard du montant global du DQE selon formule suivante :</w:t>
      </w:r>
    </w:p>
    <w:p w14:paraId="7207C17B" w14:textId="0C6E8345" w:rsidR="00F10808" w:rsidRPr="00F10808" w:rsidRDefault="00F10808" w:rsidP="00F10808">
      <w:pPr>
        <w:spacing w:after="120" w:line="360" w:lineRule="auto"/>
        <w:jc w:val="both"/>
        <w:rPr>
          <w:rFonts w:ascii="Arial Narrow" w:hAnsi="Arial Narrow"/>
        </w:rPr>
      </w:pPr>
      <w:r w:rsidRPr="00F10808">
        <w:rPr>
          <w:rFonts w:ascii="Arial Narrow" w:hAnsi="Arial Narrow"/>
        </w:rPr>
        <w:t>(Prix du candidat TTC le moins cher x 5) / Prix du candidat à noter = note / 5</w:t>
      </w:r>
    </w:p>
    <w:p w14:paraId="58CB0C7F" w14:textId="77777777" w:rsidR="00F10808" w:rsidRDefault="00F10808" w:rsidP="00F10808">
      <w:pPr>
        <w:spacing w:after="120" w:line="360" w:lineRule="auto"/>
        <w:jc w:val="both"/>
        <w:rPr>
          <w:rFonts w:ascii="Arial Narrow" w:hAnsi="Arial Narrow"/>
          <w:u w:val="single"/>
        </w:rPr>
      </w:pPr>
    </w:p>
    <w:p w14:paraId="2E968452" w14:textId="6A91071E" w:rsidR="00F10808" w:rsidRPr="00F10808" w:rsidRDefault="00F10808" w:rsidP="00F10808">
      <w:pPr>
        <w:spacing w:after="120" w:line="360" w:lineRule="auto"/>
        <w:jc w:val="both"/>
        <w:rPr>
          <w:rFonts w:ascii="Arial Narrow" w:hAnsi="Arial Narrow"/>
          <w:u w:val="single"/>
        </w:rPr>
      </w:pPr>
      <w:r w:rsidRPr="00F10808">
        <w:rPr>
          <w:rFonts w:ascii="Arial Narrow" w:hAnsi="Arial Narrow"/>
          <w:u w:val="single"/>
        </w:rPr>
        <w:t xml:space="preserve">Notation du sous critère </w:t>
      </w:r>
      <w:r>
        <w:rPr>
          <w:rFonts w:ascii="Arial Narrow" w:hAnsi="Arial Narrow"/>
          <w:u w:val="single"/>
        </w:rPr>
        <w:t>3</w:t>
      </w:r>
      <w:r w:rsidRPr="00F10808">
        <w:rPr>
          <w:rFonts w:ascii="Arial Narrow" w:hAnsi="Arial Narrow"/>
          <w:u w:val="single"/>
        </w:rPr>
        <w:t>-2 « Taux de rémunération sur les montants négociés » pondéré à 30%</w:t>
      </w:r>
    </w:p>
    <w:p w14:paraId="5F5F0259" w14:textId="77777777" w:rsidR="00F10808" w:rsidRPr="00F10808" w:rsidRDefault="00F10808" w:rsidP="00F10808">
      <w:pPr>
        <w:spacing w:after="120" w:line="360" w:lineRule="auto"/>
        <w:jc w:val="both"/>
        <w:rPr>
          <w:rFonts w:ascii="Arial Narrow" w:hAnsi="Arial Narrow"/>
        </w:rPr>
      </w:pPr>
      <w:r w:rsidRPr="00F10808">
        <w:rPr>
          <w:rFonts w:ascii="Arial Narrow" w:hAnsi="Arial Narrow"/>
        </w:rPr>
        <w:t>Au regard du taux de rémunération inscrit au BPU selon formule suivante :</w:t>
      </w:r>
    </w:p>
    <w:p w14:paraId="2C33D2DD" w14:textId="5AE9F1E3" w:rsidR="00CE4A76" w:rsidRPr="00F10808" w:rsidRDefault="00F10808" w:rsidP="00F10808">
      <w:pPr>
        <w:spacing w:after="120" w:line="360" w:lineRule="auto"/>
        <w:jc w:val="both"/>
        <w:rPr>
          <w:rFonts w:ascii="Arial Narrow" w:hAnsi="Arial Narrow"/>
        </w:rPr>
      </w:pPr>
      <w:r w:rsidRPr="00F10808">
        <w:rPr>
          <w:rFonts w:ascii="Arial Narrow" w:hAnsi="Arial Narrow"/>
        </w:rPr>
        <w:t>(Pourcentage du candidat proposant le taux le moins élevé x 5) / Taux du candidat à noter = note / 5</w:t>
      </w:r>
    </w:p>
    <w:p w14:paraId="5CD06D34" w14:textId="3D7A33EA" w:rsidR="00581FCB" w:rsidRDefault="00F10808" w:rsidP="00CE4A76">
      <w:pPr>
        <w:spacing w:after="120" w:line="360" w:lineRule="auto"/>
        <w:jc w:val="both"/>
        <w:rPr>
          <w:rFonts w:ascii="Arial Narrow" w:hAnsi="Arial Narrow"/>
        </w:rPr>
      </w:pPr>
      <w:r>
        <w:rPr>
          <w:rFonts w:ascii="Arial Narrow" w:hAnsi="Arial Narrow"/>
        </w:rPr>
        <w:t>En cas de taux de rémunération à 0€ le candidat obtiendra la note maximale</w:t>
      </w:r>
    </w:p>
    <w:p w14:paraId="35903C04" w14:textId="77777777" w:rsidR="00581FCB" w:rsidRPr="003E63FD" w:rsidRDefault="00581FCB" w:rsidP="00CE4A76">
      <w:pPr>
        <w:spacing w:after="120" w:line="360" w:lineRule="auto"/>
        <w:jc w:val="both"/>
        <w:rPr>
          <w:rFonts w:ascii="Arial Narrow" w:hAnsi="Arial Narrow"/>
        </w:rPr>
      </w:pPr>
    </w:p>
    <w:p w14:paraId="5B2D22A7" w14:textId="77777777" w:rsidR="00264E15" w:rsidRPr="003E63FD" w:rsidRDefault="00264E15"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QUESTIONNAIRE EGALITE DIVERSITE</w:t>
      </w:r>
    </w:p>
    <w:p w14:paraId="448B5BCB" w14:textId="77777777" w:rsidR="00BF5943" w:rsidRPr="00BF5943" w:rsidRDefault="00BF5943" w:rsidP="00BF5943">
      <w:pPr>
        <w:pStyle w:val="Corpsdetexte"/>
        <w:spacing w:after="240"/>
        <w:rPr>
          <w:rFonts w:ascii="Arial Narrow" w:hAnsi="Arial Narrow"/>
        </w:rPr>
      </w:pPr>
      <w:r w:rsidRPr="00BF5943">
        <w:rPr>
          <w:rFonts w:ascii="Arial Narrow" w:hAnsi="Arial Narrow"/>
        </w:rPr>
        <w:t xml:space="preserve">L’EPMO-VGE est détenteur depuis 2022 des labels « Egalité professionnelle » et « Diversité » délivrés par l'AFNOR. </w:t>
      </w:r>
    </w:p>
    <w:p w14:paraId="314D5DF4" w14:textId="77777777" w:rsidR="00BF5943" w:rsidRPr="00BF5943" w:rsidRDefault="00BF5943" w:rsidP="00BF5943">
      <w:pPr>
        <w:pStyle w:val="Corpsdetexte"/>
        <w:spacing w:after="240"/>
        <w:rPr>
          <w:rFonts w:ascii="Arial Narrow" w:hAnsi="Arial Narrow"/>
        </w:rPr>
      </w:pPr>
      <w:r w:rsidRPr="00BF5943">
        <w:rPr>
          <w:rFonts w:ascii="Arial Narrow" w:hAnsi="Arial Narrow"/>
        </w:rPr>
        <w:lastRenderedPageBreak/>
        <w:t xml:space="preserve"> Il s’engage à ce titre à mettre en œuvre des procédures et outils relatifs aux problématiques de lutte contre les discriminations et pour la promotion de l’égalité professionnelle entre les femmes et les hommes, comme notamment : </w:t>
      </w:r>
    </w:p>
    <w:p w14:paraId="001A2001" w14:textId="77777777" w:rsidR="00BF5943" w:rsidRPr="00BF5943" w:rsidRDefault="00BF5943" w:rsidP="00BF5943">
      <w:pPr>
        <w:pStyle w:val="Corpsdetexte"/>
        <w:spacing w:after="240"/>
        <w:rPr>
          <w:rFonts w:ascii="Arial Narrow" w:hAnsi="Arial Narrow"/>
        </w:rPr>
      </w:pPr>
      <w:r w:rsidRPr="00BF5943">
        <w:rPr>
          <w:rFonts w:ascii="Arial Narrow" w:hAnsi="Arial Narrow"/>
        </w:rPr>
        <w:t>-</w:t>
      </w:r>
      <w:r w:rsidRPr="00BF5943">
        <w:rPr>
          <w:rFonts w:ascii="Arial Narrow" w:hAnsi="Arial Narrow"/>
        </w:rPr>
        <w:tab/>
        <w:t xml:space="preserve">des actions de sensibilisation et de formation à la prévention des discriminations à l’attention de tous les personnels ; </w:t>
      </w:r>
    </w:p>
    <w:p w14:paraId="054A68FC" w14:textId="77777777" w:rsidR="00BF5943" w:rsidRPr="00BF5943" w:rsidRDefault="00BF5943" w:rsidP="00BF5943">
      <w:pPr>
        <w:pStyle w:val="Corpsdetexte"/>
        <w:spacing w:after="240"/>
        <w:rPr>
          <w:rFonts w:ascii="Arial Narrow" w:hAnsi="Arial Narrow"/>
        </w:rPr>
      </w:pPr>
      <w:r w:rsidRPr="00BF5943">
        <w:rPr>
          <w:rFonts w:ascii="Arial Narrow" w:hAnsi="Arial Narrow"/>
        </w:rPr>
        <w:t>-</w:t>
      </w:r>
      <w:r w:rsidRPr="00BF5943">
        <w:rPr>
          <w:rFonts w:ascii="Arial Narrow" w:hAnsi="Arial Narrow"/>
        </w:rPr>
        <w:tab/>
        <w:t xml:space="preserve">un plan d’actions pluriannuel afin de progresser en matière d’égalité entre les femmes et les hommes. L’EPMO-VGE s’engage ainsi à lutter contre les comportements sexistes et les violences faites aux femmes, favoriser le rééquilibrage de la rémunération entre les femmes et les hommes et développer les parcours professionnels. </w:t>
      </w:r>
    </w:p>
    <w:p w14:paraId="27C7EEA8" w14:textId="77777777" w:rsidR="00BF5943" w:rsidRPr="00BF5943" w:rsidRDefault="00BF5943" w:rsidP="00BF5943">
      <w:pPr>
        <w:pStyle w:val="Corpsdetexte"/>
        <w:spacing w:after="240"/>
        <w:rPr>
          <w:rFonts w:ascii="Arial Narrow" w:hAnsi="Arial Narrow"/>
        </w:rPr>
      </w:pPr>
      <w:r w:rsidRPr="00BF5943">
        <w:rPr>
          <w:rFonts w:ascii="Arial Narrow" w:hAnsi="Arial Narrow"/>
        </w:rPr>
        <w:t>Dans le cadre de cette politique d'achats responsables et de lutte contre les discriminations, l’EPMO-VGE souhaite mobiliser ses fournisseurs afin d’être informé de leurs propres actions en matière d’égalité femmes-hommes et de diversité professionnelle et/ou de les sensibiliser davantage à ces enjeux.</w:t>
      </w:r>
    </w:p>
    <w:p w14:paraId="3C1B745E" w14:textId="77777777" w:rsidR="00BF5943" w:rsidRPr="00BF5943" w:rsidRDefault="00BF5943" w:rsidP="00BF5943">
      <w:pPr>
        <w:pStyle w:val="Corpsdetexte"/>
        <w:spacing w:after="240"/>
        <w:rPr>
          <w:rFonts w:ascii="Arial Narrow" w:hAnsi="Arial Narrow"/>
        </w:rPr>
      </w:pPr>
      <w:r w:rsidRPr="00BF5943">
        <w:rPr>
          <w:rFonts w:ascii="Arial Narrow" w:hAnsi="Arial Narrow"/>
        </w:rPr>
        <w:t xml:space="preserve">Compte tenu de cette ambition, il est demandé à l’attributaire de remplir au moment de la signature du marché le questionnaire « Egalité professionnelle et diversité professionnelle » proposé par l’EPMO-VGE. </w:t>
      </w:r>
    </w:p>
    <w:p w14:paraId="044C075E" w14:textId="77777777" w:rsidR="00BF5943" w:rsidRPr="00BF5943" w:rsidRDefault="00BF5943" w:rsidP="00BF5943">
      <w:pPr>
        <w:pStyle w:val="Corpsdetexte"/>
        <w:spacing w:after="240"/>
        <w:rPr>
          <w:rFonts w:ascii="Arial Narrow" w:hAnsi="Arial Narrow"/>
        </w:rPr>
      </w:pPr>
      <w:r w:rsidRPr="00BF5943">
        <w:rPr>
          <w:rFonts w:ascii="Arial Narrow" w:hAnsi="Arial Narrow"/>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1 du présent règlement. </w:t>
      </w:r>
    </w:p>
    <w:p w14:paraId="73C34868" w14:textId="77777777" w:rsidR="00BF5943" w:rsidRPr="00BF5943" w:rsidRDefault="00BF5943" w:rsidP="00BF5943">
      <w:pPr>
        <w:pStyle w:val="Corpsdetexte"/>
        <w:spacing w:after="240"/>
        <w:rPr>
          <w:rFonts w:ascii="Arial Narrow" w:hAnsi="Arial Narrow"/>
        </w:rPr>
      </w:pPr>
      <w:r w:rsidRPr="00BF5943">
        <w:rPr>
          <w:rFonts w:ascii="Arial Narrow" w:hAnsi="Arial Narrow"/>
        </w:rPr>
        <w:t xml:space="preserve">L’attributaire doit transmettre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43D47D28" w14:textId="25BDC4E1" w:rsidR="004D0816" w:rsidRPr="003E63FD" w:rsidRDefault="00BF5943" w:rsidP="00BF5943">
      <w:pPr>
        <w:pStyle w:val="Corpsdetexte"/>
        <w:spacing w:after="240"/>
        <w:rPr>
          <w:rFonts w:ascii="Arial Narrow" w:hAnsi="Arial Narrow"/>
        </w:rPr>
      </w:pPr>
      <w:r w:rsidRPr="00BF5943">
        <w:rPr>
          <w:rFonts w:ascii="Arial Narrow" w:hAnsi="Arial Narrow"/>
        </w:rPr>
        <w:t>Dans une démarche d’amélioration et de progrès, le futur titulaire s’engage à actualiser le questionnaire si le pouvoir adjudicateur lui en fait le demande.</w:t>
      </w:r>
    </w:p>
    <w:p w14:paraId="3A03B3B7" w14:textId="23C8AF5C" w:rsidR="00264E15" w:rsidRPr="003E63FD" w:rsidRDefault="00E81B1D" w:rsidP="000B34B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Pr>
          <w:rFonts w:ascii="Arial Narrow" w:hAnsi="Arial Narrow"/>
          <w:b/>
        </w:rPr>
        <w:t xml:space="preserve"> </w:t>
      </w:r>
      <w:r w:rsidR="000B34BB" w:rsidRPr="003E63FD">
        <w:rPr>
          <w:rFonts w:ascii="Arial Narrow" w:hAnsi="Arial Narrow"/>
          <w:b/>
        </w:rPr>
        <w:t>RECOURS</w:t>
      </w:r>
    </w:p>
    <w:p w14:paraId="3B1251D1" w14:textId="4B98627D"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l’EPMO</w:t>
      </w:r>
      <w:r w:rsidR="00C80B51">
        <w:rPr>
          <w:rFonts w:ascii="Arial Narrow" w:hAnsi="Arial Narrow"/>
        </w:rPr>
        <w:t>-VGE</w:t>
      </w:r>
      <w:r w:rsidRPr="003E63FD">
        <w:rPr>
          <w:rFonts w:ascii="Arial Narrow" w:hAnsi="Arial Narrow"/>
        </w:rPr>
        <w:t xml:space="preserve">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lastRenderedPageBreak/>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39962DB2"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recours de pleine juridiction en contestation de la validité du contrat qui devra être exercé dans un délai de 2 mois à compter de l’accomplissement des mesures de publicité </w:t>
      </w:r>
      <w:r w:rsidR="00AC0181" w:rsidRPr="003E63FD">
        <w:rPr>
          <w:rFonts w:ascii="Arial Narrow" w:hAnsi="Arial Narrow"/>
        </w:rPr>
        <w:t>appropriées.</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77777777"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4"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7CA7CF98" w14:textId="77777777" w:rsidR="00264E15" w:rsidRPr="003E63FD" w:rsidRDefault="000B34BB" w:rsidP="000B34BB">
      <w:pPr>
        <w:spacing w:after="120" w:line="360" w:lineRule="auto"/>
        <w:jc w:val="center"/>
        <w:rPr>
          <w:rFonts w:ascii="Arial Narrow" w:hAnsi="Arial Narrow"/>
        </w:rPr>
      </w:pPr>
      <w:r w:rsidRPr="003E63FD">
        <w:rPr>
          <w:rFonts w:ascii="Arial Narrow" w:hAnsi="Arial Narrow"/>
        </w:rPr>
        <w:t>***</w:t>
      </w:r>
    </w:p>
    <w:sectPr w:rsidR="00264E15" w:rsidRPr="003E63FD" w:rsidSect="00E42FF3">
      <w:footerReference w:type="default" r:id="rId15"/>
      <w:headerReference w:type="first" r:id="rId16"/>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4325" w14:textId="77777777" w:rsidR="003C4B45" w:rsidRDefault="003C4B45" w:rsidP="00E42FF3">
      <w:pPr>
        <w:spacing w:after="0" w:line="240" w:lineRule="auto"/>
      </w:pPr>
      <w:r>
        <w:separator/>
      </w:r>
    </w:p>
  </w:endnote>
  <w:endnote w:type="continuationSeparator" w:id="0">
    <w:p w14:paraId="1CA9FC86" w14:textId="77777777" w:rsidR="003C4B45" w:rsidRDefault="003C4B45"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6967DAC1" w:rsidR="00EC6141" w:rsidRDefault="00EC6141">
        <w:pPr>
          <w:pStyle w:val="Pieddepage"/>
          <w:jc w:val="right"/>
        </w:pPr>
        <w:r>
          <w:fldChar w:fldCharType="begin"/>
        </w:r>
        <w:r>
          <w:instrText>PAGE   \* MERGEFORMAT</w:instrText>
        </w:r>
        <w:r>
          <w:fldChar w:fldCharType="separate"/>
        </w:r>
        <w:r w:rsidR="006B3027">
          <w:rPr>
            <w:noProof/>
          </w:rPr>
          <w:t>11</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A8549" w14:textId="77777777" w:rsidR="003C4B45" w:rsidRDefault="003C4B45" w:rsidP="00E42FF3">
      <w:pPr>
        <w:spacing w:after="0" w:line="240" w:lineRule="auto"/>
      </w:pPr>
      <w:r>
        <w:separator/>
      </w:r>
    </w:p>
  </w:footnote>
  <w:footnote w:type="continuationSeparator" w:id="0">
    <w:p w14:paraId="51E6FF4D" w14:textId="77777777" w:rsidR="003C4B45" w:rsidRDefault="003C4B45"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6B11B4"/>
    <w:multiLevelType w:val="hybridMultilevel"/>
    <w:tmpl w:val="BD46CA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781409"/>
    <w:multiLevelType w:val="hybridMultilevel"/>
    <w:tmpl w:val="C7A230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2E1459"/>
    <w:multiLevelType w:val="hybridMultilevel"/>
    <w:tmpl w:val="97F621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71089"/>
    <w:multiLevelType w:val="hybridMultilevel"/>
    <w:tmpl w:val="2500C8B0"/>
    <w:lvl w:ilvl="0" w:tplc="B6E62588">
      <w:numFmt w:val="bullet"/>
      <w:lvlText w:val="-"/>
      <w:lvlJc w:val="left"/>
      <w:pPr>
        <w:ind w:left="720" w:hanging="360"/>
      </w:pPr>
      <w:rPr>
        <w:rFonts w:ascii="Verdana" w:eastAsia="Lucida Sans Unicode" w:hAnsi="Verdana" w:cs="Aria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6F13BB"/>
    <w:multiLevelType w:val="hybridMultilevel"/>
    <w:tmpl w:val="F1D878AE"/>
    <w:lvl w:ilvl="0" w:tplc="F7DC3B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CC72E0"/>
    <w:multiLevelType w:val="hybridMultilevel"/>
    <w:tmpl w:val="822A0D04"/>
    <w:lvl w:ilvl="0" w:tplc="AB4ABBB4">
      <w:start w:val="20"/>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46280A"/>
    <w:multiLevelType w:val="hybridMultilevel"/>
    <w:tmpl w:val="8AAA3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9" w15:restartNumberingAfterBreak="0">
    <w:nsid w:val="42C12530"/>
    <w:multiLevelType w:val="multilevel"/>
    <w:tmpl w:val="9C5E5CC8"/>
    <w:lvl w:ilvl="0">
      <w:start w:val="1"/>
      <w:numFmt w:val="bullet"/>
      <w:lvlText w:val=""/>
      <w:lvlJc w:val="left"/>
      <w:pPr>
        <w:ind w:left="496" w:hanging="360"/>
      </w:pPr>
      <w:rPr>
        <w:rFonts w:ascii="Symbol" w:hAnsi="Symbol" w:hint="default"/>
        <w:lang w:val="fr-FR" w:eastAsia="en-US" w:bidi="ar-SA"/>
      </w:rPr>
    </w:lvl>
    <w:lvl w:ilvl="1">
      <w:start w:val="2"/>
      <w:numFmt w:val="decimal"/>
      <w:lvlText w:val="%1.%2"/>
      <w:lvlJc w:val="left"/>
      <w:pPr>
        <w:ind w:left="502" w:hanging="360"/>
      </w:pPr>
      <w:rPr>
        <w:rFonts w:ascii="Arial MT" w:eastAsia="Arial MT" w:hAnsi="Arial MT" w:cs="Arial MT" w:hint="default"/>
        <w:spacing w:val="-1"/>
        <w:w w:val="99"/>
        <w:sz w:val="20"/>
        <w:szCs w:val="20"/>
        <w:u w:val="none" w:color="000000"/>
        <w:lang w:val="fr-FR" w:eastAsia="en-US" w:bidi="ar-SA"/>
      </w:rPr>
    </w:lvl>
    <w:lvl w:ilvl="2">
      <w:numFmt w:val="bullet"/>
      <w:lvlText w:val="-"/>
      <w:lvlJc w:val="left"/>
      <w:pPr>
        <w:ind w:left="856" w:hanging="360"/>
      </w:pPr>
      <w:rPr>
        <w:rFonts w:ascii="Arial MT" w:eastAsia="Arial MT" w:hAnsi="Arial MT" w:cs="Arial MT" w:hint="default"/>
        <w:w w:val="99"/>
        <w:sz w:val="20"/>
        <w:szCs w:val="20"/>
        <w:lang w:val="fr-FR" w:eastAsia="en-US" w:bidi="ar-SA"/>
      </w:rPr>
    </w:lvl>
    <w:lvl w:ilvl="3">
      <w:numFmt w:val="bullet"/>
      <w:lvlText w:val="•"/>
      <w:lvlJc w:val="left"/>
      <w:pPr>
        <w:ind w:left="2748" w:hanging="360"/>
      </w:pPr>
      <w:rPr>
        <w:rFonts w:hint="default"/>
        <w:lang w:val="fr-FR" w:eastAsia="en-US" w:bidi="ar-SA"/>
      </w:rPr>
    </w:lvl>
    <w:lvl w:ilvl="4">
      <w:numFmt w:val="bullet"/>
      <w:lvlText w:val="•"/>
      <w:lvlJc w:val="left"/>
      <w:pPr>
        <w:ind w:left="3693" w:hanging="360"/>
      </w:pPr>
      <w:rPr>
        <w:rFonts w:hint="default"/>
        <w:lang w:val="fr-FR" w:eastAsia="en-US" w:bidi="ar-SA"/>
      </w:rPr>
    </w:lvl>
    <w:lvl w:ilvl="5">
      <w:numFmt w:val="bullet"/>
      <w:lvlText w:val="•"/>
      <w:lvlJc w:val="left"/>
      <w:pPr>
        <w:ind w:left="4637" w:hanging="360"/>
      </w:pPr>
      <w:rPr>
        <w:rFonts w:hint="default"/>
        <w:lang w:val="fr-FR" w:eastAsia="en-US" w:bidi="ar-SA"/>
      </w:rPr>
    </w:lvl>
    <w:lvl w:ilvl="6">
      <w:numFmt w:val="bullet"/>
      <w:lvlText w:val="•"/>
      <w:lvlJc w:val="left"/>
      <w:pPr>
        <w:ind w:left="5581" w:hanging="360"/>
      </w:pPr>
      <w:rPr>
        <w:rFonts w:hint="default"/>
        <w:lang w:val="fr-FR" w:eastAsia="en-US" w:bidi="ar-SA"/>
      </w:rPr>
    </w:lvl>
    <w:lvl w:ilvl="7">
      <w:numFmt w:val="bullet"/>
      <w:lvlText w:val="•"/>
      <w:lvlJc w:val="left"/>
      <w:pPr>
        <w:ind w:left="6526" w:hanging="360"/>
      </w:pPr>
      <w:rPr>
        <w:rFonts w:hint="default"/>
        <w:lang w:val="fr-FR" w:eastAsia="en-US" w:bidi="ar-SA"/>
      </w:rPr>
    </w:lvl>
    <w:lvl w:ilvl="8">
      <w:numFmt w:val="bullet"/>
      <w:lvlText w:val="•"/>
      <w:lvlJc w:val="left"/>
      <w:pPr>
        <w:ind w:left="7470" w:hanging="360"/>
      </w:pPr>
      <w:rPr>
        <w:rFonts w:hint="default"/>
        <w:lang w:val="fr-FR" w:eastAsia="en-US" w:bidi="ar-SA"/>
      </w:rPr>
    </w:lvl>
  </w:abstractNum>
  <w:abstractNum w:abstractNumId="20"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6663F7"/>
    <w:multiLevelType w:val="hybridMultilevel"/>
    <w:tmpl w:val="945286AA"/>
    <w:lvl w:ilvl="0" w:tplc="19B6E56A">
      <w:start w:val="1"/>
      <w:numFmt w:val="bullet"/>
      <w:lvlText w:val="-"/>
      <w:lvlJc w:val="left"/>
      <w:pPr>
        <w:ind w:left="928"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C5397F"/>
    <w:multiLevelType w:val="hybridMultilevel"/>
    <w:tmpl w:val="04A43F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4"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12"/>
  </w:num>
  <w:num w:numId="3">
    <w:abstractNumId w:val="28"/>
  </w:num>
  <w:num w:numId="4">
    <w:abstractNumId w:val="21"/>
  </w:num>
  <w:num w:numId="5">
    <w:abstractNumId w:val="0"/>
  </w:num>
  <w:num w:numId="6">
    <w:abstractNumId w:val="36"/>
  </w:num>
  <w:num w:numId="7">
    <w:abstractNumId w:val="25"/>
  </w:num>
  <w:num w:numId="8">
    <w:abstractNumId w:val="2"/>
  </w:num>
  <w:num w:numId="9">
    <w:abstractNumId w:val="30"/>
  </w:num>
  <w:num w:numId="10">
    <w:abstractNumId w:val="27"/>
  </w:num>
  <w:num w:numId="11">
    <w:abstractNumId w:val="22"/>
  </w:num>
  <w:num w:numId="12">
    <w:abstractNumId w:val="35"/>
  </w:num>
  <w:num w:numId="13">
    <w:abstractNumId w:val="26"/>
  </w:num>
  <w:num w:numId="14">
    <w:abstractNumId w:val="37"/>
  </w:num>
  <w:num w:numId="15">
    <w:abstractNumId w:val="24"/>
  </w:num>
  <w:num w:numId="16">
    <w:abstractNumId w:val="6"/>
  </w:num>
  <w:num w:numId="17">
    <w:abstractNumId w:val="11"/>
  </w:num>
  <w:num w:numId="18">
    <w:abstractNumId w:val="23"/>
  </w:num>
  <w:num w:numId="19">
    <w:abstractNumId w:val="14"/>
  </w:num>
  <w:num w:numId="20">
    <w:abstractNumId w:val="5"/>
  </w:num>
  <w:num w:numId="21">
    <w:abstractNumId w:val="13"/>
  </w:num>
  <w:num w:numId="22">
    <w:abstractNumId w:val="9"/>
  </w:num>
  <w:num w:numId="23">
    <w:abstractNumId w:val="29"/>
  </w:num>
  <w:num w:numId="24">
    <w:abstractNumId w:val="8"/>
  </w:num>
  <w:num w:numId="25">
    <w:abstractNumId w:val="20"/>
  </w:num>
  <w:num w:numId="26">
    <w:abstractNumId w:val="32"/>
  </w:num>
  <w:num w:numId="27">
    <w:abstractNumId w:val="4"/>
  </w:num>
  <w:num w:numId="28">
    <w:abstractNumId w:val="33"/>
  </w:num>
  <w:num w:numId="29">
    <w:abstractNumId w:val="1"/>
  </w:num>
  <w:num w:numId="30">
    <w:abstractNumId w:val="18"/>
  </w:num>
  <w:num w:numId="31">
    <w:abstractNumId w:val="7"/>
  </w:num>
  <w:num w:numId="32">
    <w:abstractNumId w:val="10"/>
  </w:num>
  <w:num w:numId="33">
    <w:abstractNumId w:val="31"/>
  </w:num>
  <w:num w:numId="34">
    <w:abstractNumId w:val="15"/>
  </w:num>
  <w:num w:numId="35">
    <w:abstractNumId w:val="16"/>
  </w:num>
  <w:num w:numId="36">
    <w:abstractNumId w:val="17"/>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2152C"/>
    <w:rsid w:val="00022263"/>
    <w:rsid w:val="000331CB"/>
    <w:rsid w:val="00041AEF"/>
    <w:rsid w:val="0004454A"/>
    <w:rsid w:val="00054FBE"/>
    <w:rsid w:val="000619F3"/>
    <w:rsid w:val="00063BF5"/>
    <w:rsid w:val="0009091C"/>
    <w:rsid w:val="000B34BB"/>
    <w:rsid w:val="000B39F9"/>
    <w:rsid w:val="000B3B70"/>
    <w:rsid w:val="000B7422"/>
    <w:rsid w:val="000C36DC"/>
    <w:rsid w:val="000D317C"/>
    <w:rsid w:val="000D6BC9"/>
    <w:rsid w:val="000E6488"/>
    <w:rsid w:val="000E7740"/>
    <w:rsid w:val="001050D1"/>
    <w:rsid w:val="00116E95"/>
    <w:rsid w:val="001347C2"/>
    <w:rsid w:val="00141C4A"/>
    <w:rsid w:val="00144BAC"/>
    <w:rsid w:val="001776DF"/>
    <w:rsid w:val="00180990"/>
    <w:rsid w:val="00194164"/>
    <w:rsid w:val="001B0255"/>
    <w:rsid w:val="001C418E"/>
    <w:rsid w:val="001F6E69"/>
    <w:rsid w:val="00221CE3"/>
    <w:rsid w:val="00224FF2"/>
    <w:rsid w:val="00226D83"/>
    <w:rsid w:val="0024335F"/>
    <w:rsid w:val="00245E51"/>
    <w:rsid w:val="00246AD8"/>
    <w:rsid w:val="00251A5E"/>
    <w:rsid w:val="0025246C"/>
    <w:rsid w:val="00256285"/>
    <w:rsid w:val="00257918"/>
    <w:rsid w:val="00264E15"/>
    <w:rsid w:val="00286B0C"/>
    <w:rsid w:val="002C18EB"/>
    <w:rsid w:val="002C405B"/>
    <w:rsid w:val="002C5191"/>
    <w:rsid w:val="002D31B5"/>
    <w:rsid w:val="002E01F2"/>
    <w:rsid w:val="002E6E08"/>
    <w:rsid w:val="0031237E"/>
    <w:rsid w:val="0033765D"/>
    <w:rsid w:val="00346D94"/>
    <w:rsid w:val="00367390"/>
    <w:rsid w:val="003765CC"/>
    <w:rsid w:val="00395599"/>
    <w:rsid w:val="00397613"/>
    <w:rsid w:val="003A3C44"/>
    <w:rsid w:val="003B0C80"/>
    <w:rsid w:val="003C14FE"/>
    <w:rsid w:val="003C4B45"/>
    <w:rsid w:val="003E63FD"/>
    <w:rsid w:val="003F3420"/>
    <w:rsid w:val="00414CCF"/>
    <w:rsid w:val="0042201C"/>
    <w:rsid w:val="004302A7"/>
    <w:rsid w:val="00430B1D"/>
    <w:rsid w:val="00440B05"/>
    <w:rsid w:val="004554B0"/>
    <w:rsid w:val="00466E10"/>
    <w:rsid w:val="00471885"/>
    <w:rsid w:val="004925E4"/>
    <w:rsid w:val="004C15CC"/>
    <w:rsid w:val="004D0816"/>
    <w:rsid w:val="004E31E5"/>
    <w:rsid w:val="004F429E"/>
    <w:rsid w:val="00512A3D"/>
    <w:rsid w:val="0051426E"/>
    <w:rsid w:val="00553219"/>
    <w:rsid w:val="00560B38"/>
    <w:rsid w:val="00565978"/>
    <w:rsid w:val="0056681E"/>
    <w:rsid w:val="005669E4"/>
    <w:rsid w:val="005706E9"/>
    <w:rsid w:val="00581FCB"/>
    <w:rsid w:val="00593CA0"/>
    <w:rsid w:val="005A019C"/>
    <w:rsid w:val="005B7685"/>
    <w:rsid w:val="005D35D9"/>
    <w:rsid w:val="005F1D51"/>
    <w:rsid w:val="005F42F4"/>
    <w:rsid w:val="00645501"/>
    <w:rsid w:val="00666DD5"/>
    <w:rsid w:val="00667B11"/>
    <w:rsid w:val="006750FD"/>
    <w:rsid w:val="006950A6"/>
    <w:rsid w:val="006A661C"/>
    <w:rsid w:val="006B3027"/>
    <w:rsid w:val="006F0B57"/>
    <w:rsid w:val="006F737E"/>
    <w:rsid w:val="007221BF"/>
    <w:rsid w:val="007258AA"/>
    <w:rsid w:val="00737DE0"/>
    <w:rsid w:val="00761316"/>
    <w:rsid w:val="00765628"/>
    <w:rsid w:val="007663CD"/>
    <w:rsid w:val="007A3780"/>
    <w:rsid w:val="007D5383"/>
    <w:rsid w:val="00817088"/>
    <w:rsid w:val="00824EFE"/>
    <w:rsid w:val="00836C55"/>
    <w:rsid w:val="00852F81"/>
    <w:rsid w:val="00854870"/>
    <w:rsid w:val="00874B2F"/>
    <w:rsid w:val="0088306B"/>
    <w:rsid w:val="0088600A"/>
    <w:rsid w:val="00886A9B"/>
    <w:rsid w:val="00891B1A"/>
    <w:rsid w:val="008B08B1"/>
    <w:rsid w:val="008B5226"/>
    <w:rsid w:val="008B6960"/>
    <w:rsid w:val="008F609F"/>
    <w:rsid w:val="00900DF6"/>
    <w:rsid w:val="00910D6B"/>
    <w:rsid w:val="00917302"/>
    <w:rsid w:val="009828D0"/>
    <w:rsid w:val="00983998"/>
    <w:rsid w:val="009839D7"/>
    <w:rsid w:val="00990731"/>
    <w:rsid w:val="009A0FA3"/>
    <w:rsid w:val="00A02B17"/>
    <w:rsid w:val="00A118F1"/>
    <w:rsid w:val="00A15E81"/>
    <w:rsid w:val="00A275C2"/>
    <w:rsid w:val="00A5062C"/>
    <w:rsid w:val="00A572A6"/>
    <w:rsid w:val="00A7568E"/>
    <w:rsid w:val="00A92272"/>
    <w:rsid w:val="00AA3E07"/>
    <w:rsid w:val="00AC0181"/>
    <w:rsid w:val="00AC1E22"/>
    <w:rsid w:val="00B06CD3"/>
    <w:rsid w:val="00B17100"/>
    <w:rsid w:val="00B220A7"/>
    <w:rsid w:val="00B46916"/>
    <w:rsid w:val="00B62E99"/>
    <w:rsid w:val="00B66585"/>
    <w:rsid w:val="00B82A60"/>
    <w:rsid w:val="00BC7C33"/>
    <w:rsid w:val="00BD6430"/>
    <w:rsid w:val="00BF5005"/>
    <w:rsid w:val="00BF5943"/>
    <w:rsid w:val="00BF6B04"/>
    <w:rsid w:val="00BF74ED"/>
    <w:rsid w:val="00C02487"/>
    <w:rsid w:val="00C05515"/>
    <w:rsid w:val="00C23BDD"/>
    <w:rsid w:val="00C37C04"/>
    <w:rsid w:val="00C46C6C"/>
    <w:rsid w:val="00C64474"/>
    <w:rsid w:val="00C65860"/>
    <w:rsid w:val="00C80B51"/>
    <w:rsid w:val="00CB55A0"/>
    <w:rsid w:val="00CE4A76"/>
    <w:rsid w:val="00D02EC1"/>
    <w:rsid w:val="00D13677"/>
    <w:rsid w:val="00D1683E"/>
    <w:rsid w:val="00D17E86"/>
    <w:rsid w:val="00D32F62"/>
    <w:rsid w:val="00D349F1"/>
    <w:rsid w:val="00D524F5"/>
    <w:rsid w:val="00D637C9"/>
    <w:rsid w:val="00D64C77"/>
    <w:rsid w:val="00DB5954"/>
    <w:rsid w:val="00DD01B0"/>
    <w:rsid w:val="00DD7C04"/>
    <w:rsid w:val="00DE3450"/>
    <w:rsid w:val="00E100AC"/>
    <w:rsid w:val="00E349BC"/>
    <w:rsid w:val="00E42FF3"/>
    <w:rsid w:val="00E8031D"/>
    <w:rsid w:val="00E81B1D"/>
    <w:rsid w:val="00EB123C"/>
    <w:rsid w:val="00EC236F"/>
    <w:rsid w:val="00EC6141"/>
    <w:rsid w:val="00EF0070"/>
    <w:rsid w:val="00F03BF9"/>
    <w:rsid w:val="00F040D4"/>
    <w:rsid w:val="00F065F4"/>
    <w:rsid w:val="00F10808"/>
    <w:rsid w:val="00F23D2B"/>
    <w:rsid w:val="00F378FB"/>
    <w:rsid w:val="00F56EAF"/>
    <w:rsid w:val="00F74527"/>
    <w:rsid w:val="00F757DC"/>
    <w:rsid w:val="00F802CE"/>
    <w:rsid w:val="00F837B7"/>
    <w:rsid w:val="00FA2C3A"/>
    <w:rsid w:val="00FD224D"/>
    <w:rsid w:val="00FF1EB2"/>
    <w:rsid w:val="00FF7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En-tte">
    <w:name w:val="header"/>
    <w:basedOn w:val="Normal"/>
    <w:link w:val="En-tteCar"/>
    <w:unhideWhenUsed/>
    <w:rsid w:val="00E42FF3"/>
    <w:pPr>
      <w:tabs>
        <w:tab w:val="center" w:pos="4536"/>
        <w:tab w:val="right" w:pos="9072"/>
      </w:tabs>
      <w:spacing w:after="0" w:line="240" w:lineRule="auto"/>
    </w:pPr>
  </w:style>
  <w:style w:type="character" w:customStyle="1" w:styleId="En-tteCar">
    <w:name w:val="En-tête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unhideWhenUsed/>
    <w:rsid w:val="00917302"/>
    <w:pPr>
      <w:spacing w:line="240" w:lineRule="auto"/>
    </w:pPr>
    <w:rPr>
      <w:sz w:val="20"/>
      <w:szCs w:val="20"/>
    </w:rPr>
  </w:style>
  <w:style w:type="character" w:customStyle="1" w:styleId="CommentaireCar">
    <w:name w:val="Commentaire Car"/>
    <w:basedOn w:val="Policepardfaut"/>
    <w:link w:val="Commentaire"/>
    <w:uiPriority w:val="99"/>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 w:type="paragraph" w:customStyle="1" w:styleId="Default">
    <w:name w:val="Default"/>
    <w:rsid w:val="00F108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7079">
      <w:bodyDiv w:val="1"/>
      <w:marLeft w:val="0"/>
      <w:marRight w:val="0"/>
      <w:marTop w:val="0"/>
      <w:marBottom w:val="0"/>
      <w:divBdr>
        <w:top w:val="none" w:sz="0" w:space="0" w:color="auto"/>
        <w:left w:val="none" w:sz="0" w:space="0" w:color="auto"/>
        <w:bottom w:val="none" w:sz="0" w:space="0" w:color="auto"/>
        <w:right w:val="none" w:sz="0" w:space="0" w:color="auto"/>
      </w:divBdr>
    </w:div>
    <w:div w:id="8895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AccueilEntreprise" TargetMode="External"/><Relationship Id="rId13" Type="http://schemas.openxmlformats.org/officeDocument/2006/relationships/hyperlink" Target="http://www.ssi.gouv.fr/administration/reglementation/confiance-numerique/le-reglement-eidas/liste-nationale-de-confianc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8318621&amp;fastPos=2&amp;fastReqId=1257239088&amp;categorieLien=cid&amp;oldAction=rechTex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ume.chorus-pro.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yperlink" Target="mailto:greffe.ta-paris@jurad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EAB02B3F4C524A378393354354EC498C"/>
        <w:category>
          <w:name w:val="Général"/>
          <w:gallery w:val="placeholder"/>
        </w:category>
        <w:types>
          <w:type w:val="bbPlcHdr"/>
        </w:types>
        <w:behaviors>
          <w:behavior w:val="content"/>
        </w:behaviors>
        <w:guid w:val="{F6AA7BE6-F526-442C-A8D6-43DDE2ED8BF4}"/>
      </w:docPartPr>
      <w:docPartBody>
        <w:p w:rsidR="005A3E7F" w:rsidRDefault="005A3E7F" w:rsidP="005A3E7F">
          <w:pPr>
            <w:pStyle w:val="EAB02B3F4C524A378393354354EC498C"/>
          </w:pPr>
          <w:r w:rsidRPr="00E8784D">
            <w:rPr>
              <w:rStyle w:val="Textedelespacerserv"/>
            </w:rPr>
            <w:t>Cliquez ici pour entrer une date.</w:t>
          </w:r>
        </w:p>
      </w:docPartBody>
    </w:docPart>
    <w:docPart>
      <w:docPartPr>
        <w:name w:val="F3FB9DD6D2CA42C9BC3FE27D9F2982A6"/>
        <w:category>
          <w:name w:val="Général"/>
          <w:gallery w:val="placeholder"/>
        </w:category>
        <w:types>
          <w:type w:val="bbPlcHdr"/>
        </w:types>
        <w:behaviors>
          <w:behavior w:val="content"/>
        </w:behaviors>
        <w:guid w:val="{41EB362B-8D21-4318-B368-04B7C4554741}"/>
      </w:docPartPr>
      <w:docPartBody>
        <w:p w:rsidR="005A3E7F" w:rsidRDefault="005A3E7F" w:rsidP="005A3E7F">
          <w:pPr>
            <w:pStyle w:val="F3FB9DD6D2CA42C9BC3FE27D9F2982A6"/>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62098"/>
    <w:rsid w:val="00097603"/>
    <w:rsid w:val="001E030C"/>
    <w:rsid w:val="001E130E"/>
    <w:rsid w:val="00216FCD"/>
    <w:rsid w:val="003A3798"/>
    <w:rsid w:val="00485936"/>
    <w:rsid w:val="004F703F"/>
    <w:rsid w:val="005463A9"/>
    <w:rsid w:val="00555FA2"/>
    <w:rsid w:val="005A3E7F"/>
    <w:rsid w:val="00B246C6"/>
    <w:rsid w:val="00CB5BD6"/>
    <w:rsid w:val="00CD61D9"/>
    <w:rsid w:val="00E51320"/>
    <w:rsid w:val="00E61885"/>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4DA7F0-7340-43E6-88F6-D1B950A67356}">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0DDD-ED0B-4D3A-9418-8959102A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3157</Words>
  <Characters>17366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LE GOFF Ludovic</cp:lastModifiedBy>
  <cp:revision>7</cp:revision>
  <dcterms:created xsi:type="dcterms:W3CDTF">2025-06-27T11:56:00Z</dcterms:created>
  <dcterms:modified xsi:type="dcterms:W3CDTF">2025-06-30T14:25:00Z</dcterms:modified>
</cp:coreProperties>
</file>