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DF74" w14:textId="6792D008" w:rsidR="008247C3" w:rsidRPr="00D14C81" w:rsidRDefault="00890F53" w:rsidP="0035269B">
      <w:pPr>
        <w:jc w:val="center"/>
        <w:rPr>
          <w:rFonts w:ascii="Calibri" w:hAnsi="Calibri" w:cs="Calibri"/>
          <w:noProof/>
          <w:sz w:val="28"/>
          <w:szCs w:val="28"/>
        </w:rPr>
      </w:pPr>
      <w:r>
        <w:rPr>
          <w:noProof/>
          <w:lang w:eastAsia="fr-FR"/>
        </w:rPr>
        <w:drawing>
          <wp:inline distT="0" distB="0" distL="0" distR="0" wp14:anchorId="147023F7" wp14:editId="7666AD6F">
            <wp:extent cx="4438650" cy="971550"/>
            <wp:effectExtent l="0" t="0" r="0" b="0"/>
            <wp:docPr id="396295836" name="Image 1" descr="Une image contenant texte, Police, blanc,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95836" name="Image 1" descr="Une image contenant texte, Police, blanc, logo&#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971550"/>
                    </a:xfrm>
                    <a:prstGeom prst="rect">
                      <a:avLst/>
                    </a:prstGeom>
                    <a:noFill/>
                    <a:ln>
                      <a:noFill/>
                    </a:ln>
                  </pic:spPr>
                </pic:pic>
              </a:graphicData>
            </a:graphic>
          </wp:inline>
        </w:drawing>
      </w:r>
    </w:p>
    <w:p w14:paraId="4148901D" w14:textId="77777777" w:rsidR="0035269B" w:rsidRDefault="0035269B" w:rsidP="0035269B">
      <w:pPr>
        <w:jc w:val="center"/>
      </w:pPr>
    </w:p>
    <w:p w14:paraId="65B86EB4" w14:textId="77777777" w:rsidR="0035269B" w:rsidRPr="0035269B" w:rsidRDefault="0035269B" w:rsidP="0035269B">
      <w:pPr>
        <w:shd w:val="clear" w:color="auto" w:fill="7F7F7F" w:themeFill="text1" w:themeFillTint="80"/>
        <w:jc w:val="center"/>
        <w:rPr>
          <w:rFonts w:eastAsia="Arial"/>
          <w:b/>
          <w:color w:val="FFFFFF" w:themeColor="background1"/>
          <w:sz w:val="28"/>
        </w:rPr>
      </w:pPr>
      <w:r w:rsidRPr="0035269B">
        <w:rPr>
          <w:rFonts w:eastAsia="Arial"/>
          <w:b/>
          <w:color w:val="FFFFFF" w:themeColor="background1"/>
          <w:sz w:val="28"/>
        </w:rPr>
        <w:t>RÈGLEMENT DE LA CONSULTATION</w:t>
      </w:r>
    </w:p>
    <w:p w14:paraId="0E420799" w14:textId="77777777" w:rsidR="0035269B" w:rsidRPr="00D14C81" w:rsidRDefault="0035269B" w:rsidP="0035269B">
      <w:pPr>
        <w:jc w:val="center"/>
      </w:pPr>
    </w:p>
    <w:p w14:paraId="0AFBDF77" w14:textId="46787ADE" w:rsidR="008247C3" w:rsidRPr="00D14C81" w:rsidRDefault="00890F53" w:rsidP="00320CC9">
      <w:pPr>
        <w:pStyle w:val="Sansinterligne"/>
        <w:jc w:val="center"/>
        <w:rPr>
          <w:b/>
          <w:bCs/>
          <w:sz w:val="28"/>
          <w:szCs w:val="28"/>
          <w:lang w:val="fr-FR"/>
        </w:rPr>
      </w:pPr>
      <w:bookmarkStart w:id="0" w:name="_Hlk199161661"/>
      <w:r w:rsidRPr="00890F53">
        <w:rPr>
          <w:b/>
          <w:bCs/>
          <w:sz w:val="28"/>
          <w:szCs w:val="28"/>
          <w:lang w:val="fr-FR"/>
        </w:rPr>
        <w:t>ACCORD-CADRE</w:t>
      </w:r>
      <w:r w:rsidR="00EE5DDB" w:rsidRPr="00D14C81">
        <w:rPr>
          <w:b/>
          <w:bCs/>
          <w:sz w:val="28"/>
          <w:szCs w:val="28"/>
          <w:lang w:val="fr-FR"/>
        </w:rPr>
        <w:t xml:space="preserve"> DE FOURNITURES COURANTES ET DE SERVICES</w:t>
      </w:r>
    </w:p>
    <w:p w14:paraId="568B71AD" w14:textId="77777777" w:rsidR="00320CC9" w:rsidRDefault="00320CC9" w:rsidP="00320CC9">
      <w:pPr>
        <w:pStyle w:val="Sansinterligne"/>
        <w:jc w:val="center"/>
        <w:rPr>
          <w:b/>
          <w:bCs/>
          <w:sz w:val="24"/>
          <w:szCs w:val="24"/>
          <w:lang w:val="fr-FR"/>
        </w:rPr>
      </w:pPr>
    </w:p>
    <w:p w14:paraId="6B04A550" w14:textId="77777777" w:rsidR="003B090B" w:rsidRDefault="003B090B" w:rsidP="00320CC9">
      <w:pPr>
        <w:pStyle w:val="Sansinterligne"/>
        <w:jc w:val="center"/>
        <w:rPr>
          <w:b/>
          <w:bCs/>
          <w:sz w:val="24"/>
          <w:szCs w:val="24"/>
          <w:lang w:val="fr-FR"/>
        </w:rPr>
      </w:pPr>
    </w:p>
    <w:p w14:paraId="354CD0B1" w14:textId="77777777" w:rsidR="003B090B" w:rsidRDefault="003B090B" w:rsidP="00320CC9">
      <w:pPr>
        <w:pStyle w:val="Sansinterligne"/>
        <w:jc w:val="center"/>
        <w:rPr>
          <w:b/>
          <w:bCs/>
          <w:sz w:val="24"/>
          <w:szCs w:val="24"/>
          <w:lang w:val="fr-FR"/>
        </w:rPr>
      </w:pPr>
    </w:p>
    <w:p w14:paraId="0CDBE525" w14:textId="77777777" w:rsidR="003B090B" w:rsidRDefault="003B090B" w:rsidP="00320CC9">
      <w:pPr>
        <w:pStyle w:val="Sansinterligne"/>
        <w:jc w:val="center"/>
        <w:rPr>
          <w:b/>
          <w:bCs/>
          <w:sz w:val="24"/>
          <w:szCs w:val="24"/>
          <w:lang w:val="fr-FR"/>
        </w:rPr>
      </w:pPr>
    </w:p>
    <w:p w14:paraId="73126CA6" w14:textId="77777777" w:rsidR="003B090B" w:rsidRPr="003B090B" w:rsidRDefault="003B090B" w:rsidP="00320CC9">
      <w:pPr>
        <w:pStyle w:val="Sansinterligne"/>
        <w:jc w:val="center"/>
        <w:rPr>
          <w:b/>
          <w:bCs/>
          <w:sz w:val="24"/>
          <w:szCs w:val="24"/>
          <w:lang w:val="fr-FR"/>
        </w:rPr>
      </w:pPr>
    </w:p>
    <w:p w14:paraId="41BDB66B" w14:textId="77777777" w:rsidR="003B090B" w:rsidRPr="003B090B" w:rsidRDefault="003B090B" w:rsidP="00320CC9">
      <w:pPr>
        <w:pStyle w:val="Sansinterligne"/>
        <w:jc w:val="center"/>
        <w:rPr>
          <w:b/>
          <w:bCs/>
          <w:sz w:val="24"/>
          <w:szCs w:val="24"/>
          <w:lang w:val="fr-FR"/>
        </w:rPr>
      </w:pPr>
    </w:p>
    <w:p w14:paraId="36672D93" w14:textId="77777777" w:rsidR="003B090B" w:rsidRPr="003B090B" w:rsidRDefault="003B090B" w:rsidP="00320CC9">
      <w:pPr>
        <w:pStyle w:val="Sansinterligne"/>
        <w:jc w:val="center"/>
        <w:rPr>
          <w:b/>
          <w:bCs/>
          <w:sz w:val="24"/>
          <w:szCs w:val="24"/>
          <w:lang w:val="fr-FR"/>
        </w:rPr>
      </w:pPr>
    </w:p>
    <w:p w14:paraId="6F860DEF" w14:textId="77777777" w:rsidR="00890F53" w:rsidRPr="003B090B" w:rsidRDefault="00890F53" w:rsidP="00320CC9">
      <w:pPr>
        <w:pStyle w:val="Sansinterligne"/>
        <w:jc w:val="center"/>
        <w:rPr>
          <w:b/>
          <w:bCs/>
          <w:sz w:val="24"/>
          <w:szCs w:val="24"/>
          <w:lang w:val="fr-FR"/>
        </w:rPr>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890F53" w14:paraId="3416968B" w14:textId="77777777" w:rsidTr="003B090B">
        <w:tc>
          <w:tcPr>
            <w:tcW w:w="9750" w:type="dxa"/>
          </w:tcPr>
          <w:p w14:paraId="6C7E84B6" w14:textId="77777777" w:rsidR="00890F53" w:rsidRDefault="00890F53" w:rsidP="00890F53">
            <w:pPr>
              <w:pStyle w:val="Sansinterligne"/>
              <w:jc w:val="center"/>
              <w:rPr>
                <w:b/>
                <w:bCs/>
                <w:sz w:val="28"/>
                <w:szCs w:val="28"/>
                <w:lang w:val="fr-FR"/>
              </w:rPr>
            </w:pPr>
          </w:p>
          <w:p w14:paraId="4CB62291" w14:textId="37945651" w:rsidR="00890F53" w:rsidRPr="00890F53" w:rsidRDefault="00231179" w:rsidP="00890F53">
            <w:pPr>
              <w:pStyle w:val="Sansinterligne"/>
              <w:jc w:val="center"/>
              <w:rPr>
                <w:rFonts w:ascii="Arial" w:eastAsia="Arial" w:hAnsi="Arial" w:cs="Arial"/>
                <w:b/>
                <w:color w:val="000000"/>
                <w:sz w:val="28"/>
                <w:lang w:val="fr-FR"/>
              </w:rPr>
            </w:pPr>
            <w:bookmarkStart w:id="1" w:name="_Hlk201652861"/>
            <w:r>
              <w:rPr>
                <w:rFonts w:ascii="Arial" w:eastAsia="Arial" w:hAnsi="Arial" w:cs="Arial"/>
                <w:b/>
                <w:color w:val="000000"/>
                <w:sz w:val="28"/>
                <w:lang w:val="fr-FR"/>
              </w:rPr>
              <w:t xml:space="preserve">MARCHE COMPRENANT UN </w:t>
            </w:r>
            <w:r w:rsidR="00890F53" w:rsidRPr="00890F53">
              <w:rPr>
                <w:rFonts w:ascii="Arial" w:eastAsia="Arial" w:hAnsi="Arial" w:cs="Arial"/>
                <w:b/>
                <w:color w:val="000000"/>
                <w:sz w:val="28"/>
                <w:lang w:val="fr-FR"/>
              </w:rPr>
              <w:t>ACCORD-CADRE A BONS DE COMMANDES DE MAINTENANCE ET EXPLOITATION DES INSTALLATIONS ET DU BATIMENT DE LA BLANCHISSERIE DU GCS</w:t>
            </w:r>
          </w:p>
          <w:p w14:paraId="1F862B44" w14:textId="77777777" w:rsidR="00890F53" w:rsidRDefault="00890F53" w:rsidP="00890F53">
            <w:pPr>
              <w:pStyle w:val="Sansinterligne"/>
              <w:jc w:val="center"/>
              <w:rPr>
                <w:rFonts w:ascii="Arial" w:eastAsia="Arial" w:hAnsi="Arial" w:cs="Arial"/>
                <w:b/>
                <w:color w:val="000000"/>
                <w:sz w:val="28"/>
                <w:lang w:val="fr-FR"/>
              </w:rPr>
            </w:pPr>
            <w:r w:rsidRPr="00890F53">
              <w:rPr>
                <w:rFonts w:ascii="Arial" w:eastAsia="Arial" w:hAnsi="Arial" w:cs="Arial"/>
                <w:b/>
                <w:color w:val="000000"/>
                <w:sz w:val="28"/>
                <w:lang w:val="fr-FR"/>
              </w:rPr>
              <w:t xml:space="preserve"> « BLANCHISSERIE INTER HOSPITALIERE DU TERRITOIRE DU GRAND CLERMONT »</w:t>
            </w:r>
            <w:bookmarkEnd w:id="1"/>
          </w:p>
          <w:p w14:paraId="71891C7B" w14:textId="0258F69C" w:rsidR="003B090B" w:rsidRDefault="003B090B" w:rsidP="00890F53">
            <w:pPr>
              <w:pStyle w:val="Sansinterligne"/>
              <w:jc w:val="center"/>
              <w:rPr>
                <w:b/>
                <w:bCs/>
                <w:sz w:val="28"/>
                <w:szCs w:val="28"/>
                <w:lang w:val="fr-FR"/>
              </w:rPr>
            </w:pPr>
          </w:p>
        </w:tc>
      </w:tr>
    </w:tbl>
    <w:p w14:paraId="73A9574F" w14:textId="77777777" w:rsidR="00890F53" w:rsidRDefault="00890F53" w:rsidP="00320CC9">
      <w:pPr>
        <w:pStyle w:val="Sansinterligne"/>
        <w:jc w:val="center"/>
        <w:rPr>
          <w:b/>
          <w:bCs/>
          <w:sz w:val="28"/>
          <w:szCs w:val="28"/>
          <w:lang w:val="fr-FR"/>
        </w:rPr>
      </w:pPr>
    </w:p>
    <w:p w14:paraId="4559661E" w14:textId="4F182634" w:rsidR="00890F53" w:rsidRDefault="00890F53" w:rsidP="00890F53">
      <w:pPr>
        <w:pStyle w:val="Sansinterligne"/>
        <w:jc w:val="center"/>
        <w:rPr>
          <w:b/>
          <w:bCs/>
          <w:sz w:val="28"/>
          <w:szCs w:val="28"/>
          <w:lang w:val="fr-FR"/>
        </w:rPr>
      </w:pPr>
    </w:p>
    <w:p w14:paraId="26B1E3D4" w14:textId="77777777" w:rsidR="003B090B" w:rsidRPr="003B090B" w:rsidRDefault="003B090B" w:rsidP="003B090B">
      <w:pPr>
        <w:pStyle w:val="Sansinterligne"/>
        <w:jc w:val="center"/>
        <w:rPr>
          <w:b/>
          <w:bCs/>
          <w:sz w:val="28"/>
          <w:szCs w:val="28"/>
          <w:lang w:val="fr-FR"/>
        </w:rPr>
      </w:pPr>
      <w:r w:rsidRPr="003B090B">
        <w:rPr>
          <w:b/>
          <w:bCs/>
          <w:sz w:val="28"/>
          <w:szCs w:val="28"/>
          <w:lang w:val="fr-FR"/>
        </w:rPr>
        <w:t>Date et heure limites de réception des offres :</w:t>
      </w:r>
    </w:p>
    <w:p w14:paraId="0F338749" w14:textId="117E108A" w:rsidR="00890F53" w:rsidRDefault="003B090B" w:rsidP="003B090B">
      <w:pPr>
        <w:pStyle w:val="Sansinterligne"/>
        <w:jc w:val="center"/>
        <w:rPr>
          <w:b/>
          <w:bCs/>
          <w:sz w:val="28"/>
          <w:szCs w:val="28"/>
          <w:lang w:val="fr-FR"/>
        </w:rPr>
      </w:pPr>
      <w:r w:rsidRPr="003B090B">
        <w:rPr>
          <w:b/>
          <w:bCs/>
          <w:sz w:val="28"/>
          <w:szCs w:val="28"/>
          <w:lang w:val="fr-FR"/>
        </w:rPr>
        <w:t>Précisé dans l’avis d’appel public à la concurrence.</w:t>
      </w:r>
    </w:p>
    <w:bookmarkEnd w:id="0"/>
    <w:p w14:paraId="70A65470" w14:textId="77777777" w:rsidR="00890F53" w:rsidRDefault="00890F53" w:rsidP="00320CC9">
      <w:pPr>
        <w:pStyle w:val="Sansinterligne"/>
        <w:jc w:val="center"/>
        <w:rPr>
          <w:b/>
          <w:sz w:val="28"/>
          <w:szCs w:val="28"/>
          <w:lang w:val="fr-FR"/>
        </w:rPr>
      </w:pPr>
    </w:p>
    <w:p w14:paraId="30742918" w14:textId="77777777" w:rsidR="00320CC9" w:rsidRPr="00D14C81" w:rsidRDefault="00320CC9" w:rsidP="00320CC9">
      <w:pPr>
        <w:pStyle w:val="Sansinterligne"/>
        <w:jc w:val="center"/>
        <w:rPr>
          <w:b/>
          <w:sz w:val="28"/>
          <w:szCs w:val="28"/>
          <w:lang w:val="fr-FR"/>
        </w:rPr>
      </w:pPr>
    </w:p>
    <w:p w14:paraId="0AFBDF78" w14:textId="29CD7052" w:rsidR="008247C3" w:rsidRDefault="00320CC9" w:rsidP="00320CC9">
      <w:pPr>
        <w:pStyle w:val="Sansinterligne"/>
        <w:jc w:val="center"/>
        <w:rPr>
          <w:b/>
          <w:spacing w:val="3"/>
          <w:sz w:val="28"/>
          <w:szCs w:val="28"/>
          <w:lang w:val="fr-FR"/>
        </w:rPr>
      </w:pPr>
      <w:r w:rsidRPr="00D14C81">
        <w:rPr>
          <w:spacing w:val="3"/>
          <w:sz w:val="28"/>
          <w:szCs w:val="28"/>
          <w:lang w:val="fr-FR"/>
        </w:rPr>
        <w:t xml:space="preserve">REFERENCE DE LA CONSULTATION : </w:t>
      </w:r>
      <w:r w:rsidR="00D80151">
        <w:rPr>
          <w:b/>
          <w:spacing w:val="3"/>
          <w:sz w:val="28"/>
          <w:szCs w:val="28"/>
          <w:lang w:val="fr-FR"/>
        </w:rPr>
        <w:t>25-GHTA-0067</w:t>
      </w:r>
    </w:p>
    <w:p w14:paraId="2E82C21F" w14:textId="77777777" w:rsidR="00E032C4" w:rsidRPr="00D14C81" w:rsidRDefault="00E032C4" w:rsidP="00320CC9">
      <w:pPr>
        <w:pStyle w:val="Sansinterligne"/>
        <w:jc w:val="center"/>
        <w:rPr>
          <w:b/>
          <w:spacing w:val="3"/>
          <w:sz w:val="28"/>
          <w:szCs w:val="28"/>
          <w:lang w:val="fr-FR"/>
        </w:rPr>
      </w:pPr>
    </w:p>
    <w:p w14:paraId="66830C07" w14:textId="77777777" w:rsidR="003B090B" w:rsidRDefault="003B090B" w:rsidP="005345B2">
      <w:r>
        <w:t>Groupement Hospitalier des Territoires d'Auvergne</w:t>
      </w:r>
    </w:p>
    <w:p w14:paraId="4C7155A3" w14:textId="77777777" w:rsidR="003B090B" w:rsidRDefault="003B090B" w:rsidP="005345B2">
      <w:r>
        <w:t xml:space="preserve">Etablissement support CHU de Clermont-Ferrand </w:t>
      </w:r>
    </w:p>
    <w:p w14:paraId="32EF3A0A" w14:textId="77777777" w:rsidR="003B090B" w:rsidRDefault="003B090B" w:rsidP="005345B2">
      <w:r>
        <w:t>58 Rue Montalembert</w:t>
      </w:r>
    </w:p>
    <w:p w14:paraId="1E9253B9" w14:textId="77777777" w:rsidR="003B090B" w:rsidRDefault="003B090B" w:rsidP="005345B2">
      <w:r>
        <w:t>63003 CLERMONT-FERRAND</w:t>
      </w:r>
    </w:p>
    <w:p w14:paraId="34E2C82B" w14:textId="77777777" w:rsidR="003B090B" w:rsidRDefault="003B090B" w:rsidP="005345B2"/>
    <w:p w14:paraId="6EA29B9F" w14:textId="77777777" w:rsidR="003B090B" w:rsidRDefault="003B090B" w:rsidP="005345B2">
      <w:pPr>
        <w:sectPr w:rsidR="003B090B" w:rsidSect="003B090B">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1134" w:footer="1134" w:gutter="0"/>
          <w:cols w:space="708"/>
        </w:sectPr>
      </w:pPr>
    </w:p>
    <w:p w14:paraId="7F9B03C1" w14:textId="7EF40F4D" w:rsidR="00320CC9" w:rsidRPr="009449AA" w:rsidRDefault="009449AA" w:rsidP="00320CC9">
      <w:pPr>
        <w:pStyle w:val="Sansinterligne"/>
        <w:jc w:val="center"/>
        <w:rPr>
          <w:rFonts w:ascii="Arial" w:hAnsi="Arial" w:cs="Arial"/>
          <w:b/>
          <w:bCs/>
          <w:spacing w:val="3"/>
          <w:sz w:val="24"/>
          <w:szCs w:val="24"/>
          <w:lang w:val="fr-FR"/>
        </w:rPr>
      </w:pPr>
      <w:r w:rsidRPr="009449AA">
        <w:rPr>
          <w:rFonts w:ascii="Arial" w:hAnsi="Arial" w:cs="Arial"/>
          <w:b/>
          <w:bCs/>
          <w:spacing w:val="3"/>
          <w:sz w:val="24"/>
          <w:szCs w:val="24"/>
          <w:lang w:val="fr-FR"/>
        </w:rPr>
        <w:lastRenderedPageBreak/>
        <w:t>SOMMAIRE</w:t>
      </w:r>
    </w:p>
    <w:p w14:paraId="21F3DE08" w14:textId="77777777" w:rsidR="008247C3" w:rsidRPr="00D14C81" w:rsidRDefault="008247C3" w:rsidP="005345B2"/>
    <w:p w14:paraId="5DE10570" w14:textId="01A6F80A" w:rsidR="00FC3C00" w:rsidRDefault="009449AA">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r>
        <w:fldChar w:fldCharType="begin"/>
      </w:r>
      <w:r>
        <w:instrText xml:space="preserve"> TOC \o "1-3" \h \z \u </w:instrText>
      </w:r>
      <w:r>
        <w:fldChar w:fldCharType="separate"/>
      </w:r>
      <w:hyperlink w:anchor="_Toc201733960" w:history="1">
        <w:r w:rsidR="00FC3C00" w:rsidRPr="00034E58">
          <w:rPr>
            <w:rStyle w:val="Lienhypertexte"/>
            <w:noProof/>
          </w:rPr>
          <w:t>1</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Objet et étendue de la consultation</w:t>
        </w:r>
        <w:r w:rsidR="00FC3C00">
          <w:rPr>
            <w:noProof/>
            <w:webHidden/>
          </w:rPr>
          <w:tab/>
        </w:r>
        <w:r w:rsidR="00FC3C00">
          <w:rPr>
            <w:noProof/>
            <w:webHidden/>
          </w:rPr>
          <w:fldChar w:fldCharType="begin"/>
        </w:r>
        <w:r w:rsidR="00FC3C00">
          <w:rPr>
            <w:noProof/>
            <w:webHidden/>
          </w:rPr>
          <w:instrText xml:space="preserve"> PAGEREF _Toc201733960 \h </w:instrText>
        </w:r>
        <w:r w:rsidR="00FC3C00">
          <w:rPr>
            <w:noProof/>
            <w:webHidden/>
          </w:rPr>
        </w:r>
        <w:r w:rsidR="00FC3C00">
          <w:rPr>
            <w:noProof/>
            <w:webHidden/>
          </w:rPr>
          <w:fldChar w:fldCharType="separate"/>
        </w:r>
        <w:r w:rsidR="00FC3C00">
          <w:rPr>
            <w:noProof/>
            <w:webHidden/>
          </w:rPr>
          <w:t>3</w:t>
        </w:r>
        <w:r w:rsidR="00FC3C00">
          <w:rPr>
            <w:noProof/>
            <w:webHidden/>
          </w:rPr>
          <w:fldChar w:fldCharType="end"/>
        </w:r>
      </w:hyperlink>
    </w:p>
    <w:p w14:paraId="1C9A745A" w14:textId="36EC6298"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1" w:history="1">
        <w:r w:rsidR="00FC3C00" w:rsidRPr="00034E58">
          <w:rPr>
            <w:rStyle w:val="Lienhypertexte"/>
            <w:noProof/>
          </w:rPr>
          <w:t>1.1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Objet</w:t>
        </w:r>
        <w:r w:rsidR="00FC3C00">
          <w:rPr>
            <w:noProof/>
            <w:webHidden/>
          </w:rPr>
          <w:tab/>
        </w:r>
        <w:r w:rsidR="00FC3C00">
          <w:rPr>
            <w:noProof/>
            <w:webHidden/>
          </w:rPr>
          <w:fldChar w:fldCharType="begin"/>
        </w:r>
        <w:r w:rsidR="00FC3C00">
          <w:rPr>
            <w:noProof/>
            <w:webHidden/>
          </w:rPr>
          <w:instrText xml:space="preserve"> PAGEREF _Toc201733961 \h </w:instrText>
        </w:r>
        <w:r w:rsidR="00FC3C00">
          <w:rPr>
            <w:noProof/>
            <w:webHidden/>
          </w:rPr>
        </w:r>
        <w:r w:rsidR="00FC3C00">
          <w:rPr>
            <w:noProof/>
            <w:webHidden/>
          </w:rPr>
          <w:fldChar w:fldCharType="separate"/>
        </w:r>
        <w:r w:rsidR="00FC3C00">
          <w:rPr>
            <w:noProof/>
            <w:webHidden/>
          </w:rPr>
          <w:t>3</w:t>
        </w:r>
        <w:r w:rsidR="00FC3C00">
          <w:rPr>
            <w:noProof/>
            <w:webHidden/>
          </w:rPr>
          <w:fldChar w:fldCharType="end"/>
        </w:r>
      </w:hyperlink>
    </w:p>
    <w:p w14:paraId="6C6E724A" w14:textId="7B7D410F"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2" w:history="1">
        <w:r w:rsidR="00FC3C00" w:rsidRPr="00034E58">
          <w:rPr>
            <w:rStyle w:val="Lienhypertexte"/>
            <w:noProof/>
          </w:rPr>
          <w:t>1.2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Mode de passation</w:t>
        </w:r>
        <w:r w:rsidR="00FC3C00">
          <w:rPr>
            <w:noProof/>
            <w:webHidden/>
          </w:rPr>
          <w:tab/>
        </w:r>
        <w:r w:rsidR="00FC3C00">
          <w:rPr>
            <w:noProof/>
            <w:webHidden/>
          </w:rPr>
          <w:fldChar w:fldCharType="begin"/>
        </w:r>
        <w:r w:rsidR="00FC3C00">
          <w:rPr>
            <w:noProof/>
            <w:webHidden/>
          </w:rPr>
          <w:instrText xml:space="preserve"> PAGEREF _Toc201733962 \h </w:instrText>
        </w:r>
        <w:r w:rsidR="00FC3C00">
          <w:rPr>
            <w:noProof/>
            <w:webHidden/>
          </w:rPr>
        </w:r>
        <w:r w:rsidR="00FC3C00">
          <w:rPr>
            <w:noProof/>
            <w:webHidden/>
          </w:rPr>
          <w:fldChar w:fldCharType="separate"/>
        </w:r>
        <w:r w:rsidR="00FC3C00">
          <w:rPr>
            <w:noProof/>
            <w:webHidden/>
          </w:rPr>
          <w:t>3</w:t>
        </w:r>
        <w:r w:rsidR="00FC3C00">
          <w:rPr>
            <w:noProof/>
            <w:webHidden/>
          </w:rPr>
          <w:fldChar w:fldCharType="end"/>
        </w:r>
      </w:hyperlink>
    </w:p>
    <w:p w14:paraId="642379AA" w14:textId="18847DEC"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3" w:history="1">
        <w:r w:rsidR="00FC3C00" w:rsidRPr="00034E58">
          <w:rPr>
            <w:rStyle w:val="Lienhypertexte"/>
            <w:noProof/>
          </w:rPr>
          <w:t>1.3</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Type de contrat</w:t>
        </w:r>
        <w:r w:rsidR="00FC3C00">
          <w:rPr>
            <w:noProof/>
            <w:webHidden/>
          </w:rPr>
          <w:tab/>
        </w:r>
        <w:r w:rsidR="00FC3C00">
          <w:rPr>
            <w:noProof/>
            <w:webHidden/>
          </w:rPr>
          <w:fldChar w:fldCharType="begin"/>
        </w:r>
        <w:r w:rsidR="00FC3C00">
          <w:rPr>
            <w:noProof/>
            <w:webHidden/>
          </w:rPr>
          <w:instrText xml:space="preserve"> PAGEREF _Toc201733963 \h </w:instrText>
        </w:r>
        <w:r w:rsidR="00FC3C00">
          <w:rPr>
            <w:noProof/>
            <w:webHidden/>
          </w:rPr>
        </w:r>
        <w:r w:rsidR="00FC3C00">
          <w:rPr>
            <w:noProof/>
            <w:webHidden/>
          </w:rPr>
          <w:fldChar w:fldCharType="separate"/>
        </w:r>
        <w:r w:rsidR="00FC3C00">
          <w:rPr>
            <w:noProof/>
            <w:webHidden/>
          </w:rPr>
          <w:t>3</w:t>
        </w:r>
        <w:r w:rsidR="00FC3C00">
          <w:rPr>
            <w:noProof/>
            <w:webHidden/>
          </w:rPr>
          <w:fldChar w:fldCharType="end"/>
        </w:r>
      </w:hyperlink>
    </w:p>
    <w:p w14:paraId="3FFF6778" w14:textId="15F47D8E"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4" w:history="1">
        <w:r w:rsidR="00FC3C00" w:rsidRPr="00034E58">
          <w:rPr>
            <w:rStyle w:val="Lienhypertexte"/>
            <w:noProof/>
          </w:rPr>
          <w:t>1.4</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Décomposition de la consultation</w:t>
        </w:r>
        <w:r w:rsidR="00FC3C00">
          <w:rPr>
            <w:noProof/>
            <w:webHidden/>
          </w:rPr>
          <w:tab/>
        </w:r>
        <w:r w:rsidR="00FC3C00">
          <w:rPr>
            <w:noProof/>
            <w:webHidden/>
          </w:rPr>
          <w:fldChar w:fldCharType="begin"/>
        </w:r>
        <w:r w:rsidR="00FC3C00">
          <w:rPr>
            <w:noProof/>
            <w:webHidden/>
          </w:rPr>
          <w:instrText xml:space="preserve"> PAGEREF _Toc201733964 \h </w:instrText>
        </w:r>
        <w:r w:rsidR="00FC3C00">
          <w:rPr>
            <w:noProof/>
            <w:webHidden/>
          </w:rPr>
        </w:r>
        <w:r w:rsidR="00FC3C00">
          <w:rPr>
            <w:noProof/>
            <w:webHidden/>
          </w:rPr>
          <w:fldChar w:fldCharType="separate"/>
        </w:r>
        <w:r w:rsidR="00FC3C00">
          <w:rPr>
            <w:noProof/>
            <w:webHidden/>
          </w:rPr>
          <w:t>3</w:t>
        </w:r>
        <w:r w:rsidR="00FC3C00">
          <w:rPr>
            <w:noProof/>
            <w:webHidden/>
          </w:rPr>
          <w:fldChar w:fldCharType="end"/>
        </w:r>
      </w:hyperlink>
    </w:p>
    <w:p w14:paraId="443131F9" w14:textId="126D99AF"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5" w:history="1">
        <w:r w:rsidR="00FC3C00" w:rsidRPr="00034E58">
          <w:rPr>
            <w:rStyle w:val="Lienhypertexte"/>
            <w:noProof/>
          </w:rPr>
          <w:t>1.5</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Nomenclature</w:t>
        </w:r>
        <w:r w:rsidR="00FC3C00">
          <w:rPr>
            <w:noProof/>
            <w:webHidden/>
          </w:rPr>
          <w:tab/>
        </w:r>
        <w:r w:rsidR="00FC3C00">
          <w:rPr>
            <w:noProof/>
            <w:webHidden/>
          </w:rPr>
          <w:fldChar w:fldCharType="begin"/>
        </w:r>
        <w:r w:rsidR="00FC3C00">
          <w:rPr>
            <w:noProof/>
            <w:webHidden/>
          </w:rPr>
          <w:instrText xml:space="preserve"> PAGEREF _Toc201733965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2E56ECF5" w14:textId="357D4E72"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6" w:history="1">
        <w:r w:rsidR="00FC3C00" w:rsidRPr="00034E58">
          <w:rPr>
            <w:rStyle w:val="Lienhypertexte"/>
            <w:noProof/>
          </w:rPr>
          <w:t>1.6</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Renouvellement</w:t>
        </w:r>
        <w:r w:rsidR="00FC3C00">
          <w:rPr>
            <w:noProof/>
            <w:webHidden/>
          </w:rPr>
          <w:tab/>
        </w:r>
        <w:r w:rsidR="00FC3C00">
          <w:rPr>
            <w:noProof/>
            <w:webHidden/>
          </w:rPr>
          <w:fldChar w:fldCharType="begin"/>
        </w:r>
        <w:r w:rsidR="00FC3C00">
          <w:rPr>
            <w:noProof/>
            <w:webHidden/>
          </w:rPr>
          <w:instrText xml:space="preserve"> PAGEREF _Toc201733966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57CD4221" w14:textId="7E119752"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67" w:history="1">
        <w:r w:rsidR="00FC3C00" w:rsidRPr="00034E58">
          <w:rPr>
            <w:rStyle w:val="Lienhypertexte"/>
            <w:noProof/>
          </w:rPr>
          <w:t>2</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Conditions de la consultation</w:t>
        </w:r>
        <w:r w:rsidR="00FC3C00">
          <w:rPr>
            <w:noProof/>
            <w:webHidden/>
          </w:rPr>
          <w:tab/>
        </w:r>
        <w:r w:rsidR="00FC3C00">
          <w:rPr>
            <w:noProof/>
            <w:webHidden/>
          </w:rPr>
          <w:fldChar w:fldCharType="begin"/>
        </w:r>
        <w:r w:rsidR="00FC3C00">
          <w:rPr>
            <w:noProof/>
            <w:webHidden/>
          </w:rPr>
          <w:instrText xml:space="preserve"> PAGEREF _Toc201733967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786EBEA2" w14:textId="4140D43E"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8" w:history="1">
        <w:r w:rsidR="00FC3C00" w:rsidRPr="00034E58">
          <w:rPr>
            <w:rStyle w:val="Lienhypertexte"/>
            <w:noProof/>
          </w:rPr>
          <w:t>2.1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Délai de validité des offres</w:t>
        </w:r>
        <w:r w:rsidR="00FC3C00">
          <w:rPr>
            <w:noProof/>
            <w:webHidden/>
          </w:rPr>
          <w:tab/>
        </w:r>
        <w:r w:rsidR="00FC3C00">
          <w:rPr>
            <w:noProof/>
            <w:webHidden/>
          </w:rPr>
          <w:fldChar w:fldCharType="begin"/>
        </w:r>
        <w:r w:rsidR="00FC3C00">
          <w:rPr>
            <w:noProof/>
            <w:webHidden/>
          </w:rPr>
          <w:instrText xml:space="preserve"> PAGEREF _Toc201733968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4B94341A" w14:textId="444B702E"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69" w:history="1">
        <w:r w:rsidR="00FC3C00" w:rsidRPr="00034E58">
          <w:rPr>
            <w:rStyle w:val="Lienhypertexte"/>
            <w:noProof/>
          </w:rPr>
          <w:t>2.2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Forme juridique du groupement</w:t>
        </w:r>
        <w:r w:rsidR="00FC3C00">
          <w:rPr>
            <w:noProof/>
            <w:webHidden/>
          </w:rPr>
          <w:tab/>
        </w:r>
        <w:r w:rsidR="00FC3C00">
          <w:rPr>
            <w:noProof/>
            <w:webHidden/>
          </w:rPr>
          <w:fldChar w:fldCharType="begin"/>
        </w:r>
        <w:r w:rsidR="00FC3C00">
          <w:rPr>
            <w:noProof/>
            <w:webHidden/>
          </w:rPr>
          <w:instrText xml:space="preserve"> PAGEREF _Toc201733969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0F9FAEFA" w14:textId="70380825"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70" w:history="1">
        <w:r w:rsidR="00FC3C00" w:rsidRPr="00034E58">
          <w:rPr>
            <w:rStyle w:val="Lienhypertexte"/>
            <w:i/>
            <w:noProof/>
          </w:rPr>
          <w:t>2.3</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Variantes</w:t>
        </w:r>
        <w:r w:rsidR="00FC3C00">
          <w:rPr>
            <w:noProof/>
            <w:webHidden/>
          </w:rPr>
          <w:tab/>
        </w:r>
        <w:r w:rsidR="00FC3C00">
          <w:rPr>
            <w:noProof/>
            <w:webHidden/>
          </w:rPr>
          <w:fldChar w:fldCharType="begin"/>
        </w:r>
        <w:r w:rsidR="00FC3C00">
          <w:rPr>
            <w:noProof/>
            <w:webHidden/>
          </w:rPr>
          <w:instrText xml:space="preserve"> PAGEREF _Toc201733970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7C086503" w14:textId="4D334E8E"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71" w:history="1">
        <w:r w:rsidR="00FC3C00" w:rsidRPr="00034E58">
          <w:rPr>
            <w:rStyle w:val="Lienhypertexte"/>
            <w:noProof/>
          </w:rPr>
          <w:t>2.4</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Prestations supplémentaires éventuelles</w:t>
        </w:r>
        <w:r w:rsidR="00FC3C00">
          <w:rPr>
            <w:noProof/>
            <w:webHidden/>
          </w:rPr>
          <w:tab/>
        </w:r>
        <w:r w:rsidR="00FC3C00">
          <w:rPr>
            <w:noProof/>
            <w:webHidden/>
          </w:rPr>
          <w:fldChar w:fldCharType="begin"/>
        </w:r>
        <w:r w:rsidR="00FC3C00">
          <w:rPr>
            <w:noProof/>
            <w:webHidden/>
          </w:rPr>
          <w:instrText xml:space="preserve"> PAGEREF _Toc201733971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69182D22" w14:textId="67BABA1E"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72" w:history="1">
        <w:r w:rsidR="00FC3C00" w:rsidRPr="00034E58">
          <w:rPr>
            <w:rStyle w:val="Lienhypertexte"/>
            <w:noProof/>
          </w:rPr>
          <w:t>3</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Les intervenants</w:t>
        </w:r>
        <w:r w:rsidR="00FC3C00">
          <w:rPr>
            <w:noProof/>
            <w:webHidden/>
          </w:rPr>
          <w:tab/>
        </w:r>
        <w:r w:rsidR="00FC3C00">
          <w:rPr>
            <w:noProof/>
            <w:webHidden/>
          </w:rPr>
          <w:fldChar w:fldCharType="begin"/>
        </w:r>
        <w:r w:rsidR="00FC3C00">
          <w:rPr>
            <w:noProof/>
            <w:webHidden/>
          </w:rPr>
          <w:instrText xml:space="preserve"> PAGEREF _Toc201733972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5F8853BB" w14:textId="4B462D83"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73" w:history="1">
        <w:r w:rsidR="00FC3C00" w:rsidRPr="00034E58">
          <w:rPr>
            <w:rStyle w:val="Lienhypertexte"/>
            <w:noProof/>
          </w:rPr>
          <w:t>3.1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Coordonnateur</w:t>
        </w:r>
        <w:r w:rsidR="00FC3C00">
          <w:rPr>
            <w:noProof/>
            <w:webHidden/>
          </w:rPr>
          <w:tab/>
        </w:r>
        <w:r w:rsidR="00FC3C00">
          <w:rPr>
            <w:noProof/>
            <w:webHidden/>
          </w:rPr>
          <w:fldChar w:fldCharType="begin"/>
        </w:r>
        <w:r w:rsidR="00FC3C00">
          <w:rPr>
            <w:noProof/>
            <w:webHidden/>
          </w:rPr>
          <w:instrText xml:space="preserve"> PAGEREF _Toc201733973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0C0119BC" w14:textId="71B0BC85"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74" w:history="1">
        <w:r w:rsidR="00FC3C00" w:rsidRPr="00034E58">
          <w:rPr>
            <w:rStyle w:val="Lienhypertexte"/>
            <w:noProof/>
          </w:rPr>
          <w:t>4</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Conditions relatives au contrat</w:t>
        </w:r>
        <w:r w:rsidR="00FC3C00">
          <w:rPr>
            <w:noProof/>
            <w:webHidden/>
          </w:rPr>
          <w:tab/>
        </w:r>
        <w:r w:rsidR="00FC3C00">
          <w:rPr>
            <w:noProof/>
            <w:webHidden/>
          </w:rPr>
          <w:fldChar w:fldCharType="begin"/>
        </w:r>
        <w:r w:rsidR="00FC3C00">
          <w:rPr>
            <w:noProof/>
            <w:webHidden/>
          </w:rPr>
          <w:instrText xml:space="preserve"> PAGEREF _Toc201733974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2144EAE2" w14:textId="4A367BF0"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75" w:history="1">
        <w:r w:rsidR="00FC3C00" w:rsidRPr="00034E58">
          <w:rPr>
            <w:rStyle w:val="Lienhypertexte"/>
            <w:noProof/>
          </w:rPr>
          <w:t>4.1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Durée du contrat ou délai d'exécution</w:t>
        </w:r>
        <w:r w:rsidR="00FC3C00">
          <w:rPr>
            <w:noProof/>
            <w:webHidden/>
          </w:rPr>
          <w:tab/>
        </w:r>
        <w:r w:rsidR="00FC3C00">
          <w:rPr>
            <w:noProof/>
            <w:webHidden/>
          </w:rPr>
          <w:fldChar w:fldCharType="begin"/>
        </w:r>
        <w:r w:rsidR="00FC3C00">
          <w:rPr>
            <w:noProof/>
            <w:webHidden/>
          </w:rPr>
          <w:instrText xml:space="preserve"> PAGEREF _Toc201733975 \h </w:instrText>
        </w:r>
        <w:r w:rsidR="00FC3C00">
          <w:rPr>
            <w:noProof/>
            <w:webHidden/>
          </w:rPr>
        </w:r>
        <w:r w:rsidR="00FC3C00">
          <w:rPr>
            <w:noProof/>
            <w:webHidden/>
          </w:rPr>
          <w:fldChar w:fldCharType="separate"/>
        </w:r>
        <w:r w:rsidR="00FC3C00">
          <w:rPr>
            <w:noProof/>
            <w:webHidden/>
          </w:rPr>
          <w:t>4</w:t>
        </w:r>
        <w:r w:rsidR="00FC3C00">
          <w:rPr>
            <w:noProof/>
            <w:webHidden/>
          </w:rPr>
          <w:fldChar w:fldCharType="end"/>
        </w:r>
      </w:hyperlink>
    </w:p>
    <w:p w14:paraId="6BF3B2AC" w14:textId="2E6CE28A"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76" w:history="1">
        <w:r w:rsidR="00FC3C00" w:rsidRPr="00034E58">
          <w:rPr>
            <w:rStyle w:val="Lienhypertexte"/>
            <w:noProof/>
          </w:rPr>
          <w:t>4.2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Modalités essentielles de financement et de paiement</w:t>
        </w:r>
        <w:r w:rsidR="00FC3C00">
          <w:rPr>
            <w:noProof/>
            <w:webHidden/>
          </w:rPr>
          <w:tab/>
        </w:r>
        <w:r w:rsidR="00FC3C00">
          <w:rPr>
            <w:noProof/>
            <w:webHidden/>
          </w:rPr>
          <w:fldChar w:fldCharType="begin"/>
        </w:r>
        <w:r w:rsidR="00FC3C00">
          <w:rPr>
            <w:noProof/>
            <w:webHidden/>
          </w:rPr>
          <w:instrText xml:space="preserve"> PAGEREF _Toc201733976 \h </w:instrText>
        </w:r>
        <w:r w:rsidR="00FC3C00">
          <w:rPr>
            <w:noProof/>
            <w:webHidden/>
          </w:rPr>
        </w:r>
        <w:r w:rsidR="00FC3C00">
          <w:rPr>
            <w:noProof/>
            <w:webHidden/>
          </w:rPr>
          <w:fldChar w:fldCharType="separate"/>
        </w:r>
        <w:r w:rsidR="00FC3C00">
          <w:rPr>
            <w:noProof/>
            <w:webHidden/>
          </w:rPr>
          <w:t>5</w:t>
        </w:r>
        <w:r w:rsidR="00FC3C00">
          <w:rPr>
            <w:noProof/>
            <w:webHidden/>
          </w:rPr>
          <w:fldChar w:fldCharType="end"/>
        </w:r>
      </w:hyperlink>
    </w:p>
    <w:p w14:paraId="7F1A50C4" w14:textId="69718F3F"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77" w:history="1">
        <w:r w:rsidR="00FC3C00" w:rsidRPr="00034E58">
          <w:rPr>
            <w:rStyle w:val="Lienhypertexte"/>
            <w:noProof/>
          </w:rPr>
          <w:t>5</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Contenu du dossier de consultation</w:t>
        </w:r>
        <w:r w:rsidR="00FC3C00">
          <w:rPr>
            <w:noProof/>
            <w:webHidden/>
          </w:rPr>
          <w:tab/>
        </w:r>
        <w:r w:rsidR="00FC3C00">
          <w:rPr>
            <w:noProof/>
            <w:webHidden/>
          </w:rPr>
          <w:fldChar w:fldCharType="begin"/>
        </w:r>
        <w:r w:rsidR="00FC3C00">
          <w:rPr>
            <w:noProof/>
            <w:webHidden/>
          </w:rPr>
          <w:instrText xml:space="preserve"> PAGEREF _Toc201733977 \h </w:instrText>
        </w:r>
        <w:r w:rsidR="00FC3C00">
          <w:rPr>
            <w:noProof/>
            <w:webHidden/>
          </w:rPr>
        </w:r>
        <w:r w:rsidR="00FC3C00">
          <w:rPr>
            <w:noProof/>
            <w:webHidden/>
          </w:rPr>
          <w:fldChar w:fldCharType="separate"/>
        </w:r>
        <w:r w:rsidR="00FC3C00">
          <w:rPr>
            <w:noProof/>
            <w:webHidden/>
          </w:rPr>
          <w:t>5</w:t>
        </w:r>
        <w:r w:rsidR="00FC3C00">
          <w:rPr>
            <w:noProof/>
            <w:webHidden/>
          </w:rPr>
          <w:fldChar w:fldCharType="end"/>
        </w:r>
      </w:hyperlink>
    </w:p>
    <w:p w14:paraId="2F9958C7" w14:textId="73D04202"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78" w:history="1">
        <w:r w:rsidR="00FC3C00" w:rsidRPr="00034E58">
          <w:rPr>
            <w:rStyle w:val="Lienhypertexte"/>
            <w:noProof/>
          </w:rPr>
          <w:t>6</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Présentation des candidatures et des offres</w:t>
        </w:r>
        <w:r w:rsidR="00FC3C00">
          <w:rPr>
            <w:noProof/>
            <w:webHidden/>
          </w:rPr>
          <w:tab/>
        </w:r>
        <w:r w:rsidR="00FC3C00">
          <w:rPr>
            <w:noProof/>
            <w:webHidden/>
          </w:rPr>
          <w:fldChar w:fldCharType="begin"/>
        </w:r>
        <w:r w:rsidR="00FC3C00">
          <w:rPr>
            <w:noProof/>
            <w:webHidden/>
          </w:rPr>
          <w:instrText xml:space="preserve"> PAGEREF _Toc201733978 \h </w:instrText>
        </w:r>
        <w:r w:rsidR="00FC3C00">
          <w:rPr>
            <w:noProof/>
            <w:webHidden/>
          </w:rPr>
        </w:r>
        <w:r w:rsidR="00FC3C00">
          <w:rPr>
            <w:noProof/>
            <w:webHidden/>
          </w:rPr>
          <w:fldChar w:fldCharType="separate"/>
        </w:r>
        <w:r w:rsidR="00FC3C00">
          <w:rPr>
            <w:noProof/>
            <w:webHidden/>
          </w:rPr>
          <w:t>5</w:t>
        </w:r>
        <w:r w:rsidR="00FC3C00">
          <w:rPr>
            <w:noProof/>
            <w:webHidden/>
          </w:rPr>
          <w:fldChar w:fldCharType="end"/>
        </w:r>
      </w:hyperlink>
    </w:p>
    <w:p w14:paraId="28EFA196" w14:textId="1C846AF3"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79" w:history="1">
        <w:r w:rsidR="00FC3C00" w:rsidRPr="00034E58">
          <w:rPr>
            <w:rStyle w:val="Lienhypertexte"/>
            <w:noProof/>
          </w:rPr>
          <w:t>6.1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Documents à produire</w:t>
        </w:r>
        <w:r w:rsidR="00FC3C00">
          <w:rPr>
            <w:noProof/>
            <w:webHidden/>
          </w:rPr>
          <w:tab/>
        </w:r>
        <w:r w:rsidR="00FC3C00">
          <w:rPr>
            <w:noProof/>
            <w:webHidden/>
          </w:rPr>
          <w:fldChar w:fldCharType="begin"/>
        </w:r>
        <w:r w:rsidR="00FC3C00">
          <w:rPr>
            <w:noProof/>
            <w:webHidden/>
          </w:rPr>
          <w:instrText xml:space="preserve"> PAGEREF _Toc201733979 \h </w:instrText>
        </w:r>
        <w:r w:rsidR="00FC3C00">
          <w:rPr>
            <w:noProof/>
            <w:webHidden/>
          </w:rPr>
        </w:r>
        <w:r w:rsidR="00FC3C00">
          <w:rPr>
            <w:noProof/>
            <w:webHidden/>
          </w:rPr>
          <w:fldChar w:fldCharType="separate"/>
        </w:r>
        <w:r w:rsidR="00FC3C00">
          <w:rPr>
            <w:noProof/>
            <w:webHidden/>
          </w:rPr>
          <w:t>5</w:t>
        </w:r>
        <w:r w:rsidR="00FC3C00">
          <w:rPr>
            <w:noProof/>
            <w:webHidden/>
          </w:rPr>
          <w:fldChar w:fldCharType="end"/>
        </w:r>
      </w:hyperlink>
    </w:p>
    <w:p w14:paraId="0C16C26D" w14:textId="06A8E81A"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0" w:history="1">
        <w:r w:rsidR="00FC3C00" w:rsidRPr="00034E58">
          <w:rPr>
            <w:rStyle w:val="Lienhypertexte"/>
            <w:i/>
            <w:noProof/>
          </w:rPr>
          <w:t>6.2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Visites sur site</w:t>
        </w:r>
        <w:r w:rsidR="00FC3C00">
          <w:rPr>
            <w:noProof/>
            <w:webHidden/>
          </w:rPr>
          <w:tab/>
        </w:r>
        <w:r w:rsidR="00FC3C00">
          <w:rPr>
            <w:noProof/>
            <w:webHidden/>
          </w:rPr>
          <w:fldChar w:fldCharType="begin"/>
        </w:r>
        <w:r w:rsidR="00FC3C00">
          <w:rPr>
            <w:noProof/>
            <w:webHidden/>
          </w:rPr>
          <w:instrText xml:space="preserve"> PAGEREF _Toc201733980 \h </w:instrText>
        </w:r>
        <w:r w:rsidR="00FC3C00">
          <w:rPr>
            <w:noProof/>
            <w:webHidden/>
          </w:rPr>
        </w:r>
        <w:r w:rsidR="00FC3C00">
          <w:rPr>
            <w:noProof/>
            <w:webHidden/>
          </w:rPr>
          <w:fldChar w:fldCharType="separate"/>
        </w:r>
        <w:r w:rsidR="00FC3C00">
          <w:rPr>
            <w:noProof/>
            <w:webHidden/>
          </w:rPr>
          <w:t>8</w:t>
        </w:r>
        <w:r w:rsidR="00FC3C00">
          <w:rPr>
            <w:noProof/>
            <w:webHidden/>
          </w:rPr>
          <w:fldChar w:fldCharType="end"/>
        </w:r>
      </w:hyperlink>
    </w:p>
    <w:p w14:paraId="602D7549" w14:textId="45467392"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81" w:history="1">
        <w:r w:rsidR="00FC3C00" w:rsidRPr="00034E58">
          <w:rPr>
            <w:rStyle w:val="Lienhypertexte"/>
            <w:noProof/>
          </w:rPr>
          <w:t>7</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Conditions d'envoi ou de remise des plis</w:t>
        </w:r>
        <w:r w:rsidR="00FC3C00">
          <w:rPr>
            <w:noProof/>
            <w:webHidden/>
          </w:rPr>
          <w:tab/>
        </w:r>
        <w:r w:rsidR="00FC3C00">
          <w:rPr>
            <w:noProof/>
            <w:webHidden/>
          </w:rPr>
          <w:fldChar w:fldCharType="begin"/>
        </w:r>
        <w:r w:rsidR="00FC3C00">
          <w:rPr>
            <w:noProof/>
            <w:webHidden/>
          </w:rPr>
          <w:instrText xml:space="preserve"> PAGEREF _Toc201733981 \h </w:instrText>
        </w:r>
        <w:r w:rsidR="00FC3C00">
          <w:rPr>
            <w:noProof/>
            <w:webHidden/>
          </w:rPr>
        </w:r>
        <w:r w:rsidR="00FC3C00">
          <w:rPr>
            <w:noProof/>
            <w:webHidden/>
          </w:rPr>
          <w:fldChar w:fldCharType="separate"/>
        </w:r>
        <w:r w:rsidR="00FC3C00">
          <w:rPr>
            <w:noProof/>
            <w:webHidden/>
          </w:rPr>
          <w:t>9</w:t>
        </w:r>
        <w:r w:rsidR="00FC3C00">
          <w:rPr>
            <w:noProof/>
            <w:webHidden/>
          </w:rPr>
          <w:fldChar w:fldCharType="end"/>
        </w:r>
      </w:hyperlink>
    </w:p>
    <w:p w14:paraId="4AF9595F" w14:textId="61DB2138"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2" w:history="1">
        <w:r w:rsidR="00FC3C00" w:rsidRPr="00034E58">
          <w:rPr>
            <w:rStyle w:val="Lienhypertexte"/>
            <w:noProof/>
          </w:rPr>
          <w:t>7.1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Transmission électronique</w:t>
        </w:r>
        <w:r w:rsidR="00FC3C00">
          <w:rPr>
            <w:noProof/>
            <w:webHidden/>
          </w:rPr>
          <w:tab/>
        </w:r>
        <w:r w:rsidR="00FC3C00">
          <w:rPr>
            <w:noProof/>
            <w:webHidden/>
          </w:rPr>
          <w:fldChar w:fldCharType="begin"/>
        </w:r>
        <w:r w:rsidR="00FC3C00">
          <w:rPr>
            <w:noProof/>
            <w:webHidden/>
          </w:rPr>
          <w:instrText xml:space="preserve"> PAGEREF _Toc201733982 \h </w:instrText>
        </w:r>
        <w:r w:rsidR="00FC3C00">
          <w:rPr>
            <w:noProof/>
            <w:webHidden/>
          </w:rPr>
        </w:r>
        <w:r w:rsidR="00FC3C00">
          <w:rPr>
            <w:noProof/>
            <w:webHidden/>
          </w:rPr>
          <w:fldChar w:fldCharType="separate"/>
        </w:r>
        <w:r w:rsidR="00FC3C00">
          <w:rPr>
            <w:noProof/>
            <w:webHidden/>
          </w:rPr>
          <w:t>9</w:t>
        </w:r>
        <w:r w:rsidR="00FC3C00">
          <w:rPr>
            <w:noProof/>
            <w:webHidden/>
          </w:rPr>
          <w:fldChar w:fldCharType="end"/>
        </w:r>
      </w:hyperlink>
    </w:p>
    <w:p w14:paraId="5AE661E9" w14:textId="2F39D72C"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3" w:history="1">
        <w:r w:rsidR="00FC3C00" w:rsidRPr="00034E58">
          <w:rPr>
            <w:rStyle w:val="Lienhypertexte"/>
            <w:noProof/>
          </w:rPr>
          <w:t>7.2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Transmission sous support papier</w:t>
        </w:r>
        <w:r w:rsidR="00FC3C00">
          <w:rPr>
            <w:noProof/>
            <w:webHidden/>
          </w:rPr>
          <w:tab/>
        </w:r>
        <w:r w:rsidR="00FC3C00">
          <w:rPr>
            <w:noProof/>
            <w:webHidden/>
          </w:rPr>
          <w:fldChar w:fldCharType="begin"/>
        </w:r>
        <w:r w:rsidR="00FC3C00">
          <w:rPr>
            <w:noProof/>
            <w:webHidden/>
          </w:rPr>
          <w:instrText xml:space="preserve"> PAGEREF _Toc201733983 \h </w:instrText>
        </w:r>
        <w:r w:rsidR="00FC3C00">
          <w:rPr>
            <w:noProof/>
            <w:webHidden/>
          </w:rPr>
        </w:r>
        <w:r w:rsidR="00FC3C00">
          <w:rPr>
            <w:noProof/>
            <w:webHidden/>
          </w:rPr>
          <w:fldChar w:fldCharType="separate"/>
        </w:r>
        <w:r w:rsidR="00FC3C00">
          <w:rPr>
            <w:noProof/>
            <w:webHidden/>
          </w:rPr>
          <w:t>10</w:t>
        </w:r>
        <w:r w:rsidR="00FC3C00">
          <w:rPr>
            <w:noProof/>
            <w:webHidden/>
          </w:rPr>
          <w:fldChar w:fldCharType="end"/>
        </w:r>
      </w:hyperlink>
    </w:p>
    <w:p w14:paraId="5346FDA9" w14:textId="69989D70"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84" w:history="1">
        <w:r w:rsidR="00FC3C00" w:rsidRPr="00034E58">
          <w:rPr>
            <w:rStyle w:val="Lienhypertexte"/>
            <w:noProof/>
          </w:rPr>
          <w:t>8</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Examen des candidatures et des offres</w:t>
        </w:r>
        <w:r w:rsidR="00FC3C00">
          <w:rPr>
            <w:noProof/>
            <w:webHidden/>
          </w:rPr>
          <w:tab/>
        </w:r>
        <w:r w:rsidR="00FC3C00">
          <w:rPr>
            <w:noProof/>
            <w:webHidden/>
          </w:rPr>
          <w:fldChar w:fldCharType="begin"/>
        </w:r>
        <w:r w:rsidR="00FC3C00">
          <w:rPr>
            <w:noProof/>
            <w:webHidden/>
          </w:rPr>
          <w:instrText xml:space="preserve"> PAGEREF _Toc201733984 \h </w:instrText>
        </w:r>
        <w:r w:rsidR="00FC3C00">
          <w:rPr>
            <w:noProof/>
            <w:webHidden/>
          </w:rPr>
        </w:r>
        <w:r w:rsidR="00FC3C00">
          <w:rPr>
            <w:noProof/>
            <w:webHidden/>
          </w:rPr>
          <w:fldChar w:fldCharType="separate"/>
        </w:r>
        <w:r w:rsidR="00FC3C00">
          <w:rPr>
            <w:noProof/>
            <w:webHidden/>
          </w:rPr>
          <w:t>10</w:t>
        </w:r>
        <w:r w:rsidR="00FC3C00">
          <w:rPr>
            <w:noProof/>
            <w:webHidden/>
          </w:rPr>
          <w:fldChar w:fldCharType="end"/>
        </w:r>
      </w:hyperlink>
    </w:p>
    <w:p w14:paraId="657E2A50" w14:textId="7F722FAA"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5" w:history="1">
        <w:r w:rsidR="00FC3C00" w:rsidRPr="00034E58">
          <w:rPr>
            <w:rStyle w:val="Lienhypertexte"/>
            <w:noProof/>
          </w:rPr>
          <w:t>8.1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Sélection des candidatures</w:t>
        </w:r>
        <w:r w:rsidR="00FC3C00">
          <w:rPr>
            <w:noProof/>
            <w:webHidden/>
          </w:rPr>
          <w:tab/>
        </w:r>
        <w:r w:rsidR="00FC3C00">
          <w:rPr>
            <w:noProof/>
            <w:webHidden/>
          </w:rPr>
          <w:fldChar w:fldCharType="begin"/>
        </w:r>
        <w:r w:rsidR="00FC3C00">
          <w:rPr>
            <w:noProof/>
            <w:webHidden/>
          </w:rPr>
          <w:instrText xml:space="preserve"> PAGEREF _Toc201733985 \h </w:instrText>
        </w:r>
        <w:r w:rsidR="00FC3C00">
          <w:rPr>
            <w:noProof/>
            <w:webHidden/>
          </w:rPr>
        </w:r>
        <w:r w:rsidR="00FC3C00">
          <w:rPr>
            <w:noProof/>
            <w:webHidden/>
          </w:rPr>
          <w:fldChar w:fldCharType="separate"/>
        </w:r>
        <w:r w:rsidR="00FC3C00">
          <w:rPr>
            <w:noProof/>
            <w:webHidden/>
          </w:rPr>
          <w:t>10</w:t>
        </w:r>
        <w:r w:rsidR="00FC3C00">
          <w:rPr>
            <w:noProof/>
            <w:webHidden/>
          </w:rPr>
          <w:fldChar w:fldCharType="end"/>
        </w:r>
      </w:hyperlink>
    </w:p>
    <w:p w14:paraId="342A2ACF" w14:textId="016D03F2"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6" w:history="1">
        <w:r w:rsidR="00FC3C00" w:rsidRPr="00034E58">
          <w:rPr>
            <w:rStyle w:val="Lienhypertexte"/>
            <w:noProof/>
          </w:rPr>
          <w:t>8.2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Attribution des accords-cadres</w:t>
        </w:r>
        <w:r w:rsidR="00FC3C00">
          <w:rPr>
            <w:noProof/>
            <w:webHidden/>
          </w:rPr>
          <w:tab/>
        </w:r>
        <w:r w:rsidR="00FC3C00">
          <w:rPr>
            <w:noProof/>
            <w:webHidden/>
          </w:rPr>
          <w:fldChar w:fldCharType="begin"/>
        </w:r>
        <w:r w:rsidR="00FC3C00">
          <w:rPr>
            <w:noProof/>
            <w:webHidden/>
          </w:rPr>
          <w:instrText xml:space="preserve"> PAGEREF _Toc201733986 \h </w:instrText>
        </w:r>
        <w:r w:rsidR="00FC3C00">
          <w:rPr>
            <w:noProof/>
            <w:webHidden/>
          </w:rPr>
        </w:r>
        <w:r w:rsidR="00FC3C00">
          <w:rPr>
            <w:noProof/>
            <w:webHidden/>
          </w:rPr>
          <w:fldChar w:fldCharType="separate"/>
        </w:r>
        <w:r w:rsidR="00FC3C00">
          <w:rPr>
            <w:noProof/>
            <w:webHidden/>
          </w:rPr>
          <w:t>11</w:t>
        </w:r>
        <w:r w:rsidR="00FC3C00">
          <w:rPr>
            <w:noProof/>
            <w:webHidden/>
          </w:rPr>
          <w:fldChar w:fldCharType="end"/>
        </w:r>
      </w:hyperlink>
    </w:p>
    <w:p w14:paraId="50B928AE" w14:textId="667470B2"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7" w:history="1">
        <w:r w:rsidR="00FC3C00" w:rsidRPr="00034E58">
          <w:rPr>
            <w:rStyle w:val="Lienhypertexte"/>
            <w:noProof/>
          </w:rPr>
          <w:t>8.3</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Suite à donner à la consultation</w:t>
        </w:r>
        <w:r w:rsidR="00FC3C00">
          <w:rPr>
            <w:noProof/>
            <w:webHidden/>
          </w:rPr>
          <w:tab/>
        </w:r>
        <w:r w:rsidR="00FC3C00">
          <w:rPr>
            <w:noProof/>
            <w:webHidden/>
          </w:rPr>
          <w:fldChar w:fldCharType="begin"/>
        </w:r>
        <w:r w:rsidR="00FC3C00">
          <w:rPr>
            <w:noProof/>
            <w:webHidden/>
          </w:rPr>
          <w:instrText xml:space="preserve"> PAGEREF _Toc201733987 \h </w:instrText>
        </w:r>
        <w:r w:rsidR="00FC3C00">
          <w:rPr>
            <w:noProof/>
            <w:webHidden/>
          </w:rPr>
        </w:r>
        <w:r w:rsidR="00FC3C00">
          <w:rPr>
            <w:noProof/>
            <w:webHidden/>
          </w:rPr>
          <w:fldChar w:fldCharType="separate"/>
        </w:r>
        <w:r w:rsidR="00FC3C00">
          <w:rPr>
            <w:noProof/>
            <w:webHidden/>
          </w:rPr>
          <w:t>12</w:t>
        </w:r>
        <w:r w:rsidR="00FC3C00">
          <w:rPr>
            <w:noProof/>
            <w:webHidden/>
          </w:rPr>
          <w:fldChar w:fldCharType="end"/>
        </w:r>
      </w:hyperlink>
    </w:p>
    <w:p w14:paraId="6A5A811C" w14:textId="0635950E"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88" w:history="1">
        <w:r w:rsidR="00FC3C00" w:rsidRPr="00034E58">
          <w:rPr>
            <w:rStyle w:val="Lienhypertexte"/>
            <w:noProof/>
          </w:rPr>
          <w:t>8.4</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Information des candidats non retenus</w:t>
        </w:r>
        <w:r w:rsidR="00FC3C00">
          <w:rPr>
            <w:noProof/>
            <w:webHidden/>
          </w:rPr>
          <w:tab/>
        </w:r>
        <w:r w:rsidR="00FC3C00">
          <w:rPr>
            <w:noProof/>
            <w:webHidden/>
          </w:rPr>
          <w:fldChar w:fldCharType="begin"/>
        </w:r>
        <w:r w:rsidR="00FC3C00">
          <w:rPr>
            <w:noProof/>
            <w:webHidden/>
          </w:rPr>
          <w:instrText xml:space="preserve"> PAGEREF _Toc201733988 \h </w:instrText>
        </w:r>
        <w:r w:rsidR="00FC3C00">
          <w:rPr>
            <w:noProof/>
            <w:webHidden/>
          </w:rPr>
        </w:r>
        <w:r w:rsidR="00FC3C00">
          <w:rPr>
            <w:noProof/>
            <w:webHidden/>
          </w:rPr>
          <w:fldChar w:fldCharType="separate"/>
        </w:r>
        <w:r w:rsidR="00FC3C00">
          <w:rPr>
            <w:noProof/>
            <w:webHidden/>
          </w:rPr>
          <w:t>13</w:t>
        </w:r>
        <w:r w:rsidR="00FC3C00">
          <w:rPr>
            <w:noProof/>
            <w:webHidden/>
          </w:rPr>
          <w:fldChar w:fldCharType="end"/>
        </w:r>
      </w:hyperlink>
    </w:p>
    <w:p w14:paraId="2D181093" w14:textId="708A2543" w:rsidR="00FC3C00" w:rsidRDefault="00F228C0">
      <w:pPr>
        <w:pStyle w:val="TM1"/>
        <w:tabs>
          <w:tab w:val="left" w:pos="440"/>
          <w:tab w:val="right" w:leader="underscore" w:pos="9750"/>
        </w:tabs>
        <w:rPr>
          <w:rFonts w:eastAsiaTheme="minorEastAsia" w:cstheme="minorBidi"/>
          <w:b w:val="0"/>
          <w:bCs w:val="0"/>
          <w:i w:val="0"/>
          <w:iCs w:val="0"/>
          <w:noProof/>
          <w:kern w:val="2"/>
          <w:lang w:eastAsia="zh-CN"/>
          <w14:ligatures w14:val="standardContextual"/>
        </w:rPr>
      </w:pPr>
      <w:hyperlink w:anchor="_Toc201733989" w:history="1">
        <w:r w:rsidR="00FC3C00" w:rsidRPr="00034E58">
          <w:rPr>
            <w:rStyle w:val="Lienhypertexte"/>
            <w:noProof/>
          </w:rPr>
          <w:t>9</w:t>
        </w:r>
        <w:r w:rsidR="00FC3C00">
          <w:rPr>
            <w:rFonts w:eastAsiaTheme="minorEastAsia" w:cstheme="minorBidi"/>
            <w:b w:val="0"/>
            <w:bCs w:val="0"/>
            <w:i w:val="0"/>
            <w:iCs w:val="0"/>
            <w:noProof/>
            <w:kern w:val="2"/>
            <w:lang w:eastAsia="zh-CN"/>
            <w14:ligatures w14:val="standardContextual"/>
          </w:rPr>
          <w:tab/>
        </w:r>
        <w:r w:rsidR="00FC3C00" w:rsidRPr="00034E58">
          <w:rPr>
            <w:rStyle w:val="Lienhypertexte"/>
            <w:noProof/>
          </w:rPr>
          <w:t>Renseignements complémentaires</w:t>
        </w:r>
        <w:r w:rsidR="00FC3C00">
          <w:rPr>
            <w:noProof/>
            <w:webHidden/>
          </w:rPr>
          <w:tab/>
        </w:r>
        <w:r w:rsidR="00FC3C00">
          <w:rPr>
            <w:noProof/>
            <w:webHidden/>
          </w:rPr>
          <w:fldChar w:fldCharType="begin"/>
        </w:r>
        <w:r w:rsidR="00FC3C00">
          <w:rPr>
            <w:noProof/>
            <w:webHidden/>
          </w:rPr>
          <w:instrText xml:space="preserve"> PAGEREF _Toc201733989 \h </w:instrText>
        </w:r>
        <w:r w:rsidR="00FC3C00">
          <w:rPr>
            <w:noProof/>
            <w:webHidden/>
          </w:rPr>
        </w:r>
        <w:r w:rsidR="00FC3C00">
          <w:rPr>
            <w:noProof/>
            <w:webHidden/>
          </w:rPr>
          <w:fldChar w:fldCharType="separate"/>
        </w:r>
        <w:r w:rsidR="00FC3C00">
          <w:rPr>
            <w:noProof/>
            <w:webHidden/>
          </w:rPr>
          <w:t>13</w:t>
        </w:r>
        <w:r w:rsidR="00FC3C00">
          <w:rPr>
            <w:noProof/>
            <w:webHidden/>
          </w:rPr>
          <w:fldChar w:fldCharType="end"/>
        </w:r>
      </w:hyperlink>
    </w:p>
    <w:p w14:paraId="0F40A57B" w14:textId="1644BA8C"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90" w:history="1">
        <w:r w:rsidR="00FC3C00" w:rsidRPr="00034E58">
          <w:rPr>
            <w:rStyle w:val="Lienhypertexte"/>
            <w:noProof/>
          </w:rPr>
          <w:t>9.1</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Adresses supplémentaires et points de contact</w:t>
        </w:r>
        <w:r w:rsidR="00FC3C00">
          <w:rPr>
            <w:noProof/>
            <w:webHidden/>
          </w:rPr>
          <w:tab/>
        </w:r>
        <w:r w:rsidR="00FC3C00">
          <w:rPr>
            <w:noProof/>
            <w:webHidden/>
          </w:rPr>
          <w:fldChar w:fldCharType="begin"/>
        </w:r>
        <w:r w:rsidR="00FC3C00">
          <w:rPr>
            <w:noProof/>
            <w:webHidden/>
          </w:rPr>
          <w:instrText xml:space="preserve"> PAGEREF _Toc201733990 \h </w:instrText>
        </w:r>
        <w:r w:rsidR="00FC3C00">
          <w:rPr>
            <w:noProof/>
            <w:webHidden/>
          </w:rPr>
        </w:r>
        <w:r w:rsidR="00FC3C00">
          <w:rPr>
            <w:noProof/>
            <w:webHidden/>
          </w:rPr>
          <w:fldChar w:fldCharType="separate"/>
        </w:r>
        <w:r w:rsidR="00FC3C00">
          <w:rPr>
            <w:noProof/>
            <w:webHidden/>
          </w:rPr>
          <w:t>13</w:t>
        </w:r>
        <w:r w:rsidR="00FC3C00">
          <w:rPr>
            <w:noProof/>
            <w:webHidden/>
          </w:rPr>
          <w:fldChar w:fldCharType="end"/>
        </w:r>
      </w:hyperlink>
    </w:p>
    <w:p w14:paraId="3E191D80" w14:textId="3D7B222A" w:rsidR="00FC3C00" w:rsidRDefault="00F228C0">
      <w:pPr>
        <w:pStyle w:val="TM2"/>
        <w:tabs>
          <w:tab w:val="left" w:pos="880"/>
          <w:tab w:val="right" w:leader="underscore" w:pos="9750"/>
        </w:tabs>
        <w:rPr>
          <w:rFonts w:eastAsiaTheme="minorEastAsia" w:cstheme="minorBidi"/>
          <w:b w:val="0"/>
          <w:bCs w:val="0"/>
          <w:noProof/>
          <w:kern w:val="2"/>
          <w:sz w:val="24"/>
          <w:szCs w:val="24"/>
          <w:lang w:eastAsia="zh-CN"/>
          <w14:ligatures w14:val="standardContextual"/>
        </w:rPr>
      </w:pPr>
      <w:hyperlink w:anchor="_Toc201733991" w:history="1">
        <w:r w:rsidR="00FC3C00" w:rsidRPr="00034E58">
          <w:rPr>
            <w:rStyle w:val="Lienhypertexte"/>
            <w:noProof/>
          </w:rPr>
          <w:t>9.2</w:t>
        </w:r>
        <w:r w:rsidR="00FC3C00">
          <w:rPr>
            <w:rFonts w:eastAsiaTheme="minorEastAsia" w:cstheme="minorBidi"/>
            <w:b w:val="0"/>
            <w:bCs w:val="0"/>
            <w:noProof/>
            <w:kern w:val="2"/>
            <w:sz w:val="24"/>
            <w:szCs w:val="24"/>
            <w:lang w:eastAsia="zh-CN"/>
            <w14:ligatures w14:val="standardContextual"/>
          </w:rPr>
          <w:tab/>
        </w:r>
        <w:r w:rsidR="00FC3C00" w:rsidRPr="00034E58">
          <w:rPr>
            <w:rStyle w:val="Lienhypertexte"/>
            <w:noProof/>
          </w:rPr>
          <w:t>Procédures de recours</w:t>
        </w:r>
        <w:r w:rsidR="00FC3C00">
          <w:rPr>
            <w:noProof/>
            <w:webHidden/>
          </w:rPr>
          <w:tab/>
        </w:r>
        <w:r w:rsidR="00FC3C00">
          <w:rPr>
            <w:noProof/>
            <w:webHidden/>
          </w:rPr>
          <w:fldChar w:fldCharType="begin"/>
        </w:r>
        <w:r w:rsidR="00FC3C00">
          <w:rPr>
            <w:noProof/>
            <w:webHidden/>
          </w:rPr>
          <w:instrText xml:space="preserve"> PAGEREF _Toc201733991 \h </w:instrText>
        </w:r>
        <w:r w:rsidR="00FC3C00">
          <w:rPr>
            <w:noProof/>
            <w:webHidden/>
          </w:rPr>
        </w:r>
        <w:r w:rsidR="00FC3C00">
          <w:rPr>
            <w:noProof/>
            <w:webHidden/>
          </w:rPr>
          <w:fldChar w:fldCharType="separate"/>
        </w:r>
        <w:r w:rsidR="00FC3C00">
          <w:rPr>
            <w:noProof/>
            <w:webHidden/>
          </w:rPr>
          <w:t>13</w:t>
        </w:r>
        <w:r w:rsidR="00FC3C00">
          <w:rPr>
            <w:noProof/>
            <w:webHidden/>
          </w:rPr>
          <w:fldChar w:fldCharType="end"/>
        </w:r>
      </w:hyperlink>
    </w:p>
    <w:p w14:paraId="6F202535" w14:textId="648D8BB8" w:rsidR="00CE40E4" w:rsidRPr="00D14C81" w:rsidRDefault="009449AA" w:rsidP="005345B2">
      <w:r>
        <w:fldChar w:fldCharType="end"/>
      </w:r>
    </w:p>
    <w:p w14:paraId="0AFBDFA1" w14:textId="3F405B30" w:rsidR="00CE40E4" w:rsidRPr="00D14C81" w:rsidRDefault="00CE40E4" w:rsidP="005345B2">
      <w:r w:rsidRPr="00D14C81">
        <w:br w:type="page"/>
      </w:r>
    </w:p>
    <w:p w14:paraId="22F720DF" w14:textId="77777777" w:rsidR="00CE40E4" w:rsidRPr="00D14C81" w:rsidRDefault="00CE40E4" w:rsidP="005345B2">
      <w:pPr>
        <w:sectPr w:rsidR="00CE40E4" w:rsidRPr="00D14C81">
          <w:footerReference w:type="default" r:id="rId15"/>
          <w:pgSz w:w="11909" w:h="16838"/>
          <w:pgMar w:top="1680" w:right="1074" w:bottom="219" w:left="1075" w:header="720" w:footer="720" w:gutter="0"/>
          <w:cols w:space="720"/>
        </w:sectPr>
      </w:pPr>
    </w:p>
    <w:p w14:paraId="1694BE35" w14:textId="3D43B907" w:rsidR="005345B2" w:rsidRPr="005345B2" w:rsidRDefault="005345B2" w:rsidP="00F7234B">
      <w:pPr>
        <w:pStyle w:val="Titre1"/>
      </w:pPr>
      <w:bookmarkStart w:id="2" w:name="_Toc256000000"/>
      <w:bookmarkStart w:id="3" w:name="_Toc201733960"/>
      <w:r w:rsidRPr="005345B2">
        <w:lastRenderedPageBreak/>
        <w:t>Objet et étendue de la consultation</w:t>
      </w:r>
      <w:bookmarkEnd w:id="2"/>
      <w:bookmarkEnd w:id="3"/>
    </w:p>
    <w:p w14:paraId="6351A568" w14:textId="79691F3C" w:rsidR="005345B2" w:rsidRPr="00F37642" w:rsidRDefault="005345B2" w:rsidP="00F7234B">
      <w:pPr>
        <w:pStyle w:val="Titre2"/>
      </w:pPr>
      <w:bookmarkStart w:id="4" w:name="_Toc256000001"/>
      <w:bookmarkStart w:id="5" w:name="_Toc201733961"/>
      <w:r w:rsidRPr="00F37642">
        <w:t>Objet</w:t>
      </w:r>
      <w:bookmarkEnd w:id="4"/>
      <w:bookmarkEnd w:id="5"/>
    </w:p>
    <w:p w14:paraId="4E4382C9" w14:textId="77777777" w:rsidR="005345B2" w:rsidRDefault="005345B2" w:rsidP="005345B2">
      <w:pPr>
        <w:pStyle w:val="ParagrapheIndent2"/>
      </w:pPr>
      <w:r>
        <w:t>La présente consultation concerne :</w:t>
      </w:r>
    </w:p>
    <w:p w14:paraId="09D4435A" w14:textId="77777777" w:rsidR="005345B2" w:rsidRDefault="005345B2" w:rsidP="005345B2"/>
    <w:p w14:paraId="183D522C" w14:textId="79A2ED2E" w:rsidR="005345B2" w:rsidRPr="005345B2" w:rsidRDefault="00231179" w:rsidP="005345B2">
      <w:r>
        <w:t xml:space="preserve">Marché comprenant </w:t>
      </w:r>
      <w:r w:rsidR="00CC4CF8">
        <w:t>une partie</w:t>
      </w:r>
      <w:r w:rsidR="005345B2" w:rsidRPr="005345B2">
        <w:t xml:space="preserve"> à bons de commandes de maintenance </w:t>
      </w:r>
      <w:r w:rsidR="00B71ECC">
        <w:t xml:space="preserve">des équipements de production, la maintenance et conduite des installations techniques et du </w:t>
      </w:r>
      <w:r w:rsidR="005345B2" w:rsidRPr="005345B2">
        <w:t>bâtiment de la blanchisserie du GCS « blanchisserie inter hospitalière du territoire du grand Clermont »</w:t>
      </w:r>
    </w:p>
    <w:p w14:paraId="560FCA6B" w14:textId="77777777" w:rsidR="00B71ECC" w:rsidRDefault="00B71ECC" w:rsidP="005345B2"/>
    <w:p w14:paraId="583E7202" w14:textId="7B60CEDC" w:rsidR="005345B2" w:rsidRDefault="005345B2" w:rsidP="005345B2">
      <w:r w:rsidRPr="005345B2">
        <w:t>Lieu(x) d'exécution :</w:t>
      </w:r>
    </w:p>
    <w:p w14:paraId="54E6EF07" w14:textId="77777777" w:rsidR="005345B2" w:rsidRDefault="005345B2" w:rsidP="005345B2"/>
    <w:p w14:paraId="77A37B2F" w14:textId="64E8BC9B" w:rsidR="005345B2" w:rsidRDefault="00B71ECC" w:rsidP="005345B2">
      <w:r w:rsidRPr="00B71ECC">
        <w:t xml:space="preserve">2 Rue de </w:t>
      </w:r>
      <w:proofErr w:type="spellStart"/>
      <w:r w:rsidRPr="00B71ECC">
        <w:t>Tombadoire</w:t>
      </w:r>
      <w:proofErr w:type="spellEnd"/>
      <w:r w:rsidRPr="00B71ECC">
        <w:t>, 63118 Cébazat</w:t>
      </w:r>
    </w:p>
    <w:p w14:paraId="519382E2" w14:textId="77777777" w:rsidR="005345B2" w:rsidRDefault="005345B2" w:rsidP="005345B2"/>
    <w:p w14:paraId="4000AB32" w14:textId="75729BE5" w:rsidR="00B71ECC" w:rsidRDefault="00B71ECC" w:rsidP="005345B2">
      <w:r w:rsidRPr="00B71ECC">
        <w:t xml:space="preserve">Cette consultation est lancée par le CHU </w:t>
      </w:r>
      <w:r w:rsidR="00A433AB">
        <w:t xml:space="preserve">de Clermont Ferrand </w:t>
      </w:r>
      <w:r w:rsidRPr="00B71ECC">
        <w:t xml:space="preserve">pour le compte du GCS et pour son propre compte en ce qui concerne la partie </w:t>
      </w:r>
      <w:proofErr w:type="spellStart"/>
      <w:r w:rsidRPr="00B71ECC">
        <w:t>bâtimentaire</w:t>
      </w:r>
      <w:proofErr w:type="spellEnd"/>
      <w:r>
        <w:t>.</w:t>
      </w:r>
    </w:p>
    <w:p w14:paraId="4885C736" w14:textId="77777777" w:rsidR="00B71ECC" w:rsidRDefault="00B71ECC" w:rsidP="005345B2"/>
    <w:p w14:paraId="44CA8D8A" w14:textId="12521935" w:rsidR="00F37642" w:rsidRPr="00F37642" w:rsidRDefault="00F37642" w:rsidP="00F7234B">
      <w:pPr>
        <w:pStyle w:val="Titre2"/>
      </w:pPr>
      <w:bookmarkStart w:id="6" w:name="_Toc256000002"/>
      <w:bookmarkStart w:id="7" w:name="_Toc201733962"/>
      <w:r w:rsidRPr="00F37642">
        <w:t>Mode de passation</w:t>
      </w:r>
      <w:bookmarkEnd w:id="6"/>
      <w:bookmarkEnd w:id="7"/>
    </w:p>
    <w:p w14:paraId="29A4CBFD" w14:textId="77777777" w:rsidR="00F37642" w:rsidRPr="00ED5309" w:rsidRDefault="00F37642" w:rsidP="00F37642">
      <w:pPr>
        <w:pStyle w:val="ParagrapheIndent2"/>
        <w:spacing w:after="240" w:line="253" w:lineRule="exact"/>
        <w:ind w:left="20" w:right="20"/>
        <w:jc w:val="both"/>
      </w:pPr>
      <w:r w:rsidRPr="00ED5309">
        <w:t>La procédure de passation utilisée est : l'appel d'offres ouvert. Elle est soumise aux dispositions des articles L. 2124-2, R. 2124-2 1° et R. 2161-2 à R. 2161-5 du Code de la commande publique.</w:t>
      </w:r>
    </w:p>
    <w:p w14:paraId="32326F1E" w14:textId="053DE6F1" w:rsidR="00F37642" w:rsidRPr="00F37642" w:rsidRDefault="00F37642" w:rsidP="00F7234B">
      <w:pPr>
        <w:pStyle w:val="Titre2"/>
      </w:pPr>
      <w:bookmarkStart w:id="8" w:name="_Toc256000003"/>
      <w:bookmarkStart w:id="9" w:name="_Toc201733963"/>
      <w:r w:rsidRPr="00F37642">
        <w:t>Type de contrat</w:t>
      </w:r>
      <w:bookmarkEnd w:id="8"/>
      <w:bookmarkEnd w:id="9"/>
    </w:p>
    <w:p w14:paraId="33217A50" w14:textId="65A184E2" w:rsidR="00ED5309" w:rsidRPr="00ED5309" w:rsidRDefault="00ED5309" w:rsidP="00ED5309">
      <w:pPr>
        <w:pStyle w:val="ParagrapheIndent2"/>
        <w:spacing w:line="253" w:lineRule="exact"/>
        <w:ind w:left="20" w:right="20"/>
        <w:jc w:val="both"/>
      </w:pPr>
      <w:r w:rsidRPr="00ED5309">
        <w:t>Le contrat est mixte. Il comporte une part forfaitaire et une part à bons de commande sans montant minimum et avec montant maximum, passé en application des articles L2125-1 1°, R. 2162-1 à R. 2162-6, R. 2162-13 et R. 2162-14 du Code de la commande publique. Elle donnera lieu à l'émission de bons de commande.</w:t>
      </w:r>
    </w:p>
    <w:p w14:paraId="73DF6875" w14:textId="77777777" w:rsidR="00ED5309" w:rsidRPr="00ED5309" w:rsidRDefault="00ED5309" w:rsidP="00ED5309"/>
    <w:p w14:paraId="1A5AAA64" w14:textId="758EE352" w:rsidR="00ED5309" w:rsidRPr="000E06A7" w:rsidRDefault="00ED5309" w:rsidP="00ED5309">
      <w:pPr>
        <w:rPr>
          <w:b/>
        </w:rPr>
      </w:pPr>
      <w:r w:rsidRPr="000E06A7">
        <w:rPr>
          <w:b/>
        </w:rPr>
        <w:t xml:space="preserve">Montant </w:t>
      </w:r>
      <w:r w:rsidR="000E06A7" w:rsidRPr="000E06A7">
        <w:rPr>
          <w:b/>
        </w:rPr>
        <w:t>estimatif et maximum pour la partie à bons de commande</w:t>
      </w:r>
      <w:r w:rsidR="004C40B5">
        <w:rPr>
          <w:b/>
        </w:rPr>
        <w:t xml:space="preserve"> qui débutera à compter du 26/02/2026.</w:t>
      </w:r>
    </w:p>
    <w:p w14:paraId="0938C2BE" w14:textId="77777777" w:rsidR="00ED5309" w:rsidRPr="00ED5309" w:rsidRDefault="00ED5309" w:rsidP="00ED5309"/>
    <w:tbl>
      <w:tblPr>
        <w:tblStyle w:val="Grilledutableau"/>
        <w:tblW w:w="0" w:type="auto"/>
        <w:tblLook w:val="04A0" w:firstRow="1" w:lastRow="0" w:firstColumn="1" w:lastColumn="0" w:noHBand="0" w:noVBand="1"/>
      </w:tblPr>
      <w:tblGrid>
        <w:gridCol w:w="2014"/>
        <w:gridCol w:w="2234"/>
        <w:gridCol w:w="2410"/>
        <w:gridCol w:w="2409"/>
      </w:tblGrid>
      <w:tr w:rsidR="000E06A7" w14:paraId="69E1B2CB" w14:textId="77777777" w:rsidTr="000E06A7">
        <w:tc>
          <w:tcPr>
            <w:tcW w:w="2014" w:type="dxa"/>
          </w:tcPr>
          <w:p w14:paraId="62A15BE9" w14:textId="57DA1BD2" w:rsidR="000E06A7" w:rsidRPr="000E06A7" w:rsidRDefault="000E06A7" w:rsidP="00ED5309">
            <w:pPr>
              <w:rPr>
                <w:b/>
              </w:rPr>
            </w:pPr>
            <w:r w:rsidRPr="000E06A7">
              <w:rPr>
                <w:b/>
              </w:rPr>
              <w:t>Années</w:t>
            </w:r>
          </w:p>
        </w:tc>
        <w:tc>
          <w:tcPr>
            <w:tcW w:w="2234" w:type="dxa"/>
          </w:tcPr>
          <w:p w14:paraId="634FDCFF" w14:textId="4BFD0BAC" w:rsidR="000E06A7" w:rsidRPr="000E06A7" w:rsidRDefault="000E06A7" w:rsidP="00ED5309">
            <w:pPr>
              <w:rPr>
                <w:b/>
              </w:rPr>
            </w:pPr>
            <w:r w:rsidRPr="000E06A7">
              <w:rPr>
                <w:b/>
              </w:rPr>
              <w:t>Montant estimatif annuel €HT</w:t>
            </w:r>
          </w:p>
        </w:tc>
        <w:tc>
          <w:tcPr>
            <w:tcW w:w="2410" w:type="dxa"/>
          </w:tcPr>
          <w:p w14:paraId="09DE1D4C" w14:textId="5132A02C" w:rsidR="000E06A7" w:rsidRPr="000E06A7" w:rsidRDefault="000E06A7" w:rsidP="000E06A7">
            <w:pPr>
              <w:rPr>
                <w:b/>
              </w:rPr>
            </w:pPr>
            <w:r w:rsidRPr="000E06A7">
              <w:rPr>
                <w:b/>
              </w:rPr>
              <w:t>Montant maximum annuel €HT</w:t>
            </w:r>
          </w:p>
        </w:tc>
        <w:tc>
          <w:tcPr>
            <w:tcW w:w="2409" w:type="dxa"/>
          </w:tcPr>
          <w:p w14:paraId="2916AD59" w14:textId="5F585740" w:rsidR="000E06A7" w:rsidRPr="000E06A7" w:rsidRDefault="000E06A7" w:rsidP="00ED5309">
            <w:pPr>
              <w:rPr>
                <w:b/>
              </w:rPr>
            </w:pPr>
            <w:r w:rsidRPr="000E06A7">
              <w:rPr>
                <w:b/>
              </w:rPr>
              <w:t>Montant des crédits budgétaires alloués</w:t>
            </w:r>
          </w:p>
        </w:tc>
      </w:tr>
      <w:tr w:rsidR="000E06A7" w14:paraId="74822E3C" w14:textId="77777777" w:rsidTr="000E06A7">
        <w:tc>
          <w:tcPr>
            <w:tcW w:w="2014" w:type="dxa"/>
          </w:tcPr>
          <w:p w14:paraId="1294FFEC" w14:textId="28E4A609" w:rsidR="000E06A7" w:rsidRDefault="000E06A7" w:rsidP="000E06A7">
            <w: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92AC2F8" w14:textId="68DF7551" w:rsidR="000E06A7" w:rsidRPr="000E06A7" w:rsidRDefault="000E06A7" w:rsidP="000E06A7">
            <w:r w:rsidRPr="000E06A7">
              <w:rPr>
                <w:bCs/>
              </w:rPr>
              <w:t>477 090</w:t>
            </w:r>
          </w:p>
        </w:tc>
        <w:tc>
          <w:tcPr>
            <w:tcW w:w="2410" w:type="dxa"/>
          </w:tcPr>
          <w:p w14:paraId="788693CF" w14:textId="49AA317A" w:rsidR="000E06A7" w:rsidRDefault="000E06A7" w:rsidP="000E06A7">
            <w:r>
              <w:t>1 000 000</w:t>
            </w:r>
          </w:p>
        </w:tc>
        <w:tc>
          <w:tcPr>
            <w:tcW w:w="2409" w:type="dxa"/>
          </w:tcPr>
          <w:p w14:paraId="5DE165CE" w14:textId="11E17CA5" w:rsidR="000E06A7" w:rsidRDefault="000E06A7" w:rsidP="000E06A7">
            <w:r>
              <w:t>1 000 000</w:t>
            </w:r>
          </w:p>
        </w:tc>
      </w:tr>
      <w:tr w:rsidR="000E06A7" w14:paraId="46D75F49" w14:textId="77777777" w:rsidTr="000E06A7">
        <w:tc>
          <w:tcPr>
            <w:tcW w:w="2014" w:type="dxa"/>
          </w:tcPr>
          <w:p w14:paraId="4134A9A9" w14:textId="57441AE6" w:rsidR="000E06A7" w:rsidRDefault="000E06A7" w:rsidP="000E06A7">
            <w:r>
              <w:t>2</w:t>
            </w:r>
          </w:p>
        </w:tc>
        <w:tc>
          <w:tcPr>
            <w:tcW w:w="2234" w:type="dxa"/>
            <w:tcBorders>
              <w:top w:val="nil"/>
              <w:left w:val="single" w:sz="4" w:space="0" w:color="auto"/>
              <w:bottom w:val="single" w:sz="4" w:space="0" w:color="auto"/>
              <w:right w:val="single" w:sz="4" w:space="0" w:color="auto"/>
            </w:tcBorders>
            <w:shd w:val="clear" w:color="auto" w:fill="auto"/>
            <w:vAlign w:val="center"/>
          </w:tcPr>
          <w:p w14:paraId="1C5D8799" w14:textId="5FA49B09" w:rsidR="000E06A7" w:rsidRPr="000E06A7" w:rsidRDefault="000E06A7" w:rsidP="000E06A7">
            <w:r w:rsidRPr="000E06A7">
              <w:rPr>
                <w:bCs/>
              </w:rPr>
              <w:t>477 090</w:t>
            </w:r>
          </w:p>
        </w:tc>
        <w:tc>
          <w:tcPr>
            <w:tcW w:w="2410" w:type="dxa"/>
          </w:tcPr>
          <w:p w14:paraId="4B27ABD5" w14:textId="53315A82" w:rsidR="000E06A7" w:rsidRDefault="000E06A7" w:rsidP="000E06A7">
            <w:r>
              <w:t>1 000 000</w:t>
            </w:r>
          </w:p>
        </w:tc>
        <w:tc>
          <w:tcPr>
            <w:tcW w:w="2409" w:type="dxa"/>
          </w:tcPr>
          <w:p w14:paraId="4BF7ED82" w14:textId="127785EF" w:rsidR="000E06A7" w:rsidRDefault="000E06A7" w:rsidP="000E06A7">
            <w:r>
              <w:t>1 000 000</w:t>
            </w:r>
          </w:p>
        </w:tc>
      </w:tr>
      <w:tr w:rsidR="000E06A7" w14:paraId="2E5EFBEC" w14:textId="77777777" w:rsidTr="000E06A7">
        <w:tc>
          <w:tcPr>
            <w:tcW w:w="2014" w:type="dxa"/>
          </w:tcPr>
          <w:p w14:paraId="4F6F49D6" w14:textId="0781AFFA" w:rsidR="000E06A7" w:rsidRDefault="000E06A7" w:rsidP="000E06A7">
            <w:r>
              <w:t>3</w:t>
            </w:r>
          </w:p>
        </w:tc>
        <w:tc>
          <w:tcPr>
            <w:tcW w:w="2234" w:type="dxa"/>
            <w:tcBorders>
              <w:top w:val="nil"/>
              <w:left w:val="single" w:sz="4" w:space="0" w:color="auto"/>
              <w:bottom w:val="single" w:sz="4" w:space="0" w:color="auto"/>
              <w:right w:val="single" w:sz="4" w:space="0" w:color="auto"/>
            </w:tcBorders>
            <w:shd w:val="clear" w:color="auto" w:fill="auto"/>
            <w:vAlign w:val="center"/>
          </w:tcPr>
          <w:p w14:paraId="7B7085A2" w14:textId="48DC96B7" w:rsidR="000E06A7" w:rsidRPr="000E06A7" w:rsidRDefault="000E06A7" w:rsidP="000E06A7">
            <w:r w:rsidRPr="000E06A7">
              <w:rPr>
                <w:bCs/>
              </w:rPr>
              <w:t>477 090</w:t>
            </w:r>
          </w:p>
        </w:tc>
        <w:tc>
          <w:tcPr>
            <w:tcW w:w="2410" w:type="dxa"/>
          </w:tcPr>
          <w:p w14:paraId="26C39176" w14:textId="02F1E4AA" w:rsidR="000E06A7" w:rsidRDefault="000E06A7" w:rsidP="000E06A7">
            <w:r>
              <w:t>1 000 000</w:t>
            </w:r>
          </w:p>
        </w:tc>
        <w:tc>
          <w:tcPr>
            <w:tcW w:w="2409" w:type="dxa"/>
          </w:tcPr>
          <w:p w14:paraId="37B02E37" w14:textId="0E59D9F3" w:rsidR="000E06A7" w:rsidRDefault="000E06A7" w:rsidP="000E06A7">
            <w:r>
              <w:t>1 000 000</w:t>
            </w:r>
          </w:p>
        </w:tc>
      </w:tr>
      <w:tr w:rsidR="000E06A7" w14:paraId="6A800C24" w14:textId="77777777" w:rsidTr="000E06A7">
        <w:tc>
          <w:tcPr>
            <w:tcW w:w="2014" w:type="dxa"/>
          </w:tcPr>
          <w:p w14:paraId="0CF35BF0" w14:textId="664974F4" w:rsidR="000E06A7" w:rsidRDefault="000E06A7" w:rsidP="000E06A7">
            <w:r>
              <w:t>4</w:t>
            </w:r>
          </w:p>
        </w:tc>
        <w:tc>
          <w:tcPr>
            <w:tcW w:w="2234" w:type="dxa"/>
            <w:tcBorders>
              <w:top w:val="nil"/>
              <w:left w:val="single" w:sz="4" w:space="0" w:color="auto"/>
              <w:bottom w:val="single" w:sz="4" w:space="0" w:color="auto"/>
              <w:right w:val="single" w:sz="4" w:space="0" w:color="auto"/>
            </w:tcBorders>
            <w:shd w:val="clear" w:color="auto" w:fill="auto"/>
            <w:vAlign w:val="center"/>
          </w:tcPr>
          <w:p w14:paraId="6F1AB970" w14:textId="518EBA47" w:rsidR="000E06A7" w:rsidRPr="000E06A7" w:rsidRDefault="000E06A7" w:rsidP="000E06A7">
            <w:r w:rsidRPr="000E06A7">
              <w:rPr>
                <w:bCs/>
              </w:rPr>
              <w:t>477 090</w:t>
            </w:r>
          </w:p>
        </w:tc>
        <w:tc>
          <w:tcPr>
            <w:tcW w:w="2410" w:type="dxa"/>
          </w:tcPr>
          <w:p w14:paraId="6F48E0D1" w14:textId="481204BD" w:rsidR="000E06A7" w:rsidRDefault="000E06A7" w:rsidP="000E06A7">
            <w:r>
              <w:t>1 000 000</w:t>
            </w:r>
          </w:p>
        </w:tc>
        <w:tc>
          <w:tcPr>
            <w:tcW w:w="2409" w:type="dxa"/>
          </w:tcPr>
          <w:p w14:paraId="59E597C1" w14:textId="280AF4A1" w:rsidR="000E06A7" w:rsidRDefault="000E06A7" w:rsidP="000E06A7">
            <w:r>
              <w:t>1 000 000</w:t>
            </w:r>
          </w:p>
        </w:tc>
      </w:tr>
      <w:tr w:rsidR="000E06A7" w14:paraId="7D985756" w14:textId="77777777" w:rsidTr="000E06A7">
        <w:tc>
          <w:tcPr>
            <w:tcW w:w="2014" w:type="dxa"/>
          </w:tcPr>
          <w:p w14:paraId="4D5EA0C3" w14:textId="6B167F24" w:rsidR="000E06A7" w:rsidRDefault="000E06A7" w:rsidP="000E06A7">
            <w:r>
              <w:t>5</w:t>
            </w:r>
          </w:p>
        </w:tc>
        <w:tc>
          <w:tcPr>
            <w:tcW w:w="2234" w:type="dxa"/>
            <w:tcBorders>
              <w:top w:val="nil"/>
              <w:left w:val="single" w:sz="4" w:space="0" w:color="auto"/>
              <w:bottom w:val="single" w:sz="4" w:space="0" w:color="auto"/>
              <w:right w:val="single" w:sz="4" w:space="0" w:color="auto"/>
            </w:tcBorders>
            <w:shd w:val="clear" w:color="auto" w:fill="auto"/>
            <w:vAlign w:val="center"/>
          </w:tcPr>
          <w:p w14:paraId="424A30F5" w14:textId="6B8D20CA" w:rsidR="000E06A7" w:rsidRPr="000E06A7" w:rsidRDefault="000E06A7" w:rsidP="000E06A7">
            <w:r w:rsidRPr="000E06A7">
              <w:rPr>
                <w:bCs/>
              </w:rPr>
              <w:t>477 090</w:t>
            </w:r>
          </w:p>
        </w:tc>
        <w:tc>
          <w:tcPr>
            <w:tcW w:w="2410" w:type="dxa"/>
          </w:tcPr>
          <w:p w14:paraId="3344F1DC" w14:textId="671E4BB6" w:rsidR="000E06A7" w:rsidRDefault="000E06A7" w:rsidP="000E06A7">
            <w:r>
              <w:t>1 000 000</w:t>
            </w:r>
          </w:p>
        </w:tc>
        <w:tc>
          <w:tcPr>
            <w:tcW w:w="2409" w:type="dxa"/>
          </w:tcPr>
          <w:p w14:paraId="76FF4A01" w14:textId="4757848D" w:rsidR="000E06A7" w:rsidRDefault="000E06A7" w:rsidP="000E06A7">
            <w:r>
              <w:t>1 000 000</w:t>
            </w:r>
          </w:p>
        </w:tc>
      </w:tr>
      <w:tr w:rsidR="000E06A7" w14:paraId="69F4FF37" w14:textId="77777777" w:rsidTr="000E06A7">
        <w:tc>
          <w:tcPr>
            <w:tcW w:w="2014" w:type="dxa"/>
          </w:tcPr>
          <w:p w14:paraId="585B851D" w14:textId="5A613C95" w:rsidR="000E06A7" w:rsidRDefault="000E06A7" w:rsidP="000E06A7">
            <w:r>
              <w:t>6</w:t>
            </w:r>
          </w:p>
        </w:tc>
        <w:tc>
          <w:tcPr>
            <w:tcW w:w="2234" w:type="dxa"/>
            <w:tcBorders>
              <w:top w:val="nil"/>
              <w:left w:val="single" w:sz="4" w:space="0" w:color="auto"/>
              <w:bottom w:val="single" w:sz="4" w:space="0" w:color="auto"/>
              <w:right w:val="single" w:sz="4" w:space="0" w:color="auto"/>
            </w:tcBorders>
            <w:shd w:val="clear" w:color="auto" w:fill="auto"/>
            <w:vAlign w:val="center"/>
          </w:tcPr>
          <w:p w14:paraId="4A0E8193" w14:textId="202FCDE9" w:rsidR="000E06A7" w:rsidRPr="000E06A7" w:rsidRDefault="000E06A7" w:rsidP="000E06A7">
            <w:r w:rsidRPr="000E06A7">
              <w:rPr>
                <w:bCs/>
              </w:rPr>
              <w:t>477 090</w:t>
            </w:r>
          </w:p>
        </w:tc>
        <w:tc>
          <w:tcPr>
            <w:tcW w:w="2410" w:type="dxa"/>
          </w:tcPr>
          <w:p w14:paraId="298DCEA7" w14:textId="1EA294AC" w:rsidR="000E06A7" w:rsidRDefault="000E06A7" w:rsidP="000E06A7">
            <w:r>
              <w:t>1 000 000</w:t>
            </w:r>
          </w:p>
        </w:tc>
        <w:tc>
          <w:tcPr>
            <w:tcW w:w="2409" w:type="dxa"/>
          </w:tcPr>
          <w:p w14:paraId="403DA5E0" w14:textId="0384FAAE" w:rsidR="000E06A7" w:rsidRDefault="000E06A7" w:rsidP="000E06A7">
            <w:r>
              <w:t>1 000 000</w:t>
            </w:r>
          </w:p>
        </w:tc>
      </w:tr>
      <w:tr w:rsidR="000E06A7" w14:paraId="7AC74543" w14:textId="77777777" w:rsidTr="000E06A7">
        <w:tc>
          <w:tcPr>
            <w:tcW w:w="2014" w:type="dxa"/>
          </w:tcPr>
          <w:p w14:paraId="76EFCF1F" w14:textId="77873F6F" w:rsidR="000E06A7" w:rsidRPr="000E06A7" w:rsidRDefault="000E06A7" w:rsidP="00ED5309">
            <w:pPr>
              <w:rPr>
                <w:b/>
              </w:rPr>
            </w:pPr>
            <w:r w:rsidRPr="000E06A7">
              <w:rPr>
                <w:b/>
              </w:rPr>
              <w:t>Totaux</w:t>
            </w:r>
          </w:p>
        </w:tc>
        <w:tc>
          <w:tcPr>
            <w:tcW w:w="2234" w:type="dxa"/>
          </w:tcPr>
          <w:p w14:paraId="68E9D8E9" w14:textId="721B8BC5" w:rsidR="000E06A7" w:rsidRPr="000E06A7" w:rsidRDefault="000E06A7" w:rsidP="00ED5309">
            <w:pPr>
              <w:rPr>
                <w:b/>
              </w:rPr>
            </w:pPr>
            <w:r w:rsidRPr="000E06A7">
              <w:rPr>
                <w:b/>
              </w:rPr>
              <w:t>2 862 540,00</w:t>
            </w:r>
          </w:p>
        </w:tc>
        <w:tc>
          <w:tcPr>
            <w:tcW w:w="2410" w:type="dxa"/>
          </w:tcPr>
          <w:p w14:paraId="6E335E33" w14:textId="7FDB02B3" w:rsidR="000E06A7" w:rsidRPr="000E06A7" w:rsidRDefault="000E06A7" w:rsidP="00ED5309">
            <w:pPr>
              <w:rPr>
                <w:b/>
              </w:rPr>
            </w:pPr>
            <w:r w:rsidRPr="000E06A7">
              <w:rPr>
                <w:b/>
              </w:rPr>
              <w:t>6 000 000</w:t>
            </w:r>
          </w:p>
        </w:tc>
        <w:tc>
          <w:tcPr>
            <w:tcW w:w="2409" w:type="dxa"/>
          </w:tcPr>
          <w:p w14:paraId="43B1B886" w14:textId="0650A2FD" w:rsidR="000E06A7" w:rsidRPr="000E06A7" w:rsidRDefault="000E06A7" w:rsidP="00ED5309">
            <w:pPr>
              <w:rPr>
                <w:b/>
              </w:rPr>
            </w:pPr>
            <w:r w:rsidRPr="000E06A7">
              <w:rPr>
                <w:b/>
              </w:rPr>
              <w:t>6 000 000</w:t>
            </w:r>
          </w:p>
        </w:tc>
      </w:tr>
    </w:tbl>
    <w:p w14:paraId="76FA3E98" w14:textId="6C1D7187" w:rsidR="00ED5309" w:rsidRDefault="00ED5309" w:rsidP="00ED5309"/>
    <w:p w14:paraId="6BD53821" w14:textId="7E00F3A6" w:rsidR="00F37642" w:rsidRDefault="00F37642" w:rsidP="00B77DBB">
      <w:pPr>
        <w:pStyle w:val="ParagrapheIndent2"/>
        <w:spacing w:after="240"/>
        <w:ind w:left="20" w:right="80"/>
        <w:jc w:val="both"/>
      </w:pPr>
      <w:r>
        <w:rPr>
          <w:color w:val="000000"/>
        </w:rPr>
        <w:t>L’accord-cadre sera attribué à un seul opérateur économique.</w:t>
      </w:r>
    </w:p>
    <w:p w14:paraId="5DCAECD2" w14:textId="546E1C1A" w:rsidR="00F37642" w:rsidRPr="00F37642" w:rsidRDefault="00F37642" w:rsidP="00F7234B">
      <w:pPr>
        <w:pStyle w:val="Titre2"/>
      </w:pPr>
      <w:bookmarkStart w:id="10" w:name="_Toc256000004"/>
      <w:bookmarkStart w:id="11" w:name="_Toc201733964"/>
      <w:r w:rsidRPr="00F37642">
        <w:t>Décomposition de la consultation</w:t>
      </w:r>
      <w:bookmarkEnd w:id="10"/>
      <w:bookmarkEnd w:id="11"/>
    </w:p>
    <w:p w14:paraId="7931F319" w14:textId="15A49DE8" w:rsidR="00E638DC" w:rsidRDefault="00E638DC" w:rsidP="005345B2">
      <w:r>
        <w:t xml:space="preserve">Le site comporte des installations techniques liées au </w:t>
      </w:r>
      <w:proofErr w:type="spellStart"/>
      <w:r>
        <w:t>process</w:t>
      </w:r>
      <w:proofErr w:type="spellEnd"/>
      <w:r>
        <w:t xml:space="preserve"> « blanchisserie », des ouvrages </w:t>
      </w:r>
      <w:proofErr w:type="spellStart"/>
      <w:r>
        <w:t>bâtimentaires</w:t>
      </w:r>
      <w:proofErr w:type="spellEnd"/>
      <w:r>
        <w:t xml:space="preserve"> et des ouvrages de VRD.</w:t>
      </w:r>
    </w:p>
    <w:p w14:paraId="31AD3377" w14:textId="77777777" w:rsidR="00E638DC" w:rsidRDefault="00E638DC" w:rsidP="005345B2"/>
    <w:p w14:paraId="74F87DB6" w14:textId="77777777" w:rsidR="00E638DC" w:rsidRDefault="00E638DC" w:rsidP="005345B2">
      <w:r>
        <w:t xml:space="preserve">Les ouvrages </w:t>
      </w:r>
      <w:proofErr w:type="spellStart"/>
      <w:r>
        <w:t>bâtimentaires</w:t>
      </w:r>
      <w:proofErr w:type="spellEnd"/>
      <w:r>
        <w:t xml:space="preserve"> et de VRD sont dédiés au fonctionnement des installations techniques de la blanchisserie. Ils ont été conçus pour faciliter les accès, optimiser le fonctionnement de la blanchisserie et disposer de locaux à l’usage unique du personnel de la blanchisserie.</w:t>
      </w:r>
    </w:p>
    <w:p w14:paraId="7093B98B" w14:textId="77777777" w:rsidR="00E638DC" w:rsidRDefault="00E638DC" w:rsidP="005345B2"/>
    <w:p w14:paraId="732B5137" w14:textId="5DEE0873" w:rsidR="00E638DC" w:rsidRDefault="00E638DC" w:rsidP="005345B2">
      <w:r>
        <w:t xml:space="preserve">Leur maintenance ne peut être dissociée du fonctionnement de la blanchisserie. Les amplitudes horaires, les plages d’intervention sont directement imposées par le fonctionnement de la blanchisserie et nécessite une coordination et </w:t>
      </w:r>
      <w:r w:rsidR="0078604B">
        <w:t xml:space="preserve">une </w:t>
      </w:r>
      <w:r>
        <w:t>disponibilité de tous les intervenants.</w:t>
      </w:r>
    </w:p>
    <w:p w14:paraId="75475789" w14:textId="77777777" w:rsidR="00E638DC" w:rsidRDefault="00E638DC" w:rsidP="00E638DC">
      <w:pPr>
        <w:pStyle w:val="ParagrapheIndent2"/>
        <w:spacing w:line="253" w:lineRule="exact"/>
        <w:ind w:left="20" w:right="80"/>
        <w:jc w:val="both"/>
        <w:rPr>
          <w:color w:val="000000"/>
        </w:rPr>
      </w:pPr>
    </w:p>
    <w:p w14:paraId="0A8E717E" w14:textId="6E4201AE" w:rsidR="00E638DC" w:rsidRDefault="00E638DC" w:rsidP="00E638DC">
      <w:pPr>
        <w:pStyle w:val="ParagrapheIndent2"/>
        <w:spacing w:line="253" w:lineRule="exact"/>
        <w:ind w:left="20" w:right="80"/>
        <w:jc w:val="both"/>
        <w:rPr>
          <w:color w:val="000000"/>
        </w:rPr>
      </w:pPr>
      <w:r>
        <w:rPr>
          <w:color w:val="000000"/>
        </w:rPr>
        <w:t>Les prestations ne sont pas divisées en lot.</w:t>
      </w:r>
    </w:p>
    <w:p w14:paraId="05738CE2" w14:textId="16572B5E" w:rsidR="00521EA3" w:rsidRDefault="00521EA3">
      <w:r>
        <w:br w:type="page"/>
      </w:r>
    </w:p>
    <w:p w14:paraId="29277C08" w14:textId="77777777" w:rsidR="00F37642" w:rsidRDefault="00F37642" w:rsidP="005345B2"/>
    <w:p w14:paraId="5787703A" w14:textId="43ECA657" w:rsidR="00F37642" w:rsidRDefault="009F388B" w:rsidP="00F7234B">
      <w:pPr>
        <w:pStyle w:val="Titre2"/>
      </w:pPr>
      <w:bookmarkStart w:id="12" w:name="_Toc201733965"/>
      <w:r w:rsidRPr="009F388B">
        <w:t>Nomenclature</w:t>
      </w:r>
      <w:bookmarkEnd w:id="12"/>
    </w:p>
    <w:p w14:paraId="49EE1A78" w14:textId="3E4CA7EF" w:rsidR="004B17FE" w:rsidRPr="005C4DBC" w:rsidRDefault="009F388B" w:rsidP="005345B2">
      <w:r w:rsidRPr="009F388B">
        <w:t>La classification conforme au vocabulaire commun des marchés européens (CPV) est :</w:t>
      </w:r>
    </w:p>
    <w:p w14:paraId="517AEAC8" w14:textId="77777777" w:rsidR="004B17FE" w:rsidRPr="00D14C81" w:rsidRDefault="004B17FE" w:rsidP="005345B2"/>
    <w:tbl>
      <w:tblPr>
        <w:tblW w:w="0" w:type="auto"/>
        <w:tblInd w:w="779" w:type="dxa"/>
        <w:tblLayout w:type="fixed"/>
        <w:tblCellMar>
          <w:left w:w="0" w:type="dxa"/>
          <w:right w:w="0" w:type="dxa"/>
        </w:tblCellMar>
        <w:tblLook w:val="0000" w:firstRow="0" w:lastRow="0" w:firstColumn="0" w:lastColumn="0" w:noHBand="0" w:noVBand="0"/>
      </w:tblPr>
      <w:tblGrid>
        <w:gridCol w:w="1992"/>
        <w:gridCol w:w="7004"/>
      </w:tblGrid>
      <w:tr w:rsidR="005631D2" w:rsidRPr="005631D2" w14:paraId="1AA91A07" w14:textId="77777777" w:rsidTr="005119D1">
        <w:trPr>
          <w:trHeight w:hRule="exact" w:val="508"/>
        </w:trPr>
        <w:tc>
          <w:tcPr>
            <w:tcW w:w="1992" w:type="dxa"/>
            <w:tcBorders>
              <w:top w:val="single" w:sz="5" w:space="0" w:color="000000"/>
              <w:left w:val="single" w:sz="5" w:space="0" w:color="000000"/>
              <w:bottom w:val="single" w:sz="5" w:space="0" w:color="000000"/>
              <w:right w:val="single" w:sz="5" w:space="0" w:color="000000"/>
            </w:tcBorders>
          </w:tcPr>
          <w:p w14:paraId="32628BEA" w14:textId="719222BF" w:rsidR="005631D2" w:rsidRPr="005631D2" w:rsidRDefault="005631D2" w:rsidP="004B17FE">
            <w:pPr>
              <w:pStyle w:val="Sansinterligne"/>
              <w:rPr>
                <w:rFonts w:ascii="Arial" w:eastAsia="Verdana" w:hAnsi="Arial" w:cs="Arial"/>
                <w:color w:val="000000"/>
                <w:lang w:val="fr-FR"/>
              </w:rPr>
            </w:pPr>
            <w:r w:rsidRPr="005631D2">
              <w:rPr>
                <w:rFonts w:ascii="Arial" w:hAnsi="Arial" w:cs="Arial"/>
                <w:color w:val="000000"/>
                <w:lang w:val="fr-FR"/>
              </w:rPr>
              <w:t>50530000</w:t>
            </w:r>
          </w:p>
        </w:tc>
        <w:tc>
          <w:tcPr>
            <w:tcW w:w="7004" w:type="dxa"/>
            <w:tcBorders>
              <w:top w:val="single" w:sz="5" w:space="0" w:color="000000"/>
              <w:left w:val="single" w:sz="5" w:space="0" w:color="000000"/>
              <w:bottom w:val="single" w:sz="5" w:space="0" w:color="000000"/>
              <w:right w:val="single" w:sz="5" w:space="0" w:color="000000"/>
            </w:tcBorders>
          </w:tcPr>
          <w:p w14:paraId="099E582B" w14:textId="13E99EF9" w:rsidR="005631D2" w:rsidRPr="005631D2" w:rsidRDefault="005631D2" w:rsidP="004B17FE">
            <w:pPr>
              <w:pStyle w:val="Sansinterligne"/>
              <w:rPr>
                <w:rFonts w:ascii="Arial" w:eastAsia="Verdana" w:hAnsi="Arial" w:cs="Arial"/>
                <w:color w:val="000000"/>
                <w:lang w:val="fr-FR"/>
              </w:rPr>
            </w:pPr>
            <w:r w:rsidRPr="005631D2">
              <w:rPr>
                <w:rFonts w:ascii="Arial" w:hAnsi="Arial" w:cs="Arial"/>
                <w:color w:val="000000"/>
                <w:lang w:val="fr-FR"/>
              </w:rPr>
              <w:t>Services de réparation et d'entretien de machines</w:t>
            </w:r>
          </w:p>
        </w:tc>
      </w:tr>
      <w:tr w:rsidR="00C65848" w:rsidRPr="005631D2" w14:paraId="0AFBDFEA" w14:textId="77777777" w:rsidTr="005119D1">
        <w:trPr>
          <w:trHeight w:hRule="exact" w:val="508"/>
        </w:trPr>
        <w:tc>
          <w:tcPr>
            <w:tcW w:w="1992" w:type="dxa"/>
            <w:tcBorders>
              <w:top w:val="single" w:sz="5" w:space="0" w:color="000000"/>
              <w:left w:val="single" w:sz="5" w:space="0" w:color="000000"/>
              <w:bottom w:val="single" w:sz="5" w:space="0" w:color="000000"/>
              <w:right w:val="single" w:sz="5" w:space="0" w:color="000000"/>
            </w:tcBorders>
          </w:tcPr>
          <w:p w14:paraId="0AFBDFE8" w14:textId="77777777" w:rsidR="00C65848" w:rsidRPr="005631D2" w:rsidRDefault="00C65848" w:rsidP="004B17FE">
            <w:pPr>
              <w:pStyle w:val="Sansinterligne"/>
              <w:rPr>
                <w:rFonts w:ascii="Arial" w:eastAsia="Verdana" w:hAnsi="Arial" w:cs="Arial"/>
                <w:color w:val="000000"/>
                <w:lang w:val="fr-FR"/>
              </w:rPr>
            </w:pPr>
            <w:r w:rsidRPr="005631D2">
              <w:rPr>
                <w:rFonts w:ascii="Arial" w:eastAsia="Verdana" w:hAnsi="Arial" w:cs="Arial"/>
                <w:color w:val="000000"/>
                <w:lang w:val="fr-FR"/>
              </w:rPr>
              <w:t>50532000-3</w:t>
            </w:r>
          </w:p>
        </w:tc>
        <w:tc>
          <w:tcPr>
            <w:tcW w:w="7004" w:type="dxa"/>
            <w:tcBorders>
              <w:top w:val="single" w:sz="5" w:space="0" w:color="000000"/>
              <w:left w:val="single" w:sz="5" w:space="0" w:color="000000"/>
              <w:bottom w:val="single" w:sz="5" w:space="0" w:color="000000"/>
              <w:right w:val="single" w:sz="5" w:space="0" w:color="000000"/>
            </w:tcBorders>
          </w:tcPr>
          <w:p w14:paraId="0AFBDFE9" w14:textId="0C688879" w:rsidR="00C65848" w:rsidRPr="005631D2" w:rsidRDefault="00C65848" w:rsidP="004B17FE">
            <w:pPr>
              <w:pStyle w:val="Sansinterligne"/>
              <w:rPr>
                <w:rFonts w:ascii="Arial" w:eastAsia="Verdana" w:hAnsi="Arial" w:cs="Arial"/>
                <w:color w:val="000000"/>
                <w:lang w:val="fr-FR"/>
              </w:rPr>
            </w:pPr>
            <w:r w:rsidRPr="005631D2">
              <w:rPr>
                <w:rFonts w:ascii="Arial" w:eastAsia="Verdana" w:hAnsi="Arial" w:cs="Arial"/>
                <w:color w:val="000000"/>
                <w:lang w:val="fr-FR"/>
              </w:rPr>
              <w:t>Services de réparation et d’entretien de machines et d’appareils électriques et de matériel connexe</w:t>
            </w:r>
          </w:p>
        </w:tc>
      </w:tr>
      <w:tr w:rsidR="005631D2" w:rsidRPr="005119D1" w14:paraId="25DD98D5" w14:textId="77777777" w:rsidTr="000E06A7">
        <w:trPr>
          <w:trHeight w:hRule="exact" w:val="288"/>
        </w:trPr>
        <w:tc>
          <w:tcPr>
            <w:tcW w:w="1992" w:type="dxa"/>
            <w:tcBorders>
              <w:top w:val="single" w:sz="5" w:space="0" w:color="000000"/>
              <w:left w:val="single" w:sz="5" w:space="0" w:color="000000"/>
              <w:bottom w:val="single" w:sz="5" w:space="0" w:color="000000"/>
              <w:right w:val="single" w:sz="5" w:space="0" w:color="000000"/>
            </w:tcBorders>
            <w:shd w:val="clear" w:color="auto" w:fill="auto"/>
          </w:tcPr>
          <w:p w14:paraId="74CBC829" w14:textId="77777777" w:rsidR="005119D1" w:rsidRPr="005119D1" w:rsidRDefault="005119D1" w:rsidP="000E06A7">
            <w:pPr>
              <w:pStyle w:val="Sansinterligne"/>
              <w:rPr>
                <w:rFonts w:ascii="Arial" w:eastAsia="Tahoma" w:hAnsi="Arial" w:cs="Arial"/>
                <w:color w:val="000000"/>
                <w:lang w:val="fr-FR"/>
              </w:rPr>
            </w:pPr>
            <w:r w:rsidRPr="005119D1">
              <w:rPr>
                <w:rFonts w:ascii="Arial" w:eastAsia="Tahoma" w:hAnsi="Arial" w:cs="Arial"/>
                <w:color w:val="000000"/>
                <w:lang w:val="fr-FR"/>
              </w:rPr>
              <w:t>50700000-2</w:t>
            </w:r>
          </w:p>
        </w:tc>
        <w:tc>
          <w:tcPr>
            <w:tcW w:w="7004" w:type="dxa"/>
            <w:tcBorders>
              <w:top w:val="single" w:sz="5" w:space="0" w:color="000000"/>
              <w:left w:val="single" w:sz="5" w:space="0" w:color="000000"/>
              <w:bottom w:val="single" w:sz="5" w:space="0" w:color="000000"/>
              <w:right w:val="single" w:sz="5" w:space="0" w:color="000000"/>
            </w:tcBorders>
            <w:shd w:val="clear" w:color="auto" w:fill="auto"/>
          </w:tcPr>
          <w:p w14:paraId="48CAC468" w14:textId="77777777" w:rsidR="005119D1" w:rsidRPr="005119D1" w:rsidRDefault="005119D1" w:rsidP="000E06A7">
            <w:pPr>
              <w:pStyle w:val="Sansinterligne"/>
              <w:rPr>
                <w:rFonts w:ascii="Arial" w:eastAsia="Tahoma" w:hAnsi="Arial" w:cs="Arial"/>
                <w:color w:val="000000"/>
                <w:lang w:val="fr-FR"/>
              </w:rPr>
            </w:pPr>
            <w:r w:rsidRPr="005119D1">
              <w:rPr>
                <w:rFonts w:ascii="Arial" w:eastAsia="Tahoma" w:hAnsi="Arial" w:cs="Arial"/>
                <w:color w:val="000000"/>
                <w:lang w:val="fr-FR"/>
              </w:rPr>
              <w:t>Services de réparation et d'entretien d'installations de bâtiments</w:t>
            </w:r>
          </w:p>
        </w:tc>
      </w:tr>
      <w:tr w:rsidR="005631D2" w:rsidRPr="005119D1" w14:paraId="2A7365F9" w14:textId="77777777" w:rsidTr="000E06A7">
        <w:trPr>
          <w:trHeight w:hRule="exact" w:val="288"/>
        </w:trPr>
        <w:tc>
          <w:tcPr>
            <w:tcW w:w="1992" w:type="dxa"/>
            <w:tcBorders>
              <w:top w:val="single" w:sz="5" w:space="0" w:color="000000"/>
              <w:left w:val="single" w:sz="5" w:space="0" w:color="000000"/>
              <w:bottom w:val="single" w:sz="5" w:space="0" w:color="000000"/>
              <w:right w:val="single" w:sz="5" w:space="0" w:color="000000"/>
            </w:tcBorders>
            <w:shd w:val="clear" w:color="auto" w:fill="auto"/>
          </w:tcPr>
          <w:p w14:paraId="35168C18" w14:textId="77777777" w:rsidR="005631D2" w:rsidRPr="005119D1" w:rsidRDefault="005631D2" w:rsidP="000E06A7">
            <w:pPr>
              <w:pStyle w:val="Sansinterligne"/>
              <w:rPr>
                <w:rFonts w:ascii="Arial" w:eastAsia="Tahoma" w:hAnsi="Arial" w:cs="Arial"/>
                <w:color w:val="000000"/>
                <w:lang w:val="fr-FR"/>
              </w:rPr>
            </w:pPr>
            <w:r w:rsidRPr="005119D1">
              <w:rPr>
                <w:rFonts w:ascii="Arial" w:eastAsia="Tahoma" w:hAnsi="Arial" w:cs="Arial"/>
                <w:color w:val="000000"/>
                <w:lang w:val="fr-FR"/>
              </w:rPr>
              <w:t>50711000-2</w:t>
            </w:r>
          </w:p>
        </w:tc>
        <w:tc>
          <w:tcPr>
            <w:tcW w:w="7004" w:type="dxa"/>
            <w:tcBorders>
              <w:top w:val="single" w:sz="5" w:space="0" w:color="000000"/>
              <w:left w:val="single" w:sz="5" w:space="0" w:color="000000"/>
              <w:bottom w:val="single" w:sz="5" w:space="0" w:color="000000"/>
              <w:right w:val="single" w:sz="5" w:space="0" w:color="000000"/>
            </w:tcBorders>
            <w:shd w:val="clear" w:color="auto" w:fill="auto"/>
          </w:tcPr>
          <w:p w14:paraId="3D0957A0" w14:textId="77777777" w:rsidR="005631D2" w:rsidRPr="005119D1" w:rsidRDefault="005631D2" w:rsidP="000E06A7">
            <w:pPr>
              <w:pStyle w:val="Sansinterligne"/>
              <w:rPr>
                <w:rFonts w:ascii="Arial" w:eastAsia="Tahoma" w:hAnsi="Arial" w:cs="Arial"/>
                <w:color w:val="000000"/>
                <w:lang w:val="fr-FR"/>
              </w:rPr>
            </w:pPr>
            <w:r w:rsidRPr="005119D1">
              <w:rPr>
                <w:rFonts w:ascii="Arial" w:eastAsia="Tahoma" w:hAnsi="Arial" w:cs="Arial"/>
                <w:color w:val="000000"/>
                <w:lang w:val="fr-FR"/>
              </w:rPr>
              <w:t>Services de réparation et d'entretien d'installations électriques de bâtiment</w:t>
            </w:r>
          </w:p>
        </w:tc>
      </w:tr>
      <w:tr w:rsidR="005119D1" w:rsidRPr="005119D1" w14:paraId="6022ACFE" w14:textId="77777777" w:rsidTr="000E06A7">
        <w:trPr>
          <w:trHeight w:hRule="exact" w:val="288"/>
        </w:trPr>
        <w:tc>
          <w:tcPr>
            <w:tcW w:w="1992" w:type="dxa"/>
            <w:tcBorders>
              <w:top w:val="single" w:sz="5" w:space="0" w:color="000000"/>
              <w:left w:val="single" w:sz="5" w:space="0" w:color="000000"/>
              <w:bottom w:val="single" w:sz="5" w:space="0" w:color="000000"/>
              <w:right w:val="single" w:sz="5" w:space="0" w:color="000000"/>
            </w:tcBorders>
            <w:shd w:val="clear" w:color="auto" w:fill="auto"/>
          </w:tcPr>
          <w:p w14:paraId="40DA5D5A" w14:textId="77777777" w:rsidR="005119D1" w:rsidRPr="005119D1" w:rsidRDefault="005119D1" w:rsidP="000E06A7">
            <w:pPr>
              <w:pStyle w:val="Sansinterligne"/>
              <w:rPr>
                <w:rFonts w:ascii="Arial" w:eastAsia="Tahoma" w:hAnsi="Arial" w:cs="Arial"/>
                <w:color w:val="000000"/>
                <w:lang w:val="fr-FR"/>
              </w:rPr>
            </w:pPr>
            <w:r w:rsidRPr="005119D1">
              <w:rPr>
                <w:rFonts w:ascii="Arial" w:eastAsia="Tahoma" w:hAnsi="Arial" w:cs="Arial"/>
                <w:color w:val="000000"/>
                <w:lang w:val="fr-FR"/>
              </w:rPr>
              <w:t>50710000-5</w:t>
            </w:r>
          </w:p>
        </w:tc>
        <w:tc>
          <w:tcPr>
            <w:tcW w:w="7004" w:type="dxa"/>
            <w:tcBorders>
              <w:top w:val="single" w:sz="5" w:space="0" w:color="000000"/>
              <w:left w:val="single" w:sz="5" w:space="0" w:color="000000"/>
              <w:bottom w:val="single" w:sz="5" w:space="0" w:color="000000"/>
              <w:right w:val="single" w:sz="5" w:space="0" w:color="000000"/>
            </w:tcBorders>
            <w:shd w:val="clear" w:color="auto" w:fill="auto"/>
          </w:tcPr>
          <w:p w14:paraId="143C15F2" w14:textId="77777777" w:rsidR="005119D1" w:rsidRPr="005119D1" w:rsidRDefault="005119D1" w:rsidP="000E06A7">
            <w:pPr>
              <w:pStyle w:val="Sansinterligne"/>
              <w:rPr>
                <w:rFonts w:ascii="Arial" w:eastAsia="Tahoma" w:hAnsi="Arial" w:cs="Arial"/>
                <w:color w:val="000000"/>
                <w:lang w:val="fr-FR"/>
              </w:rPr>
            </w:pPr>
            <w:r w:rsidRPr="005119D1">
              <w:rPr>
                <w:rFonts w:ascii="Arial" w:eastAsia="Tahoma" w:hAnsi="Arial" w:cs="Arial"/>
                <w:color w:val="000000"/>
                <w:lang w:val="fr-FR"/>
              </w:rPr>
              <w:t>Services de réparation et d'entretien d'installations électriques et mécaniques de bâtiment</w:t>
            </w:r>
          </w:p>
        </w:tc>
      </w:tr>
      <w:tr w:rsidR="005631D2" w:rsidRPr="005119D1" w14:paraId="2B1E30EA" w14:textId="77777777" w:rsidTr="000E06A7">
        <w:trPr>
          <w:trHeight w:hRule="exact" w:val="288"/>
        </w:trPr>
        <w:tc>
          <w:tcPr>
            <w:tcW w:w="1992" w:type="dxa"/>
            <w:tcBorders>
              <w:top w:val="single" w:sz="5" w:space="0" w:color="000000"/>
              <w:left w:val="single" w:sz="5" w:space="0" w:color="000000"/>
              <w:bottom w:val="single" w:sz="5" w:space="0" w:color="000000"/>
              <w:right w:val="single" w:sz="5" w:space="0" w:color="000000"/>
            </w:tcBorders>
            <w:shd w:val="clear" w:color="auto" w:fill="auto"/>
          </w:tcPr>
          <w:p w14:paraId="5F6F2520" w14:textId="77777777" w:rsidR="005631D2" w:rsidRPr="005119D1" w:rsidRDefault="005631D2" w:rsidP="000E06A7">
            <w:pPr>
              <w:pStyle w:val="Sansinterligne"/>
              <w:rPr>
                <w:rFonts w:ascii="Arial" w:eastAsia="Tahoma" w:hAnsi="Arial" w:cs="Arial"/>
                <w:color w:val="000000"/>
                <w:lang w:val="fr-FR"/>
              </w:rPr>
            </w:pPr>
            <w:r w:rsidRPr="005119D1">
              <w:rPr>
                <w:rFonts w:ascii="Arial" w:eastAsia="Tahoma" w:hAnsi="Arial" w:cs="Arial"/>
                <w:color w:val="000000"/>
                <w:lang w:val="fr-FR"/>
              </w:rPr>
              <w:t>50720000-8</w:t>
            </w:r>
          </w:p>
        </w:tc>
        <w:tc>
          <w:tcPr>
            <w:tcW w:w="7004" w:type="dxa"/>
            <w:tcBorders>
              <w:top w:val="single" w:sz="5" w:space="0" w:color="000000"/>
              <w:left w:val="single" w:sz="5" w:space="0" w:color="000000"/>
              <w:bottom w:val="single" w:sz="5" w:space="0" w:color="000000"/>
              <w:right w:val="single" w:sz="5" w:space="0" w:color="000000"/>
            </w:tcBorders>
            <w:shd w:val="clear" w:color="auto" w:fill="auto"/>
          </w:tcPr>
          <w:p w14:paraId="45F03496" w14:textId="77777777" w:rsidR="005631D2" w:rsidRPr="005119D1" w:rsidRDefault="005631D2" w:rsidP="000E06A7">
            <w:pPr>
              <w:pStyle w:val="Sansinterligne"/>
              <w:rPr>
                <w:rFonts w:ascii="Arial" w:eastAsia="Tahoma" w:hAnsi="Arial" w:cs="Arial"/>
                <w:color w:val="000000"/>
                <w:lang w:val="fr-FR"/>
              </w:rPr>
            </w:pPr>
            <w:r w:rsidRPr="005119D1">
              <w:rPr>
                <w:rFonts w:ascii="Arial" w:eastAsia="Tahoma" w:hAnsi="Arial" w:cs="Arial"/>
                <w:color w:val="000000"/>
                <w:lang w:val="fr-FR"/>
              </w:rPr>
              <w:t>Services de réparation et d'entretien de chauffage central</w:t>
            </w:r>
          </w:p>
        </w:tc>
      </w:tr>
      <w:tr w:rsidR="005119D1" w:rsidRPr="005119D1" w14:paraId="34403F72" w14:textId="77777777" w:rsidTr="000E06A7">
        <w:trPr>
          <w:trHeight w:hRule="exact" w:val="288"/>
        </w:trPr>
        <w:tc>
          <w:tcPr>
            <w:tcW w:w="1992" w:type="dxa"/>
            <w:tcBorders>
              <w:top w:val="single" w:sz="5" w:space="0" w:color="000000"/>
              <w:left w:val="single" w:sz="5" w:space="0" w:color="000000"/>
              <w:bottom w:val="single" w:sz="5" w:space="0" w:color="000000"/>
              <w:right w:val="single" w:sz="5" w:space="0" w:color="000000"/>
            </w:tcBorders>
            <w:shd w:val="clear" w:color="auto" w:fill="auto"/>
          </w:tcPr>
          <w:p w14:paraId="121246B1" w14:textId="77777777" w:rsidR="005119D1" w:rsidRPr="005119D1" w:rsidRDefault="005119D1" w:rsidP="000E06A7">
            <w:pPr>
              <w:pStyle w:val="Sansinterligne"/>
              <w:rPr>
                <w:rFonts w:ascii="Arial" w:eastAsia="Tahoma" w:hAnsi="Arial" w:cs="Arial"/>
                <w:color w:val="000000"/>
                <w:lang w:val="fr-FR"/>
              </w:rPr>
            </w:pPr>
            <w:r w:rsidRPr="005119D1">
              <w:rPr>
                <w:rFonts w:ascii="Arial" w:eastAsia="Tahoma" w:hAnsi="Arial" w:cs="Arial"/>
                <w:color w:val="000000"/>
                <w:lang w:val="fr-FR"/>
              </w:rPr>
              <w:t>50730000-1</w:t>
            </w:r>
          </w:p>
        </w:tc>
        <w:tc>
          <w:tcPr>
            <w:tcW w:w="7004" w:type="dxa"/>
            <w:tcBorders>
              <w:top w:val="single" w:sz="5" w:space="0" w:color="000000"/>
              <w:left w:val="single" w:sz="5" w:space="0" w:color="000000"/>
              <w:bottom w:val="single" w:sz="5" w:space="0" w:color="000000"/>
              <w:right w:val="single" w:sz="5" w:space="0" w:color="000000"/>
            </w:tcBorders>
            <w:shd w:val="clear" w:color="auto" w:fill="auto"/>
          </w:tcPr>
          <w:p w14:paraId="622EB0C4" w14:textId="77777777" w:rsidR="005119D1" w:rsidRPr="005119D1" w:rsidRDefault="005119D1" w:rsidP="000E06A7">
            <w:pPr>
              <w:pStyle w:val="Sansinterligne"/>
              <w:rPr>
                <w:rFonts w:ascii="Arial" w:eastAsia="Tahoma" w:hAnsi="Arial" w:cs="Arial"/>
                <w:color w:val="000000"/>
                <w:lang w:val="fr-FR"/>
              </w:rPr>
            </w:pPr>
            <w:r w:rsidRPr="005119D1">
              <w:rPr>
                <w:rFonts w:ascii="Arial" w:eastAsia="Tahoma" w:hAnsi="Arial" w:cs="Arial"/>
                <w:color w:val="000000"/>
                <w:lang w:val="fr-FR"/>
              </w:rPr>
              <w:t>Services de réparation et d'entretien de groupes de réfrigération</w:t>
            </w:r>
          </w:p>
        </w:tc>
      </w:tr>
    </w:tbl>
    <w:p w14:paraId="4C476813" w14:textId="77777777" w:rsidR="005119D1" w:rsidRDefault="005119D1" w:rsidP="005345B2"/>
    <w:p w14:paraId="02980860" w14:textId="607843C0" w:rsidR="005631D2" w:rsidRDefault="005631D2" w:rsidP="00F7234B">
      <w:pPr>
        <w:pStyle w:val="Titre2"/>
      </w:pPr>
      <w:bookmarkStart w:id="13" w:name="_Toc201733966"/>
      <w:r>
        <w:t>Renouvellement</w:t>
      </w:r>
      <w:bookmarkEnd w:id="13"/>
    </w:p>
    <w:p w14:paraId="1E2AB8BE" w14:textId="39AFC94E" w:rsidR="005631D2" w:rsidRPr="00ED5309" w:rsidRDefault="005631D2" w:rsidP="005631D2">
      <w:r w:rsidRPr="00ED5309">
        <w:t>Il s'agit d'un accord-cadre renouvelable en raison du caractère récurrent des prestations.</w:t>
      </w:r>
    </w:p>
    <w:p w14:paraId="5CD00252" w14:textId="77777777" w:rsidR="005631D2" w:rsidRDefault="005631D2" w:rsidP="005345B2"/>
    <w:p w14:paraId="4D2F7EFE" w14:textId="77777777" w:rsidR="005631D2" w:rsidRPr="005631D2" w:rsidRDefault="005631D2" w:rsidP="00F7234B">
      <w:pPr>
        <w:pStyle w:val="Titre1"/>
      </w:pPr>
      <w:bookmarkStart w:id="14" w:name="_Toc256000008"/>
      <w:bookmarkStart w:id="15" w:name="_Toc201733967"/>
      <w:r w:rsidRPr="005631D2">
        <w:t>Conditions de la consultation</w:t>
      </w:r>
      <w:bookmarkStart w:id="16" w:name="_Toc256000009"/>
      <w:bookmarkEnd w:id="14"/>
      <w:bookmarkEnd w:id="15"/>
    </w:p>
    <w:p w14:paraId="260F3791" w14:textId="6C63D6AC" w:rsidR="005631D2" w:rsidRPr="003D6609" w:rsidRDefault="005631D2" w:rsidP="00F7234B">
      <w:pPr>
        <w:pStyle w:val="Titre2"/>
      </w:pPr>
      <w:bookmarkStart w:id="17" w:name="_Toc201733968"/>
      <w:r w:rsidRPr="003D6609">
        <w:t>Délai de validité des offres</w:t>
      </w:r>
      <w:bookmarkEnd w:id="16"/>
      <w:bookmarkEnd w:id="17"/>
    </w:p>
    <w:p w14:paraId="73C8F040" w14:textId="77777777" w:rsidR="005631D2" w:rsidRDefault="005631D2" w:rsidP="005631D2">
      <w:pPr>
        <w:pStyle w:val="ParagrapheIndent2"/>
        <w:spacing w:after="240"/>
        <w:ind w:left="20" w:right="20"/>
        <w:jc w:val="both"/>
        <w:rPr>
          <w:color w:val="000000"/>
        </w:rPr>
      </w:pPr>
      <w:r>
        <w:rPr>
          <w:color w:val="000000"/>
        </w:rPr>
        <w:t>Le délai de validité des offres est fixé dans l'avis d'appel public à la concurrence</w:t>
      </w:r>
      <w:bookmarkStart w:id="18" w:name="_Toc256000010"/>
    </w:p>
    <w:p w14:paraId="3D3E8342" w14:textId="48B8C777" w:rsidR="005631D2" w:rsidRPr="005631D2" w:rsidRDefault="005631D2" w:rsidP="00F7234B">
      <w:pPr>
        <w:pStyle w:val="Titre2"/>
        <w:rPr>
          <w:sz w:val="22"/>
        </w:rPr>
      </w:pPr>
      <w:bookmarkStart w:id="19" w:name="_Toc201733969"/>
      <w:r>
        <w:t>Forme juridique du groupement</w:t>
      </w:r>
      <w:bookmarkEnd w:id="18"/>
      <w:bookmarkEnd w:id="19"/>
    </w:p>
    <w:p w14:paraId="223E4CA7" w14:textId="77777777" w:rsidR="005631D2" w:rsidRDefault="005631D2" w:rsidP="005631D2">
      <w:pPr>
        <w:pStyle w:val="ParagrapheIndent2"/>
        <w:spacing w:after="240" w:line="253" w:lineRule="exact"/>
        <w:ind w:left="20" w:right="20"/>
        <w:jc w:val="both"/>
        <w:rPr>
          <w:color w:val="000000"/>
        </w:rPr>
      </w:pPr>
      <w:r>
        <w:rPr>
          <w:color w:val="000000"/>
        </w:rPr>
        <w:t>Le pouvoir adjudicateur ne souhaite imposer aucune forme de groupement à l'attributaire de l'accord-cadre.</w:t>
      </w:r>
    </w:p>
    <w:p w14:paraId="602BA89E" w14:textId="77777777" w:rsidR="00855F84" w:rsidRDefault="00855F84" w:rsidP="00F7234B">
      <w:pPr>
        <w:pStyle w:val="Titre2"/>
        <w:rPr>
          <w:i/>
        </w:rPr>
      </w:pPr>
      <w:bookmarkStart w:id="20" w:name="_Toc201733970"/>
      <w:r>
        <w:t>Variantes</w:t>
      </w:r>
      <w:bookmarkEnd w:id="20"/>
    </w:p>
    <w:p w14:paraId="05F0AE43" w14:textId="77777777" w:rsidR="00855F84" w:rsidRDefault="00855F84" w:rsidP="00855F84">
      <w:r w:rsidRPr="00F65DFC">
        <w:t xml:space="preserve">Les variantes </w:t>
      </w:r>
      <w:r>
        <w:t>sont interdites.</w:t>
      </w:r>
    </w:p>
    <w:p w14:paraId="585C0112" w14:textId="77777777" w:rsidR="00855F84" w:rsidRDefault="00855F84" w:rsidP="00855F84"/>
    <w:p w14:paraId="46B026DE" w14:textId="18F3B463" w:rsidR="00855F84" w:rsidRDefault="00855F84" w:rsidP="00855F84">
      <w:r>
        <w:t>Les candidats ne peuvent déposer qu’une offre, dite « offre de base ».</w:t>
      </w:r>
    </w:p>
    <w:p w14:paraId="3AFDBA15" w14:textId="746AA247" w:rsidR="00855F84" w:rsidRDefault="00855F84" w:rsidP="00855F84">
      <w:r>
        <w:t>Les variantes à l’initiative des candidats ne sont pas autorisées. Toute variante proposée par les candidats sera rejetée sans examen.</w:t>
      </w:r>
    </w:p>
    <w:p w14:paraId="726007A0" w14:textId="77777777" w:rsidR="00855F84" w:rsidRDefault="00855F84" w:rsidP="00855F84"/>
    <w:p w14:paraId="0F4279E7" w14:textId="5E2C70BE" w:rsidR="00855F84" w:rsidRDefault="00855F84" w:rsidP="00855F84">
      <w:r>
        <w:t>Le rejet d’une variante n’entraînera pas celui de l’offre de base, dès lors que cette dernière est individualisée et distincte de la variante.</w:t>
      </w:r>
    </w:p>
    <w:p w14:paraId="3B1E61FC" w14:textId="77777777" w:rsidR="00855F84" w:rsidRPr="00855F84" w:rsidRDefault="00855F84" w:rsidP="00855F84"/>
    <w:p w14:paraId="7ED74B80" w14:textId="24DC3C4E" w:rsidR="00855F84" w:rsidRDefault="00855F84" w:rsidP="00F7234B">
      <w:pPr>
        <w:pStyle w:val="Titre2"/>
      </w:pPr>
      <w:bookmarkStart w:id="21" w:name="_Toc201733971"/>
      <w:r w:rsidRPr="00855F84">
        <w:t>Prestations supplémentaires éventuelles</w:t>
      </w:r>
      <w:bookmarkEnd w:id="21"/>
    </w:p>
    <w:p w14:paraId="3999F536" w14:textId="67D49820" w:rsidR="00855F84" w:rsidRDefault="00855F84" w:rsidP="00855F84">
      <w:r>
        <w:t>Le marché ne comporte aucune Prestation Supplémentaires Eventuelles.</w:t>
      </w:r>
    </w:p>
    <w:p w14:paraId="126A70DA" w14:textId="77777777" w:rsidR="00855F84" w:rsidRDefault="00855F84" w:rsidP="00855F84"/>
    <w:p w14:paraId="64B79F52" w14:textId="2A468951" w:rsidR="005631D2" w:rsidRDefault="005631D2" w:rsidP="00F7234B">
      <w:pPr>
        <w:pStyle w:val="Titre1"/>
      </w:pPr>
      <w:bookmarkStart w:id="22" w:name="_Toc201733972"/>
      <w:r>
        <w:t>Les intervenants</w:t>
      </w:r>
      <w:bookmarkEnd w:id="22"/>
    </w:p>
    <w:p w14:paraId="3392EC97" w14:textId="17847A63" w:rsidR="004E72D2" w:rsidRDefault="004E72D2" w:rsidP="004E72D2">
      <w:pPr>
        <w:pStyle w:val="Paragraphedeliste"/>
        <w:numPr>
          <w:ilvl w:val="0"/>
          <w:numId w:val="36"/>
        </w:numPr>
      </w:pPr>
      <w:r>
        <w:t>GCS de la blanchisserie inter hospitalière du territoire du grand Clermont</w:t>
      </w:r>
    </w:p>
    <w:p w14:paraId="6378F6FB" w14:textId="418A73E5" w:rsidR="004E72D2" w:rsidRDefault="004E72D2" w:rsidP="004E72D2">
      <w:pPr>
        <w:pStyle w:val="Paragraphedeliste"/>
        <w:numPr>
          <w:ilvl w:val="0"/>
          <w:numId w:val="36"/>
        </w:numPr>
      </w:pPr>
      <w:r>
        <w:t>Le CHU de Clermont Ferrand</w:t>
      </w:r>
    </w:p>
    <w:p w14:paraId="47F1AA44" w14:textId="77777777" w:rsidR="004E72D2" w:rsidRPr="004E72D2" w:rsidRDefault="004E72D2" w:rsidP="004E72D2"/>
    <w:p w14:paraId="7367EFD7" w14:textId="0D5B60C1" w:rsidR="005631D2" w:rsidRDefault="005631D2" w:rsidP="00F7234B">
      <w:pPr>
        <w:pStyle w:val="Titre2"/>
      </w:pPr>
      <w:bookmarkStart w:id="23" w:name="_Toc201733973"/>
      <w:r>
        <w:t>Coordonnateur</w:t>
      </w:r>
      <w:bookmarkEnd w:id="23"/>
    </w:p>
    <w:p w14:paraId="75691040" w14:textId="107B0838" w:rsidR="005631D2" w:rsidRPr="004E72D2" w:rsidRDefault="005631D2" w:rsidP="005631D2">
      <w:r w:rsidRPr="004E72D2">
        <w:t>L'établissement coordonnateur est le CHU de Clermont-Ferrand.</w:t>
      </w:r>
    </w:p>
    <w:p w14:paraId="3B633F8B" w14:textId="77777777" w:rsidR="00855F84" w:rsidRDefault="00855F84" w:rsidP="005631D2"/>
    <w:p w14:paraId="5AA15EE9" w14:textId="5699B56C" w:rsidR="005631D2" w:rsidRDefault="005631D2" w:rsidP="00F7234B">
      <w:pPr>
        <w:pStyle w:val="Titre1"/>
      </w:pPr>
      <w:bookmarkStart w:id="24" w:name="_Toc201733974"/>
      <w:r>
        <w:t>Conditions relatives au contrat</w:t>
      </w:r>
      <w:bookmarkEnd w:id="24"/>
    </w:p>
    <w:p w14:paraId="7BC2EDA1" w14:textId="62DDBF62" w:rsidR="005631D2" w:rsidRDefault="005631D2" w:rsidP="00F7234B">
      <w:pPr>
        <w:pStyle w:val="Titre2"/>
      </w:pPr>
      <w:bookmarkStart w:id="25" w:name="_Toc201733975"/>
      <w:r>
        <w:t>Durée du contrat ou délai d'exécution</w:t>
      </w:r>
      <w:bookmarkEnd w:id="25"/>
    </w:p>
    <w:p w14:paraId="1C253445" w14:textId="0023234B" w:rsidR="005631D2" w:rsidRDefault="005631D2" w:rsidP="005631D2">
      <w:r>
        <w:t>La durée de la période initiale est fixée au CCAP.</w:t>
      </w:r>
    </w:p>
    <w:p w14:paraId="47246A3E" w14:textId="48D384D2" w:rsidR="00A433AB" w:rsidRDefault="00A433AB">
      <w:r>
        <w:br w:type="page"/>
      </w:r>
    </w:p>
    <w:p w14:paraId="759B4407" w14:textId="77777777" w:rsidR="005631D2" w:rsidRDefault="005631D2" w:rsidP="005345B2"/>
    <w:p w14:paraId="15A01D35" w14:textId="15DA1F7C" w:rsidR="005631D2" w:rsidRDefault="00FF6988" w:rsidP="00F7234B">
      <w:pPr>
        <w:pStyle w:val="Titre2"/>
      </w:pPr>
      <w:bookmarkStart w:id="26" w:name="_Toc201733976"/>
      <w:r w:rsidRPr="00FF6988">
        <w:t>Modalités essentielles de financement et de paiement</w:t>
      </w:r>
      <w:bookmarkEnd w:id="26"/>
    </w:p>
    <w:p w14:paraId="44754A21" w14:textId="6B798C74" w:rsidR="005631D2" w:rsidRDefault="00FF6988" w:rsidP="005345B2">
      <w:r w:rsidRPr="00FF6988">
        <w:t>Les sommes dues au(x) titulaire(s) et au(x) sous-traitant(s) de premier rang éventuel(s) du marché seront payées dans un délai global de 50 jours à compter de la date de réception des factures ou des demandes de paiement équivalentes.</w:t>
      </w:r>
    </w:p>
    <w:p w14:paraId="785B88C3" w14:textId="77777777" w:rsidR="005631D2" w:rsidRDefault="005631D2" w:rsidP="005345B2"/>
    <w:p w14:paraId="7F46385C" w14:textId="026CC759" w:rsidR="005631D2" w:rsidRPr="004E72D2" w:rsidRDefault="00FF6988" w:rsidP="005345B2">
      <w:r w:rsidRPr="004E72D2">
        <w:t>L'attention des candidats est attirée sur le fait que s'ils veulent renoncer aux bénéfices de l'avance prévue au CCAP, ils doivent le préciser à l'acte d'engagement.</w:t>
      </w:r>
    </w:p>
    <w:p w14:paraId="18F58EC2" w14:textId="77777777" w:rsidR="005631D2" w:rsidRPr="005C4DBC" w:rsidRDefault="005631D2" w:rsidP="005345B2"/>
    <w:p w14:paraId="55E2D9C5" w14:textId="6588C5BC" w:rsidR="00EC4F8F" w:rsidRDefault="00EC4F8F" w:rsidP="00F7234B">
      <w:pPr>
        <w:pStyle w:val="Titre1"/>
      </w:pPr>
      <w:bookmarkStart w:id="27" w:name="_Toc256000017"/>
      <w:bookmarkStart w:id="28" w:name="_Toc201733977"/>
      <w:r>
        <w:t>Contenu du dossier de consultation</w:t>
      </w:r>
      <w:bookmarkEnd w:id="27"/>
      <w:bookmarkEnd w:id="28"/>
    </w:p>
    <w:p w14:paraId="7AC94DCE" w14:textId="77777777" w:rsidR="00EC4F8F" w:rsidRDefault="00EC4F8F" w:rsidP="00EC4F8F">
      <w:r>
        <w:t>Le dossier de consultation des entreprises (DCE) contient les pièces suivantes :</w:t>
      </w:r>
    </w:p>
    <w:p w14:paraId="17BABF9D" w14:textId="77777777" w:rsidR="00EC4F8F" w:rsidRDefault="00EC4F8F" w:rsidP="00EC4F8F"/>
    <w:p w14:paraId="7255B389" w14:textId="0AA6CB89" w:rsidR="00EC4F8F" w:rsidRPr="00EC4F8F" w:rsidRDefault="00EC4F8F" w:rsidP="00EC4F8F">
      <w:pPr>
        <w:pStyle w:val="Paragraphedeliste"/>
        <w:numPr>
          <w:ilvl w:val="0"/>
          <w:numId w:val="35"/>
        </w:numPr>
        <w:rPr>
          <w:rFonts w:eastAsia="Arial"/>
        </w:rPr>
      </w:pPr>
      <w:r w:rsidRPr="00EC4F8F">
        <w:rPr>
          <w:rFonts w:eastAsia="Arial"/>
        </w:rPr>
        <w:t>L'acte d'engagement (AE) et ses annexes</w:t>
      </w:r>
    </w:p>
    <w:p w14:paraId="5CD5963D" w14:textId="58972D63" w:rsidR="00EC4F8F" w:rsidRPr="00EC4F8F" w:rsidRDefault="00EC4F8F" w:rsidP="00EC4F8F">
      <w:pPr>
        <w:pStyle w:val="Paragraphedeliste"/>
        <w:numPr>
          <w:ilvl w:val="0"/>
          <w:numId w:val="35"/>
        </w:numPr>
        <w:rPr>
          <w:rFonts w:eastAsia="Arial"/>
        </w:rPr>
      </w:pPr>
      <w:r w:rsidRPr="00EC4F8F">
        <w:rPr>
          <w:rFonts w:eastAsia="Arial"/>
        </w:rPr>
        <w:t>Le cahier des clauses administratives particulières (CCAP) et ses annexes</w:t>
      </w:r>
    </w:p>
    <w:p w14:paraId="08F18B97" w14:textId="51A62FE6" w:rsidR="00EC4F8F" w:rsidRPr="00EC4F8F" w:rsidRDefault="00EC4F8F" w:rsidP="00EC4F8F">
      <w:pPr>
        <w:pStyle w:val="Paragraphedeliste"/>
        <w:numPr>
          <w:ilvl w:val="0"/>
          <w:numId w:val="35"/>
        </w:numPr>
        <w:rPr>
          <w:rFonts w:eastAsia="Arial"/>
        </w:rPr>
      </w:pPr>
      <w:r w:rsidRPr="00EC4F8F">
        <w:rPr>
          <w:rFonts w:eastAsia="Arial"/>
        </w:rPr>
        <w:t>Le règlement de la consultation (RC) et ses annexes</w:t>
      </w:r>
    </w:p>
    <w:p w14:paraId="3584C2C6" w14:textId="5FFBB74A" w:rsidR="00EC4F8F" w:rsidRPr="00EC4F8F" w:rsidRDefault="00EC4F8F" w:rsidP="00EC4F8F">
      <w:pPr>
        <w:pStyle w:val="Paragraphedeliste"/>
        <w:numPr>
          <w:ilvl w:val="0"/>
          <w:numId w:val="35"/>
        </w:numPr>
        <w:rPr>
          <w:rFonts w:eastAsia="Arial"/>
        </w:rPr>
      </w:pPr>
      <w:r w:rsidRPr="00EC4F8F">
        <w:rPr>
          <w:rFonts w:eastAsia="Arial"/>
        </w:rPr>
        <w:t>Le cahier des clauses techniques particulières (CCTP) et ses annexes</w:t>
      </w:r>
    </w:p>
    <w:p w14:paraId="4130F222" w14:textId="40E43414" w:rsidR="00EC4F8F" w:rsidRPr="00EC4F8F" w:rsidRDefault="00EC4F8F" w:rsidP="00EC4F8F">
      <w:pPr>
        <w:pStyle w:val="Paragraphedeliste"/>
        <w:numPr>
          <w:ilvl w:val="0"/>
          <w:numId w:val="35"/>
        </w:numPr>
        <w:rPr>
          <w:rFonts w:eastAsia="Arial"/>
        </w:rPr>
      </w:pPr>
      <w:r w:rsidRPr="00EC4F8F">
        <w:rPr>
          <w:rFonts w:eastAsia="Arial"/>
        </w:rPr>
        <w:t>Le bordereau des prix unitaires (BPU)</w:t>
      </w:r>
    </w:p>
    <w:p w14:paraId="0DC5D1C7" w14:textId="05543291" w:rsidR="00EC4F8F" w:rsidRPr="00EC4F8F" w:rsidRDefault="00EC4F8F" w:rsidP="00EC4F8F">
      <w:pPr>
        <w:pStyle w:val="Paragraphedeliste"/>
        <w:numPr>
          <w:ilvl w:val="0"/>
          <w:numId w:val="35"/>
        </w:numPr>
        <w:rPr>
          <w:rFonts w:eastAsia="Arial"/>
        </w:rPr>
      </w:pPr>
      <w:r w:rsidRPr="00EC4F8F">
        <w:rPr>
          <w:rFonts w:eastAsia="Arial"/>
        </w:rPr>
        <w:t>Le détail quantitatif estimatif (DQE)</w:t>
      </w:r>
    </w:p>
    <w:p w14:paraId="790D8772" w14:textId="77777777" w:rsidR="00EC4F8F" w:rsidRPr="00806317" w:rsidRDefault="00EC4F8F" w:rsidP="00EC4F8F"/>
    <w:p w14:paraId="17121D8C" w14:textId="77777777" w:rsidR="00EC4F8F" w:rsidRDefault="00EC4F8F" w:rsidP="00EC4F8F">
      <w:r>
        <w:t>Il est remis gratuitement à chaque candidat.</w:t>
      </w:r>
    </w:p>
    <w:p w14:paraId="75DA740B" w14:textId="77777777" w:rsidR="00EC4F8F" w:rsidRDefault="00EC4F8F" w:rsidP="00EC4F8F"/>
    <w:p w14:paraId="2D044486" w14:textId="01CECEA6" w:rsidR="00EC4F8F" w:rsidRDefault="00EC4F8F" w:rsidP="00EC4F8F">
      <w:r>
        <w:t>Aucune demande d'envoi du DCE sur support physique électronique n'est autorisée.</w:t>
      </w:r>
    </w:p>
    <w:p w14:paraId="765104ED" w14:textId="77777777" w:rsidR="00EC4F8F" w:rsidRDefault="00EC4F8F" w:rsidP="00EC4F8F"/>
    <w:p w14:paraId="17C59928" w14:textId="58A2BD9D" w:rsidR="00EC4F8F" w:rsidRDefault="00EC4F8F" w:rsidP="00EC4F8F">
      <w: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12914A28" w14:textId="77777777" w:rsidR="00EC4F8F" w:rsidRDefault="00EC4F8F" w:rsidP="00EC4F8F"/>
    <w:p w14:paraId="6AD6A3F7" w14:textId="77777777" w:rsidR="00EC4F8F" w:rsidRDefault="00EC4F8F" w:rsidP="00EC4F8F">
      <w:r>
        <w:t>Si, pendant l'étude du dossier par les candidats, la date limite de réception des offres est reportée, la disposition précédente est applicable en fonction de cette nouvelle date.</w:t>
      </w:r>
    </w:p>
    <w:p w14:paraId="6D5878A7" w14:textId="77777777" w:rsidR="00C65848" w:rsidRPr="005C4DBC" w:rsidRDefault="00C65848" w:rsidP="00FF6988"/>
    <w:p w14:paraId="09022152" w14:textId="285142CE" w:rsidR="00EC4F8F" w:rsidRPr="00F7234B" w:rsidRDefault="00EC4F8F" w:rsidP="00F7234B">
      <w:pPr>
        <w:pStyle w:val="Titre1"/>
      </w:pPr>
      <w:bookmarkStart w:id="29" w:name="_Toc201733978"/>
      <w:r w:rsidRPr="00F7234B">
        <w:t>Présentation des candidatures et des offres</w:t>
      </w:r>
      <w:bookmarkEnd w:id="29"/>
    </w:p>
    <w:p w14:paraId="31C4F6E5" w14:textId="77777777" w:rsidR="00EC4F8F" w:rsidRDefault="00EC4F8F" w:rsidP="00EC4F8F">
      <w:pPr>
        <w:rPr>
          <w:rFonts w:cs="Calibri"/>
        </w:rPr>
      </w:pPr>
      <w:r w:rsidRPr="00EC4F8F">
        <w:rPr>
          <w:rFonts w:cs="Calibri"/>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0342E7D" w14:textId="77777777" w:rsidR="00EC4F8F" w:rsidRPr="00EC4F8F" w:rsidRDefault="00EC4F8F" w:rsidP="00EC4F8F">
      <w:pPr>
        <w:rPr>
          <w:rFonts w:cs="Calibri"/>
        </w:rPr>
      </w:pPr>
    </w:p>
    <w:p w14:paraId="6C407A31" w14:textId="77777777" w:rsidR="00EC4F8F" w:rsidRPr="00EC4F8F" w:rsidRDefault="00EC4F8F" w:rsidP="00EC4F8F">
      <w:pPr>
        <w:rPr>
          <w:rFonts w:cs="Calibri"/>
        </w:rPr>
      </w:pPr>
      <w:r w:rsidRPr="00EC4F8F">
        <w:rPr>
          <w:rFonts w:cs="Calibri"/>
        </w:rPr>
        <w:t>Les offres des candidats seront entièrement rédigées en langue française et exprimées en EURO.</w:t>
      </w:r>
    </w:p>
    <w:p w14:paraId="009CA330" w14:textId="4CE86181" w:rsidR="00EC4F8F" w:rsidRDefault="00EC4F8F" w:rsidP="00EC4F8F">
      <w:pPr>
        <w:rPr>
          <w:rFonts w:cs="Calibri"/>
        </w:rPr>
      </w:pPr>
      <w:r w:rsidRPr="00EC4F8F">
        <w:rPr>
          <w:rFonts w:cs="Calibri"/>
        </w:rPr>
        <w:t>Si les offres des candidats sont rédigées dans une autre langue, elles doivent être accompagnées d'une traduction en français, cette traduction doit concerner l'ensemble des documents remis dans l'offre.</w:t>
      </w:r>
    </w:p>
    <w:p w14:paraId="0C36BBA7" w14:textId="77777777" w:rsidR="00EC4F8F" w:rsidRPr="00EC4F8F" w:rsidRDefault="00EC4F8F" w:rsidP="00EC4F8F">
      <w:pPr>
        <w:rPr>
          <w:rFonts w:cs="Calibri"/>
        </w:rPr>
      </w:pPr>
    </w:p>
    <w:p w14:paraId="142D25CF" w14:textId="78A6B1A0" w:rsidR="00EC4F8F" w:rsidRPr="00F7234B" w:rsidRDefault="00EC4F8F" w:rsidP="00F7234B">
      <w:pPr>
        <w:pStyle w:val="Titre2"/>
      </w:pPr>
      <w:bookmarkStart w:id="30" w:name="_Toc201733979"/>
      <w:r w:rsidRPr="00F7234B">
        <w:t>Documents à produire</w:t>
      </w:r>
      <w:bookmarkEnd w:id="30"/>
    </w:p>
    <w:p w14:paraId="2310209D" w14:textId="77777777" w:rsidR="00EC4F8F" w:rsidRPr="00EC4F8F" w:rsidRDefault="00EC4F8F" w:rsidP="00EC4F8F">
      <w:pPr>
        <w:rPr>
          <w:rFonts w:cs="Calibri"/>
        </w:rPr>
      </w:pPr>
      <w:r w:rsidRPr="00EC4F8F">
        <w:rPr>
          <w:rFonts w:cs="Calibri"/>
        </w:rPr>
        <w:t>Chaque candidat aura à produire un dossier complet comprenant les pièces suivantes :</w:t>
      </w:r>
    </w:p>
    <w:p w14:paraId="3CBFDEAC" w14:textId="77777777" w:rsidR="00EC4F8F" w:rsidRPr="00EC4F8F" w:rsidRDefault="00EC4F8F" w:rsidP="00EC4F8F">
      <w:pPr>
        <w:rPr>
          <w:rFonts w:cs="Calibri"/>
        </w:rPr>
      </w:pPr>
    </w:p>
    <w:p w14:paraId="27CE2E16" w14:textId="77777777" w:rsidR="00EC4F8F" w:rsidRPr="00EC4F8F" w:rsidRDefault="00EC4F8F" w:rsidP="00EC4F8F">
      <w:pPr>
        <w:rPr>
          <w:rFonts w:cs="Calibri"/>
        </w:rPr>
      </w:pPr>
      <w:r w:rsidRPr="00EC4F8F">
        <w:rPr>
          <w:rFonts w:cs="Calibri"/>
        </w:rPr>
        <w:t>Pièces de la candidature telles que prévues aux articles L. 2142-1, R. 2142-3, R. 2142-4, R. 2143-3 et R. 2143-4 du Code de la commande publique :</w:t>
      </w:r>
    </w:p>
    <w:p w14:paraId="2BCAC9A0" w14:textId="77777777" w:rsidR="00EC4F8F" w:rsidRPr="00EC4F8F" w:rsidRDefault="00EC4F8F" w:rsidP="00EC4F8F">
      <w:pPr>
        <w:rPr>
          <w:rFonts w:cs="Calibri"/>
        </w:rPr>
      </w:pPr>
    </w:p>
    <w:p w14:paraId="19774929" w14:textId="1DA5CB7B" w:rsidR="004B17FE" w:rsidRDefault="00EC4F8F" w:rsidP="00EC4F8F">
      <w:pPr>
        <w:rPr>
          <w:rFonts w:cs="Calibri"/>
        </w:rPr>
      </w:pPr>
      <w:r w:rsidRPr="00EC4F8F">
        <w:rPr>
          <w:rFonts w:cs="Calibri"/>
        </w:rPr>
        <w:t>Renseignements concernant la situation juridique de l'entreprise :</w:t>
      </w:r>
    </w:p>
    <w:p w14:paraId="5FB860F7" w14:textId="77777777" w:rsidR="00EC4F8F" w:rsidRDefault="00EC4F8F" w:rsidP="00FF6988">
      <w:pPr>
        <w:rPr>
          <w:rFonts w:cs="Calibri"/>
        </w:rPr>
      </w:pPr>
    </w:p>
    <w:tbl>
      <w:tblPr>
        <w:tblW w:w="0" w:type="auto"/>
        <w:tblInd w:w="20" w:type="dxa"/>
        <w:tblLayout w:type="fixed"/>
        <w:tblLook w:val="04A0" w:firstRow="1" w:lastRow="0" w:firstColumn="1" w:lastColumn="0" w:noHBand="0" w:noVBand="1"/>
      </w:tblPr>
      <w:tblGrid>
        <w:gridCol w:w="8400"/>
        <w:gridCol w:w="1200"/>
      </w:tblGrid>
      <w:tr w:rsidR="00EC4F8F" w14:paraId="023FDB59" w14:textId="77777777" w:rsidTr="000E06A7">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2930372" w14:textId="77777777" w:rsidR="00EC4F8F" w:rsidRDefault="00EC4F8F" w:rsidP="000E06A7">
            <w:pPr>
              <w:spacing w:before="60" w:after="20"/>
              <w:jc w:val="center"/>
              <w:rPr>
                <w:rFonts w:eastAsia="Arial"/>
                <w:color w:val="000000"/>
              </w:rPr>
            </w:pPr>
            <w:r>
              <w:rPr>
                <w:rFonts w:eastAsia="Arial"/>
                <w:color w:val="000000"/>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CF80760" w14:textId="77777777" w:rsidR="00EC4F8F" w:rsidRDefault="00EC4F8F" w:rsidP="000E06A7">
            <w:pPr>
              <w:spacing w:before="60" w:after="20"/>
              <w:jc w:val="center"/>
              <w:rPr>
                <w:rFonts w:eastAsia="Arial"/>
                <w:color w:val="000000"/>
              </w:rPr>
            </w:pPr>
            <w:r>
              <w:rPr>
                <w:rFonts w:eastAsia="Arial"/>
                <w:color w:val="000000"/>
              </w:rPr>
              <w:t>Signature</w:t>
            </w:r>
          </w:p>
        </w:tc>
      </w:tr>
      <w:tr w:rsidR="00EC4F8F" w14:paraId="33A8B032" w14:textId="77777777" w:rsidTr="000E06A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CEA758" w14:textId="77777777" w:rsidR="00EC4F8F" w:rsidRDefault="00EC4F8F" w:rsidP="000E06A7">
            <w:pPr>
              <w:spacing w:line="253" w:lineRule="exact"/>
              <w:ind w:left="80" w:right="80"/>
              <w:jc w:val="both"/>
              <w:rPr>
                <w:rFonts w:eastAsia="Arial"/>
                <w:color w:val="000000"/>
              </w:rPr>
            </w:pPr>
            <w:r>
              <w:rPr>
                <w:rFonts w:eastAsia="Arial"/>
                <w:color w:val="000000"/>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F6B5C9" w14:textId="77777777" w:rsidR="00EC4F8F" w:rsidRDefault="00EC4F8F" w:rsidP="000E06A7">
            <w:pPr>
              <w:spacing w:before="80" w:after="20"/>
              <w:ind w:left="80" w:right="80"/>
              <w:jc w:val="center"/>
              <w:rPr>
                <w:rFonts w:eastAsia="Arial"/>
                <w:color w:val="000000"/>
              </w:rPr>
            </w:pPr>
            <w:r>
              <w:rPr>
                <w:rFonts w:eastAsia="Arial"/>
                <w:color w:val="000000"/>
              </w:rPr>
              <w:t>Oui</w:t>
            </w:r>
          </w:p>
        </w:tc>
      </w:tr>
      <w:tr w:rsidR="00EC4F8F" w14:paraId="008C52BF" w14:textId="77777777" w:rsidTr="000E06A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7C2F46" w14:textId="77777777" w:rsidR="00EC4F8F" w:rsidRDefault="00EC4F8F" w:rsidP="000E06A7">
            <w:pPr>
              <w:spacing w:line="253" w:lineRule="exact"/>
              <w:ind w:left="80" w:right="80"/>
              <w:jc w:val="both"/>
              <w:rPr>
                <w:rFonts w:eastAsia="Arial"/>
                <w:color w:val="000000"/>
              </w:rPr>
            </w:pPr>
            <w:r>
              <w:rPr>
                <w:rFonts w:eastAsia="Arial"/>
                <w:color w:val="000000"/>
              </w:rPr>
              <w:lastRenderedPageBreak/>
              <w:t xml:space="preserve">Un extrait </w:t>
            </w:r>
            <w:proofErr w:type="spellStart"/>
            <w:r>
              <w:rPr>
                <w:rFonts w:eastAsia="Arial"/>
                <w:color w:val="000000"/>
              </w:rPr>
              <w:t>KBis</w:t>
            </w:r>
            <w:proofErr w:type="spellEnd"/>
            <w:r>
              <w:rPr>
                <w:rFonts w:eastAsia="Arial"/>
                <w:color w:val="000000"/>
              </w:rPr>
              <w:t xml:space="preserve"> de la société ou, dans le cas d’un groupement, un extrait </w:t>
            </w:r>
            <w:proofErr w:type="spellStart"/>
            <w:r>
              <w:rPr>
                <w:rFonts w:eastAsia="Arial"/>
                <w:color w:val="000000"/>
              </w:rPr>
              <w:t>KBis</w:t>
            </w:r>
            <w:proofErr w:type="spellEnd"/>
            <w:r>
              <w:rPr>
                <w:rFonts w:eastAsia="Arial"/>
                <w:color w:val="000000"/>
              </w:rPr>
              <w:t xml:space="preserve"> de chaque membre du groupement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2E8AB6" w14:textId="77777777" w:rsidR="00EC4F8F" w:rsidRDefault="00EC4F8F" w:rsidP="000E06A7">
            <w:pPr>
              <w:spacing w:before="80" w:after="20"/>
              <w:ind w:left="80" w:right="80"/>
              <w:jc w:val="center"/>
              <w:rPr>
                <w:rFonts w:eastAsia="Arial"/>
                <w:color w:val="000000"/>
              </w:rPr>
            </w:pPr>
            <w:r>
              <w:rPr>
                <w:rFonts w:eastAsia="Arial"/>
                <w:color w:val="000000"/>
              </w:rPr>
              <w:t>Non</w:t>
            </w:r>
          </w:p>
        </w:tc>
      </w:tr>
      <w:tr w:rsidR="00EC4F8F" w14:paraId="2827264F" w14:textId="77777777" w:rsidTr="000E06A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4F08B5" w14:textId="77777777" w:rsidR="00EC4F8F" w:rsidRDefault="00EC4F8F" w:rsidP="000E06A7">
            <w:pPr>
              <w:spacing w:line="253" w:lineRule="exact"/>
              <w:ind w:left="80" w:right="80"/>
              <w:jc w:val="both"/>
              <w:rPr>
                <w:rFonts w:eastAsia="Arial"/>
                <w:color w:val="000000"/>
              </w:rPr>
            </w:pPr>
            <w:r>
              <w:rPr>
                <w:rFonts w:eastAsia="Arial"/>
                <w:color w:val="000000"/>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0DDEBF" w14:textId="77777777" w:rsidR="00EC4F8F" w:rsidRDefault="00EC4F8F" w:rsidP="000E06A7">
            <w:pPr>
              <w:spacing w:before="80" w:after="20"/>
              <w:ind w:left="80" w:right="80"/>
              <w:jc w:val="center"/>
              <w:rPr>
                <w:rFonts w:eastAsia="Arial"/>
                <w:color w:val="000000"/>
              </w:rPr>
            </w:pPr>
            <w:r>
              <w:rPr>
                <w:rFonts w:eastAsia="Arial"/>
                <w:color w:val="000000"/>
              </w:rPr>
              <w:t>Non</w:t>
            </w:r>
          </w:p>
        </w:tc>
      </w:tr>
      <w:tr w:rsidR="00EC4F8F" w14:paraId="64AC8DF3" w14:textId="77777777" w:rsidTr="000E06A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F5697D" w14:textId="77777777" w:rsidR="00EC4F8F" w:rsidRDefault="00EC4F8F" w:rsidP="000E06A7">
            <w:pPr>
              <w:spacing w:line="253" w:lineRule="exact"/>
              <w:ind w:left="80" w:right="80"/>
              <w:jc w:val="both"/>
              <w:rPr>
                <w:rFonts w:eastAsia="Arial"/>
                <w:color w:val="000000"/>
              </w:rPr>
            </w:pPr>
            <w:r>
              <w:rPr>
                <w:rFonts w:eastAsia="Arial"/>
                <w:color w:val="000000"/>
              </w:rPr>
              <w:t>Un document prouvant la capacité du signataire à engager la société (</w:t>
            </w:r>
            <w:proofErr w:type="spellStart"/>
            <w:r>
              <w:rPr>
                <w:rFonts w:eastAsia="Arial"/>
                <w:color w:val="000000"/>
              </w:rPr>
              <w:t>KBis</w:t>
            </w:r>
            <w:proofErr w:type="spellEnd"/>
            <w:r>
              <w:rPr>
                <w:rFonts w:eastAsia="Arial"/>
                <w:color w:val="000000"/>
              </w:rPr>
              <w:t>, délégation de signature)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DC8A25" w14:textId="77777777" w:rsidR="00EC4F8F" w:rsidRDefault="00EC4F8F" w:rsidP="000E06A7">
            <w:pPr>
              <w:spacing w:before="80" w:after="20"/>
              <w:ind w:left="80" w:right="80"/>
              <w:jc w:val="center"/>
              <w:rPr>
                <w:rFonts w:eastAsia="Arial"/>
                <w:color w:val="000000"/>
              </w:rPr>
            </w:pPr>
            <w:r>
              <w:rPr>
                <w:rFonts w:eastAsia="Arial"/>
                <w:color w:val="000000"/>
              </w:rPr>
              <w:t>Non</w:t>
            </w:r>
          </w:p>
        </w:tc>
      </w:tr>
    </w:tbl>
    <w:p w14:paraId="701588E2" w14:textId="77777777" w:rsidR="00EC4F8F" w:rsidRDefault="00EC4F8F" w:rsidP="00EC4F8F">
      <w:pPr>
        <w:spacing w:after="80" w:line="240" w:lineRule="exact"/>
      </w:pPr>
    </w:p>
    <w:p w14:paraId="05314B54" w14:textId="77777777" w:rsidR="00EC4F8F" w:rsidRDefault="00EC4F8F" w:rsidP="00EC4F8F">
      <w:pPr>
        <w:pStyle w:val="ParagrapheIndent2"/>
        <w:spacing w:line="253" w:lineRule="exact"/>
        <w:ind w:left="20" w:right="20"/>
        <w:jc w:val="both"/>
        <w:rPr>
          <w:color w:val="000000"/>
        </w:rPr>
      </w:pPr>
      <w:r>
        <w:rPr>
          <w:color w:val="000000"/>
        </w:rPr>
        <w:t>Renseignements concernant la capacité économique et financière de l'entreprise :</w:t>
      </w:r>
    </w:p>
    <w:p w14:paraId="4F23877E" w14:textId="77777777" w:rsidR="00EC4F8F" w:rsidRDefault="00EC4F8F" w:rsidP="00EC4F8F">
      <w:pPr>
        <w:pStyle w:val="ParagrapheIndent2"/>
        <w:spacing w:line="253" w:lineRule="exact"/>
        <w:ind w:left="20" w:right="20"/>
        <w:jc w:val="both"/>
        <w:rPr>
          <w:color w:val="000000"/>
        </w:rPr>
      </w:pPr>
    </w:p>
    <w:tbl>
      <w:tblPr>
        <w:tblW w:w="0" w:type="auto"/>
        <w:tblInd w:w="20" w:type="dxa"/>
        <w:tblLayout w:type="fixed"/>
        <w:tblLook w:val="04A0" w:firstRow="1" w:lastRow="0" w:firstColumn="1" w:lastColumn="0" w:noHBand="0" w:noVBand="1"/>
      </w:tblPr>
      <w:tblGrid>
        <w:gridCol w:w="6000"/>
        <w:gridCol w:w="2400"/>
        <w:gridCol w:w="1200"/>
      </w:tblGrid>
      <w:tr w:rsidR="00EC4F8F" w14:paraId="72A484AF" w14:textId="77777777" w:rsidTr="000E06A7">
        <w:trPr>
          <w:trHeight w:val="30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111CC89" w14:textId="77777777" w:rsidR="00EC4F8F" w:rsidRDefault="00EC4F8F" w:rsidP="000E06A7">
            <w:pPr>
              <w:spacing w:before="60" w:after="20"/>
              <w:jc w:val="center"/>
              <w:rPr>
                <w:rFonts w:eastAsia="Arial"/>
                <w:color w:val="000000"/>
              </w:rPr>
            </w:pPr>
            <w:r>
              <w:rPr>
                <w:rFonts w:eastAsia="Arial"/>
                <w:color w:val="000000"/>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2E05C7E" w14:textId="77777777" w:rsidR="00EC4F8F" w:rsidRDefault="00EC4F8F" w:rsidP="000E06A7">
            <w:pPr>
              <w:spacing w:before="60" w:after="20"/>
              <w:jc w:val="center"/>
              <w:rPr>
                <w:rFonts w:eastAsia="Arial"/>
                <w:color w:val="000000"/>
              </w:rPr>
            </w:pPr>
            <w:r>
              <w:rPr>
                <w:rFonts w:eastAsia="Arial"/>
                <w:color w:val="000000"/>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4491482" w14:textId="77777777" w:rsidR="00EC4F8F" w:rsidRDefault="00EC4F8F" w:rsidP="000E06A7">
            <w:pPr>
              <w:spacing w:before="60" w:after="20"/>
              <w:jc w:val="center"/>
              <w:rPr>
                <w:rFonts w:eastAsia="Arial"/>
                <w:color w:val="000000"/>
              </w:rPr>
            </w:pPr>
            <w:r>
              <w:rPr>
                <w:rFonts w:eastAsia="Arial"/>
                <w:color w:val="000000"/>
              </w:rPr>
              <w:t>Signature</w:t>
            </w:r>
          </w:p>
        </w:tc>
      </w:tr>
      <w:tr w:rsidR="00EC4F8F" w14:paraId="06931BFF" w14:textId="77777777" w:rsidTr="000E06A7">
        <w:trPr>
          <w:trHeight w:val="66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831607" w14:textId="77777777" w:rsidR="00EC4F8F" w:rsidRDefault="00EC4F8F" w:rsidP="000E06A7">
            <w:pPr>
              <w:spacing w:line="253" w:lineRule="exact"/>
              <w:ind w:left="80" w:right="80"/>
              <w:jc w:val="both"/>
              <w:rPr>
                <w:rFonts w:eastAsia="Arial"/>
                <w:color w:val="000000"/>
              </w:rPr>
            </w:pPr>
            <w:r>
              <w:rPr>
                <w:rFonts w:eastAsia="Arial"/>
                <w:color w:val="000000"/>
              </w:rPr>
              <w:t>Déclaration concernant le chiffre d'affaires global et le chiffre d'affaires concernant les prestations objet du contrat, réalisées au cours des trois derniers exercices disponibles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F0C61D" w14:textId="77777777" w:rsidR="00EC4F8F" w:rsidRPr="00806317" w:rsidRDefault="00EC4F8F" w:rsidP="000E06A7"/>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ED0986" w14:textId="77777777" w:rsidR="00EC4F8F" w:rsidRDefault="00EC4F8F" w:rsidP="000E06A7">
            <w:pPr>
              <w:spacing w:before="100" w:after="20"/>
              <w:ind w:left="80" w:right="80"/>
              <w:jc w:val="center"/>
              <w:rPr>
                <w:rFonts w:eastAsia="Arial"/>
                <w:color w:val="000000"/>
              </w:rPr>
            </w:pPr>
            <w:r>
              <w:rPr>
                <w:rFonts w:eastAsia="Arial"/>
                <w:color w:val="000000"/>
              </w:rPr>
              <w:t>Non</w:t>
            </w:r>
          </w:p>
        </w:tc>
      </w:tr>
    </w:tbl>
    <w:p w14:paraId="734E4FA1" w14:textId="77777777" w:rsidR="00EC4F8F" w:rsidRDefault="00EC4F8F" w:rsidP="00EC4F8F">
      <w:pPr>
        <w:spacing w:after="80" w:line="240" w:lineRule="exact"/>
      </w:pPr>
    </w:p>
    <w:p w14:paraId="1E51C588" w14:textId="77777777" w:rsidR="00EC4F8F" w:rsidRDefault="00EC4F8F" w:rsidP="00EC4F8F">
      <w:pPr>
        <w:pStyle w:val="ParagrapheIndent2"/>
        <w:spacing w:line="253" w:lineRule="exact"/>
        <w:ind w:left="20" w:right="20"/>
        <w:jc w:val="both"/>
        <w:rPr>
          <w:color w:val="000000"/>
        </w:rPr>
      </w:pPr>
      <w:r>
        <w:rPr>
          <w:color w:val="000000"/>
        </w:rPr>
        <w:t>Renseignements concernant les références professionnelles et la capacité technique de l'entreprise :</w:t>
      </w:r>
    </w:p>
    <w:p w14:paraId="4213B791" w14:textId="77777777" w:rsidR="00EC4F8F" w:rsidRDefault="00EC4F8F" w:rsidP="00EC4F8F">
      <w:pPr>
        <w:pStyle w:val="ParagrapheIndent2"/>
        <w:spacing w:line="253" w:lineRule="exact"/>
        <w:ind w:left="20" w:right="20"/>
        <w:jc w:val="both"/>
        <w:rPr>
          <w:color w:val="000000"/>
        </w:rPr>
      </w:pPr>
    </w:p>
    <w:tbl>
      <w:tblPr>
        <w:tblW w:w="0" w:type="auto"/>
        <w:tblInd w:w="20" w:type="dxa"/>
        <w:tblLayout w:type="fixed"/>
        <w:tblLook w:val="04A0" w:firstRow="1" w:lastRow="0" w:firstColumn="1" w:lastColumn="0" w:noHBand="0" w:noVBand="1"/>
      </w:tblPr>
      <w:tblGrid>
        <w:gridCol w:w="6000"/>
        <w:gridCol w:w="2400"/>
        <w:gridCol w:w="1200"/>
      </w:tblGrid>
      <w:tr w:rsidR="00EC4F8F" w14:paraId="73A33549" w14:textId="77777777" w:rsidTr="000E06A7">
        <w:trPr>
          <w:trHeight w:val="30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9760242" w14:textId="77777777" w:rsidR="00EC4F8F" w:rsidRDefault="00EC4F8F" w:rsidP="000E06A7">
            <w:pPr>
              <w:spacing w:before="60" w:after="20"/>
              <w:jc w:val="center"/>
              <w:rPr>
                <w:rFonts w:eastAsia="Arial"/>
                <w:color w:val="000000"/>
              </w:rPr>
            </w:pPr>
            <w:r>
              <w:rPr>
                <w:rFonts w:eastAsia="Arial"/>
                <w:color w:val="000000"/>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414385" w14:textId="77777777" w:rsidR="00EC4F8F" w:rsidRDefault="00EC4F8F" w:rsidP="000E06A7">
            <w:pPr>
              <w:spacing w:before="60" w:after="20"/>
              <w:jc w:val="center"/>
              <w:rPr>
                <w:rFonts w:eastAsia="Arial"/>
                <w:color w:val="000000"/>
              </w:rPr>
            </w:pPr>
            <w:r>
              <w:rPr>
                <w:rFonts w:eastAsia="Arial"/>
                <w:color w:val="000000"/>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5C7F8DE" w14:textId="77777777" w:rsidR="00EC4F8F" w:rsidRDefault="00EC4F8F" w:rsidP="000E06A7">
            <w:pPr>
              <w:spacing w:before="60" w:after="20"/>
              <w:jc w:val="center"/>
              <w:rPr>
                <w:rFonts w:eastAsia="Arial"/>
                <w:color w:val="000000"/>
              </w:rPr>
            </w:pPr>
            <w:r>
              <w:rPr>
                <w:rFonts w:eastAsia="Arial"/>
                <w:color w:val="000000"/>
              </w:rPr>
              <w:t>Signature</w:t>
            </w:r>
          </w:p>
        </w:tc>
      </w:tr>
      <w:tr w:rsidR="00EC4F8F" w14:paraId="6C1F73A0" w14:textId="77777777" w:rsidTr="000E06A7">
        <w:trPr>
          <w:trHeight w:val="9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402D26" w14:textId="54FDD814" w:rsidR="00EC4F8F" w:rsidRDefault="00EC4F8F" w:rsidP="00146654">
            <w:pPr>
              <w:spacing w:line="253" w:lineRule="exact"/>
              <w:ind w:left="80" w:right="80"/>
              <w:jc w:val="both"/>
              <w:rPr>
                <w:rFonts w:eastAsia="Arial"/>
                <w:color w:val="000000"/>
              </w:rPr>
            </w:pPr>
            <w:r>
              <w:rPr>
                <w:rFonts w:eastAsia="Arial"/>
                <w:color w:val="000000"/>
              </w:rPr>
              <w:t>Liste des principales prestations effectuées au cours des trois dernières années, indiquant le montant, la date et le destinataire. Elles sont prouvées par des attestations du destinataire ou, à défaut, par une déclaration du candidat</w:t>
            </w:r>
            <w:r w:rsidR="00146654">
              <w:rPr>
                <w:rFonts w:eastAsia="Arial"/>
                <w:color w:val="000000"/>
              </w:rPr>
              <w:t>. (</w:t>
            </w:r>
            <w:r w:rsidR="00146654" w:rsidRPr="00BE73A8">
              <w:rPr>
                <w:rFonts w:eastAsia="Arial"/>
                <w:color w:val="000000"/>
              </w:rPr>
              <w:t>références de maintenance de blanchisseries pour le même type de marché au cours des 3 dernières années indiquant le montant, la date et le destinataire public ou privé</w:t>
            </w:r>
            <w:r w:rsidR="00146654">
              <w:rPr>
                <w:rFonts w:eastAsia="Arial"/>
                <w:color w:val="000000"/>
              </w:rPr>
              <w:t>)</w:t>
            </w:r>
            <w:r w:rsidR="00146654" w:rsidRPr="00BE73A8">
              <w:rPr>
                <w:rFonts w:eastAsia="Arial"/>
                <w:color w:val="000000"/>
              </w:rPr>
              <w: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10FFEB" w14:textId="77777777" w:rsidR="00EC4F8F" w:rsidRPr="00806317" w:rsidRDefault="00EC4F8F" w:rsidP="000E06A7"/>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36B08A" w14:textId="77777777" w:rsidR="00EC4F8F" w:rsidRDefault="00EC4F8F" w:rsidP="000E06A7">
            <w:pPr>
              <w:spacing w:before="100" w:after="20"/>
              <w:ind w:left="80" w:right="80"/>
              <w:jc w:val="center"/>
              <w:rPr>
                <w:rFonts w:eastAsia="Arial"/>
                <w:color w:val="000000"/>
              </w:rPr>
            </w:pPr>
            <w:r>
              <w:rPr>
                <w:rFonts w:eastAsia="Arial"/>
                <w:color w:val="000000"/>
              </w:rPr>
              <w:t>Non</w:t>
            </w:r>
          </w:p>
        </w:tc>
      </w:tr>
      <w:tr w:rsidR="00EC4F8F" w14:paraId="6279A494" w14:textId="77777777" w:rsidTr="000E06A7">
        <w:trPr>
          <w:trHeight w:val="66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A3A4A2" w14:textId="77777777" w:rsidR="00EC4F8F" w:rsidRDefault="00EC4F8F" w:rsidP="000E06A7">
            <w:pPr>
              <w:spacing w:line="253" w:lineRule="exact"/>
              <w:ind w:left="80" w:right="80"/>
              <w:jc w:val="both"/>
              <w:rPr>
                <w:rFonts w:eastAsia="Arial"/>
                <w:color w:val="000000"/>
              </w:rPr>
            </w:pPr>
            <w:r>
              <w:rPr>
                <w:rFonts w:eastAsia="Arial"/>
                <w:color w:val="000000"/>
              </w:rPr>
              <w:t>Déclaration indiquant les effectifs moyens annuels du candidat et l'importance du personnel d'encadrement pour chacune des trois dernières années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EF96B8" w14:textId="77777777" w:rsidR="00EC4F8F" w:rsidRPr="00806317" w:rsidRDefault="00EC4F8F" w:rsidP="000E06A7"/>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75EFB4" w14:textId="77777777" w:rsidR="00EC4F8F" w:rsidRDefault="00EC4F8F" w:rsidP="000E06A7">
            <w:pPr>
              <w:spacing w:before="100" w:after="20"/>
              <w:ind w:left="80" w:right="80"/>
              <w:jc w:val="center"/>
              <w:rPr>
                <w:rFonts w:eastAsia="Arial"/>
                <w:color w:val="000000"/>
              </w:rPr>
            </w:pPr>
            <w:r>
              <w:rPr>
                <w:rFonts w:eastAsia="Arial"/>
                <w:color w:val="000000"/>
              </w:rPr>
              <w:t>Non</w:t>
            </w:r>
          </w:p>
        </w:tc>
      </w:tr>
      <w:tr w:rsidR="00BE73A8" w14:paraId="2ED778C7" w14:textId="77777777" w:rsidTr="000E06A7">
        <w:trPr>
          <w:trHeight w:val="66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53F44F" w14:textId="0887F779" w:rsidR="00BE73A8" w:rsidRDefault="00BE73A8" w:rsidP="000E06A7">
            <w:pPr>
              <w:spacing w:line="253" w:lineRule="exact"/>
              <w:ind w:left="80" w:right="80"/>
              <w:jc w:val="both"/>
              <w:rPr>
                <w:rFonts w:eastAsia="Arial"/>
                <w:color w:val="000000"/>
              </w:rPr>
            </w:pPr>
            <w:r>
              <w:rPr>
                <w:rFonts w:eastAsia="Arial"/>
                <w:color w:val="000000"/>
              </w:rPr>
              <w:t>D</w:t>
            </w:r>
            <w:r w:rsidRPr="00BE73A8">
              <w:rPr>
                <w:rFonts w:eastAsia="Arial"/>
                <w:color w:val="000000"/>
              </w:rPr>
              <w:t>éclaration indiquant le matériel et l’équipement technique dont le candidat dispose pour la réalisation de ses prestations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D06D57" w14:textId="77777777" w:rsidR="00BE73A8" w:rsidRPr="00806317" w:rsidRDefault="00BE73A8" w:rsidP="000E06A7"/>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FF7926" w14:textId="4AA39DB2" w:rsidR="00BE73A8" w:rsidRDefault="00BE73A8" w:rsidP="000E06A7">
            <w:pPr>
              <w:spacing w:before="100" w:after="20"/>
              <w:ind w:left="80" w:right="80"/>
              <w:jc w:val="center"/>
              <w:rPr>
                <w:rFonts w:eastAsia="Arial"/>
                <w:color w:val="000000"/>
              </w:rPr>
            </w:pPr>
            <w:r w:rsidRPr="00BE73A8">
              <w:rPr>
                <w:rFonts w:eastAsia="Arial"/>
                <w:color w:val="000000"/>
              </w:rPr>
              <w:t>Non</w:t>
            </w:r>
          </w:p>
        </w:tc>
      </w:tr>
      <w:tr w:rsidR="00EC4F8F" w14:paraId="52971F9E" w14:textId="77777777" w:rsidTr="000E06A7">
        <w:trPr>
          <w:trHeight w:val="1584"/>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ABB9F3" w14:textId="77777777" w:rsidR="00EC4F8F" w:rsidRDefault="00EC4F8F" w:rsidP="000E06A7">
            <w:pPr>
              <w:spacing w:line="253" w:lineRule="exact"/>
              <w:ind w:left="80" w:right="80"/>
              <w:jc w:val="both"/>
              <w:rPr>
                <w:rFonts w:eastAsia="Arial"/>
                <w:color w:val="000000"/>
              </w:rPr>
            </w:pPr>
            <w:r>
              <w:rPr>
                <w:rFonts w:eastAsia="Arial"/>
                <w:color w:val="000000"/>
              </w:rPr>
              <w:t>Les certificats établis par des instituts ou services officiels chargés du contrôle de la qualité et habilités à attester la conformité des fournitures par des références à certaines spécifications techniques. Toutefois, sans accès à ces certificats ou non obtention dans les délais, d'autres preuves de mesures équivalentes de garantie de la qualité produites par les candidats sont acceptées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09869B" w14:textId="77777777" w:rsidR="00EC4F8F" w:rsidRPr="00806317" w:rsidRDefault="00EC4F8F" w:rsidP="000E06A7"/>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7DAE5E" w14:textId="77777777" w:rsidR="00EC4F8F" w:rsidRDefault="00EC4F8F" w:rsidP="000E06A7">
            <w:pPr>
              <w:spacing w:before="100" w:after="20"/>
              <w:ind w:left="80" w:right="80"/>
              <w:jc w:val="center"/>
              <w:rPr>
                <w:rFonts w:eastAsia="Arial"/>
                <w:color w:val="000000"/>
              </w:rPr>
            </w:pPr>
            <w:r>
              <w:rPr>
                <w:rFonts w:eastAsia="Arial"/>
                <w:color w:val="000000"/>
              </w:rPr>
              <w:t>Non</w:t>
            </w:r>
          </w:p>
        </w:tc>
      </w:tr>
      <w:tr w:rsidR="00BE73A8" w14:paraId="37C756F8" w14:textId="77777777" w:rsidTr="00BE73A8">
        <w:trPr>
          <w:trHeight w:val="332"/>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733D17" w14:textId="715A7FE4" w:rsidR="00BE73A8" w:rsidRDefault="00BE73A8" w:rsidP="000E06A7">
            <w:pPr>
              <w:spacing w:line="253" w:lineRule="exact"/>
              <w:ind w:left="80" w:right="80"/>
              <w:jc w:val="both"/>
              <w:rPr>
                <w:rFonts w:eastAsia="Arial"/>
                <w:color w:val="000000"/>
              </w:rPr>
            </w:pPr>
            <w:r>
              <w:rPr>
                <w:rFonts w:eastAsia="Arial"/>
                <w:color w:val="000000"/>
              </w:rPr>
              <w:t>L</w:t>
            </w:r>
            <w:r w:rsidRPr="00BE73A8">
              <w:rPr>
                <w:rFonts w:eastAsia="Arial"/>
                <w:color w:val="000000"/>
              </w:rPr>
              <w:t>a preuve d’une assurance</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FB3F2D" w14:textId="77777777" w:rsidR="00BE73A8" w:rsidRPr="00806317" w:rsidRDefault="00BE73A8" w:rsidP="000E06A7"/>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B34E15" w14:textId="79B9E27A" w:rsidR="00BE73A8" w:rsidRDefault="000259EC" w:rsidP="000E06A7">
            <w:pPr>
              <w:spacing w:before="100" w:after="20"/>
              <w:ind w:left="80" w:right="80"/>
              <w:jc w:val="center"/>
              <w:rPr>
                <w:rFonts w:eastAsia="Arial"/>
                <w:color w:val="000000"/>
              </w:rPr>
            </w:pPr>
            <w:r w:rsidRPr="000259EC">
              <w:rPr>
                <w:rFonts w:eastAsia="Arial"/>
                <w:color w:val="000000"/>
              </w:rPr>
              <w:t>Non</w:t>
            </w:r>
          </w:p>
        </w:tc>
      </w:tr>
    </w:tbl>
    <w:p w14:paraId="49FEF838" w14:textId="77777777" w:rsidR="00EC4F8F" w:rsidRDefault="00EC4F8F" w:rsidP="00FF6988">
      <w:pPr>
        <w:rPr>
          <w:rFonts w:cs="Calibri"/>
        </w:rPr>
      </w:pPr>
    </w:p>
    <w:p w14:paraId="2E3CBC5E" w14:textId="77777777" w:rsidR="00EC4F8F" w:rsidRPr="00EC4F8F" w:rsidRDefault="00EC4F8F" w:rsidP="00EC4F8F">
      <w:pPr>
        <w:rPr>
          <w:rFonts w:cs="Calibri"/>
        </w:rPr>
      </w:pPr>
      <w:r w:rsidRPr="00EC4F8F">
        <w:rPr>
          <w:rFonts w:cs="Calibri"/>
        </w:rPr>
        <w:t>Pour présenter leur candidature, les candidats peuvent utiliser les formulaires DC1 (lettre de candidature) et DC2 (déclaration du candidat). Ces documents sont disponibles gratuitement sur le site www.economie.gouv.fr.</w:t>
      </w:r>
    </w:p>
    <w:p w14:paraId="5A253F46" w14:textId="77777777" w:rsidR="00EC4F8F" w:rsidRPr="00EC4F8F" w:rsidRDefault="00EC4F8F" w:rsidP="00EC4F8F">
      <w:pPr>
        <w:rPr>
          <w:rFonts w:cs="Calibri"/>
        </w:rPr>
      </w:pPr>
    </w:p>
    <w:p w14:paraId="61F94129" w14:textId="77777777" w:rsidR="00EC4F8F" w:rsidRPr="00EC4F8F" w:rsidRDefault="00EC4F8F" w:rsidP="00EC4F8F">
      <w:pPr>
        <w:rPr>
          <w:rFonts w:cs="Calibri"/>
        </w:rPr>
      </w:pPr>
      <w:r w:rsidRPr="00EC4F8F">
        <w:rPr>
          <w:rFonts w:cs="Calibri"/>
        </w:rPr>
        <w:t>Ils peuvent aussi utiliser le Document Unique de Marché Européen (DUME).</w:t>
      </w:r>
    </w:p>
    <w:p w14:paraId="77C974EC" w14:textId="3245AED7" w:rsidR="00EC4F8F" w:rsidRDefault="00EC4F8F" w:rsidP="00EC4F8F">
      <w:pPr>
        <w:rPr>
          <w:rFonts w:cs="Calibri"/>
        </w:rPr>
      </w:pPr>
      <w:r w:rsidRPr="00EC4F8F">
        <w:rPr>
          <w:rFonts w:cs="Calibri"/>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3D88A852" w14:textId="00167564" w:rsidR="00145DF0" w:rsidRDefault="00145DF0">
      <w:pPr>
        <w:rPr>
          <w:rFonts w:cs="Calibri"/>
        </w:rPr>
      </w:pPr>
      <w:r>
        <w:rPr>
          <w:rFonts w:cs="Calibri"/>
        </w:rPr>
        <w:br w:type="page"/>
      </w:r>
    </w:p>
    <w:p w14:paraId="78A221F7" w14:textId="77777777" w:rsidR="00EC4F8F" w:rsidRDefault="00EC4F8F" w:rsidP="00FF6988">
      <w:pPr>
        <w:rPr>
          <w:rFonts w:cs="Calibri"/>
        </w:rPr>
      </w:pPr>
    </w:p>
    <w:p w14:paraId="098E046F" w14:textId="77777777" w:rsidR="00EC4F8F" w:rsidRPr="00164263" w:rsidRDefault="00EC4F8F" w:rsidP="00EC4F8F">
      <w:pPr>
        <w:pStyle w:val="ParagrapheIndent2"/>
        <w:spacing w:line="253" w:lineRule="exact"/>
        <w:ind w:left="20" w:right="20"/>
        <w:jc w:val="both"/>
        <w:rPr>
          <w:b/>
          <w:color w:val="000000"/>
        </w:rPr>
      </w:pPr>
      <w:r w:rsidRPr="00164263">
        <w:rPr>
          <w:b/>
          <w:color w:val="000000"/>
        </w:rPr>
        <w:t>Pièces de l'offre :</w:t>
      </w:r>
    </w:p>
    <w:p w14:paraId="284CC049" w14:textId="77777777" w:rsidR="00EC4F8F" w:rsidRPr="00164263" w:rsidRDefault="00EC4F8F" w:rsidP="00EC4F8F">
      <w:pPr>
        <w:pStyle w:val="ParagrapheIndent2"/>
        <w:spacing w:line="253" w:lineRule="exact"/>
        <w:ind w:left="20" w:right="20"/>
        <w:jc w:val="both"/>
        <w:rPr>
          <w:color w:val="000000"/>
          <w:szCs w:val="22"/>
        </w:rPr>
      </w:pPr>
    </w:p>
    <w:p w14:paraId="23797F92" w14:textId="77777777" w:rsidR="00EC4F8F" w:rsidRPr="00164263" w:rsidRDefault="00EC4F8F" w:rsidP="00EC4F8F">
      <w:pPr>
        <w:jc w:val="both"/>
      </w:pPr>
      <w:r w:rsidRPr="00164263">
        <w:t xml:space="preserve">L’acte d’engagement </w:t>
      </w:r>
      <w:r w:rsidRPr="00164263">
        <w:rPr>
          <w:b/>
        </w:rPr>
        <w:t>dûment renseigné et signé</w:t>
      </w:r>
      <w:r w:rsidRPr="00164263">
        <w:t xml:space="preserve"> par une personne habilitée à engager la personne morale.</w:t>
      </w:r>
      <w:r>
        <w:t xml:space="preserve"> Il s’agit du seul document de l’offre qu’il est impératif de signer.</w:t>
      </w:r>
    </w:p>
    <w:p w14:paraId="071FCFB8" w14:textId="77777777" w:rsidR="00EC4F8F" w:rsidRDefault="00EC4F8F" w:rsidP="00EC4F8F">
      <w:pPr>
        <w:jc w:val="both"/>
      </w:pPr>
    </w:p>
    <w:p w14:paraId="62C8FE70" w14:textId="5CF073BE" w:rsidR="000A4D84" w:rsidRDefault="000A4D84" w:rsidP="00EC4F8F">
      <w:pPr>
        <w:jc w:val="both"/>
        <w:rPr>
          <w:b/>
          <w:bCs/>
          <w:i/>
          <w:iCs/>
        </w:rPr>
      </w:pPr>
      <w:r w:rsidRPr="000A4D84">
        <w:rPr>
          <w:b/>
          <w:bCs/>
          <w:i/>
          <w:iCs/>
        </w:rPr>
        <w:t>La DPGF</w:t>
      </w:r>
      <w:r>
        <w:rPr>
          <w:b/>
          <w:bCs/>
          <w:i/>
          <w:iCs/>
        </w:rPr>
        <w:t> :</w:t>
      </w:r>
    </w:p>
    <w:p w14:paraId="69414019" w14:textId="77777777" w:rsidR="000A4D84" w:rsidRDefault="000A4D84" w:rsidP="000A4D84"/>
    <w:p w14:paraId="7967AEB4" w14:textId="60BA255E" w:rsidR="000A4D84" w:rsidRPr="000A4D84" w:rsidRDefault="000A4D84" w:rsidP="000A4D84">
      <w:r>
        <w:t>La DPGF est à renseigner dans son intégralité.</w:t>
      </w:r>
    </w:p>
    <w:p w14:paraId="70711C0D" w14:textId="6E364437" w:rsidR="00145DF0" w:rsidRPr="00566C90" w:rsidRDefault="00145DF0" w:rsidP="00145DF0">
      <w:r w:rsidRPr="00145DF0">
        <w:t xml:space="preserve">La DPGF </w:t>
      </w:r>
      <w:r w:rsidRPr="00566C90">
        <w:t>devra être transmis</w:t>
      </w:r>
      <w:r>
        <w:t>e</w:t>
      </w:r>
      <w:r w:rsidRPr="00566C90">
        <w:t xml:space="preserve"> dûment complétés sous format Excel et signés par les représentants qualifiés des entreprises ayant vocation à être titulaire du marché sous format PDF ;</w:t>
      </w:r>
    </w:p>
    <w:p w14:paraId="504C1475" w14:textId="77777777" w:rsidR="000A4D84" w:rsidRPr="00164263" w:rsidRDefault="000A4D84" w:rsidP="00EC4F8F">
      <w:pPr>
        <w:jc w:val="both"/>
      </w:pPr>
    </w:p>
    <w:p w14:paraId="6A708ADA" w14:textId="77777777" w:rsidR="00EC4F8F" w:rsidRPr="000A4D84" w:rsidRDefault="00EC4F8F" w:rsidP="00EC4F8F">
      <w:pPr>
        <w:jc w:val="both"/>
        <w:rPr>
          <w:b/>
          <w:bCs/>
          <w:i/>
          <w:iCs/>
        </w:rPr>
      </w:pPr>
      <w:r w:rsidRPr="000A4D84">
        <w:rPr>
          <w:b/>
          <w:bCs/>
          <w:i/>
          <w:iCs/>
        </w:rPr>
        <w:t xml:space="preserve">Le Bordereau des Prix Unitaires </w:t>
      </w:r>
    </w:p>
    <w:p w14:paraId="7A8BB232" w14:textId="77777777" w:rsidR="00EC4F8F" w:rsidRDefault="00EC4F8F" w:rsidP="00EC4F8F">
      <w:pPr>
        <w:jc w:val="both"/>
      </w:pPr>
    </w:p>
    <w:p w14:paraId="34EEBDF6" w14:textId="5384E445" w:rsidR="000A4D84" w:rsidRPr="000A4D84" w:rsidRDefault="000A4D84" w:rsidP="000A4D84">
      <w:r>
        <w:t>Le Bordereau des Prix Unitaires est à renseigner dans son intégralité.</w:t>
      </w:r>
    </w:p>
    <w:p w14:paraId="7B216671" w14:textId="77777777" w:rsidR="000A4D84" w:rsidRDefault="000A4D84" w:rsidP="00EC4F8F">
      <w:pPr>
        <w:jc w:val="both"/>
      </w:pPr>
    </w:p>
    <w:p w14:paraId="0577665D" w14:textId="77777777" w:rsidR="00566C90" w:rsidRPr="00566C90" w:rsidRDefault="00566C90" w:rsidP="00566C90">
      <w:r w:rsidRPr="00566C90">
        <w:t>Le BPU devra être transmis dûment complétés sous format Excel et signés par les représentants qualifiés des entreprises ayant vocation à être titulaire du marché sous format PDF ;</w:t>
      </w:r>
    </w:p>
    <w:p w14:paraId="68017C66" w14:textId="77777777" w:rsidR="00AB25E3" w:rsidRDefault="00AB25E3" w:rsidP="00EC4F8F">
      <w:pPr>
        <w:jc w:val="both"/>
      </w:pPr>
    </w:p>
    <w:p w14:paraId="64100FEA" w14:textId="5768FA25" w:rsidR="00EC4F8F" w:rsidRPr="00164263" w:rsidRDefault="00EC4F8F" w:rsidP="00EC4F8F">
      <w:pPr>
        <w:jc w:val="both"/>
      </w:pPr>
      <w:r w:rsidRPr="00164263">
        <w:t>La proposition financière indique</w:t>
      </w:r>
      <w:r w:rsidR="000A4D84" w:rsidRPr="00164263">
        <w:t xml:space="preserve"> :</w:t>
      </w:r>
      <w:r w:rsidR="000A4D84">
        <w:t xml:space="preserve"> le</w:t>
      </w:r>
      <w:r w:rsidRPr="00164263">
        <w:t xml:space="preserve"> prix unitaire hors taxe de la fourniture selon l’unité de mesure précisée</w:t>
      </w:r>
    </w:p>
    <w:p w14:paraId="388F5682" w14:textId="77777777" w:rsidR="00EC4F8F" w:rsidRPr="00164263" w:rsidRDefault="00EC4F8F" w:rsidP="00EC4F8F">
      <w:pPr>
        <w:jc w:val="both"/>
      </w:pPr>
    </w:p>
    <w:p w14:paraId="3512EC1D" w14:textId="77777777" w:rsidR="00EC4F8F" w:rsidRPr="008B5247" w:rsidRDefault="00EC4F8F" w:rsidP="00EC4F8F">
      <w:pPr>
        <w:jc w:val="both"/>
        <w:rPr>
          <w:b/>
        </w:rPr>
      </w:pPr>
      <w:r w:rsidRPr="008B5247">
        <w:rPr>
          <w:b/>
        </w:rPr>
        <w:t>IMPORTANT : Les candidats sont jugés uniquement sur les lignes qui figurent au BPU</w:t>
      </w:r>
      <w:r>
        <w:rPr>
          <w:b/>
        </w:rPr>
        <w:t xml:space="preserve">, </w:t>
      </w:r>
      <w:r w:rsidRPr="008B5247">
        <w:rPr>
          <w:b/>
        </w:rPr>
        <w:t xml:space="preserve">les lignes ajoutées par les candidats ne seront pas analysées, ni jugées. </w:t>
      </w:r>
    </w:p>
    <w:p w14:paraId="3AB87211" w14:textId="77777777" w:rsidR="00EC4F8F" w:rsidRDefault="00EC4F8F" w:rsidP="00FF6988">
      <w:pPr>
        <w:rPr>
          <w:rFonts w:cs="Calibri"/>
        </w:rPr>
      </w:pPr>
    </w:p>
    <w:p w14:paraId="63E19EE6" w14:textId="054EF279" w:rsidR="000A4D84" w:rsidRPr="000A4D84" w:rsidRDefault="000A4D84" w:rsidP="000A4D84">
      <w:pPr>
        <w:rPr>
          <w:rFonts w:cs="Calibri"/>
        </w:rPr>
      </w:pPr>
      <w:r w:rsidRPr="000A4D84">
        <w:rPr>
          <w:rFonts w:cs="Calibri"/>
        </w:rPr>
        <w:t>En cas de recours à la sous-traitance, le candidat, qu’il s’agisse d’une entreprise seule ou d’un groupement</w:t>
      </w:r>
      <w:r>
        <w:rPr>
          <w:rFonts w:cs="Calibri"/>
        </w:rPr>
        <w:t xml:space="preserve"> </w:t>
      </w:r>
      <w:r w:rsidRPr="000A4D84">
        <w:rPr>
          <w:rFonts w:cs="Calibri"/>
        </w:rPr>
        <w:t>d’entreprises, indique dans son offre l’identité des sous-traitants auxquels il envisage de recourir, ainsi que</w:t>
      </w:r>
      <w:r>
        <w:rPr>
          <w:rFonts w:cs="Calibri"/>
        </w:rPr>
        <w:t xml:space="preserve"> </w:t>
      </w:r>
      <w:r w:rsidRPr="000A4D84">
        <w:rPr>
          <w:rFonts w:cs="Calibri"/>
        </w:rPr>
        <w:t>la nature des prestations sous-traitées et leur montant.</w:t>
      </w:r>
      <w:r>
        <w:rPr>
          <w:rFonts w:cs="Calibri"/>
        </w:rPr>
        <w:t xml:space="preserve"> </w:t>
      </w:r>
      <w:r w:rsidRPr="000A4D84">
        <w:rPr>
          <w:rFonts w:cs="Calibri"/>
          <w:b/>
          <w:bCs/>
        </w:rPr>
        <w:t>(Obligation de présenter les contrats de sous-traitances)</w:t>
      </w:r>
    </w:p>
    <w:p w14:paraId="1CF6DB3A" w14:textId="77777777" w:rsidR="000A4D84" w:rsidRDefault="000A4D84" w:rsidP="000A4D84">
      <w:pPr>
        <w:rPr>
          <w:rFonts w:cs="Calibri"/>
        </w:rPr>
      </w:pPr>
    </w:p>
    <w:p w14:paraId="65D798EA" w14:textId="0436F165" w:rsidR="000A4D84" w:rsidRPr="000A4D84" w:rsidRDefault="000A4D84" w:rsidP="000A4D84">
      <w:pPr>
        <w:rPr>
          <w:rFonts w:cs="Calibri"/>
        </w:rPr>
      </w:pPr>
      <w:r w:rsidRPr="000A4D84">
        <w:rPr>
          <w:rFonts w:cs="Calibri"/>
        </w:rPr>
        <w:t>La notification du marché au candidat emporte acceptation par le pouvoir adjudicateur des sous-traitants</w:t>
      </w:r>
      <w:r>
        <w:rPr>
          <w:rFonts w:cs="Calibri"/>
        </w:rPr>
        <w:t xml:space="preserve"> </w:t>
      </w:r>
      <w:r w:rsidRPr="000A4D84">
        <w:rPr>
          <w:rFonts w:cs="Calibri"/>
        </w:rPr>
        <w:t>présentés et agrément de leurs conditions de paiement.</w:t>
      </w:r>
    </w:p>
    <w:p w14:paraId="41E212DD" w14:textId="77777777" w:rsidR="000A4D84" w:rsidRDefault="000A4D84" w:rsidP="000A4D84">
      <w:pPr>
        <w:rPr>
          <w:rFonts w:cs="Calibri"/>
        </w:rPr>
      </w:pPr>
    </w:p>
    <w:p w14:paraId="1B124025" w14:textId="4AD754EE" w:rsidR="000A4D84" w:rsidRPr="000A4D84" w:rsidRDefault="000A4D84" w:rsidP="000A4D84">
      <w:pPr>
        <w:rPr>
          <w:rFonts w:cs="Calibri"/>
        </w:rPr>
      </w:pPr>
      <w:r w:rsidRPr="000A4D84">
        <w:rPr>
          <w:rFonts w:cs="Calibri"/>
        </w:rPr>
        <w:t>Le paiement direct ne pourra intervenir que pour des montants supérieurs à 600 € TTC.</w:t>
      </w:r>
    </w:p>
    <w:p w14:paraId="5FA93CEA" w14:textId="77777777" w:rsidR="000A4D84" w:rsidRDefault="000A4D84" w:rsidP="000A4D84">
      <w:pPr>
        <w:rPr>
          <w:rFonts w:cs="Calibri"/>
        </w:rPr>
      </w:pPr>
    </w:p>
    <w:p w14:paraId="253ED981" w14:textId="69EAAF96" w:rsidR="000A4D84" w:rsidRDefault="000A4D84" w:rsidP="000A4D84">
      <w:pPr>
        <w:rPr>
          <w:rFonts w:cs="Calibri"/>
        </w:rPr>
      </w:pPr>
      <w:r w:rsidRPr="000A4D84">
        <w:rPr>
          <w:rFonts w:cs="Calibri"/>
        </w:rPr>
        <w:t>Le titulaire du marché conserve néanmoins la faculté de présenter des sous-traitants à l’acceptation du</w:t>
      </w:r>
      <w:r>
        <w:rPr>
          <w:rFonts w:cs="Calibri"/>
        </w:rPr>
        <w:t xml:space="preserve"> </w:t>
      </w:r>
      <w:r w:rsidRPr="000A4D84">
        <w:rPr>
          <w:rFonts w:cs="Calibri"/>
        </w:rPr>
        <w:t>pouvoir adjudicateur en cours d’exécution du marché.</w:t>
      </w:r>
    </w:p>
    <w:p w14:paraId="38133D8B" w14:textId="77777777" w:rsidR="000A4D84" w:rsidRPr="000A4D84" w:rsidRDefault="000A4D84" w:rsidP="000A4D84">
      <w:pPr>
        <w:rPr>
          <w:rFonts w:cs="Calibri"/>
        </w:rPr>
      </w:pPr>
    </w:p>
    <w:p w14:paraId="1377F518" w14:textId="06D26FB2" w:rsidR="000A4D84" w:rsidRDefault="000A4D84" w:rsidP="000A4D84">
      <w:pPr>
        <w:rPr>
          <w:rFonts w:cs="Calibri"/>
        </w:rPr>
      </w:pPr>
      <w:r w:rsidRPr="000A4D84">
        <w:rPr>
          <w:rFonts w:cs="Calibri"/>
        </w:rPr>
        <w:t>Attention : Les candidats se présentant avec un sous-traitant peuvent répondre électroniquement via le</w:t>
      </w:r>
      <w:r>
        <w:rPr>
          <w:rFonts w:cs="Calibri"/>
        </w:rPr>
        <w:t xml:space="preserve"> </w:t>
      </w:r>
      <w:r w:rsidRPr="000A4D84">
        <w:rPr>
          <w:rFonts w:cs="Calibri"/>
        </w:rPr>
        <w:t>dispositif DUME et déclarer la sous-traitance en déposant le formulaire DC4 et les autres éléments de</w:t>
      </w:r>
      <w:r>
        <w:rPr>
          <w:rFonts w:cs="Calibri"/>
        </w:rPr>
        <w:t xml:space="preserve"> </w:t>
      </w:r>
      <w:r w:rsidRPr="000A4D84">
        <w:rPr>
          <w:rFonts w:cs="Calibri"/>
        </w:rPr>
        <w:t>candidature demandés en pièces jointes de l'offre.</w:t>
      </w:r>
    </w:p>
    <w:p w14:paraId="58B065C1" w14:textId="77777777" w:rsidR="000A4D84" w:rsidRDefault="000A4D84" w:rsidP="00FF6988">
      <w:pPr>
        <w:rPr>
          <w:rFonts w:cs="Calibri"/>
        </w:rPr>
      </w:pPr>
    </w:p>
    <w:p w14:paraId="64F5712A" w14:textId="6E7DDA37" w:rsidR="00E42082" w:rsidRPr="00E42082" w:rsidRDefault="00E42082" w:rsidP="00FF6988">
      <w:pPr>
        <w:rPr>
          <w:rFonts w:cs="Calibri"/>
          <w:b/>
          <w:bCs/>
        </w:rPr>
      </w:pPr>
      <w:r w:rsidRPr="00E42082">
        <w:rPr>
          <w:rFonts w:cs="Calibri"/>
          <w:b/>
          <w:bCs/>
        </w:rPr>
        <w:t>Mémoire technique</w:t>
      </w:r>
    </w:p>
    <w:p w14:paraId="4817B2BB" w14:textId="51039630" w:rsidR="005E5591" w:rsidRPr="00DF6CD5" w:rsidRDefault="005E5591" w:rsidP="005E5591">
      <w:pPr>
        <w:jc w:val="both"/>
      </w:pPr>
      <w:r w:rsidRPr="00DF6CD5">
        <w:t xml:space="preserve">Un mémoire technique </w:t>
      </w:r>
      <w:r w:rsidR="00136880" w:rsidRPr="00DF6CD5">
        <w:t>détaillant toutes les mesures prises par le candidat pour satisfaire aux exigences du présent marché. Afin de juger de la valeur technique des offres, les candidats devront fournir à minima les éléments suivants :</w:t>
      </w:r>
    </w:p>
    <w:p w14:paraId="6A815CDA" w14:textId="77777777" w:rsidR="000A4D84" w:rsidRDefault="000A4D84" w:rsidP="00FF6988">
      <w:pPr>
        <w:rPr>
          <w:rFonts w:cs="Calibri"/>
        </w:rPr>
      </w:pPr>
    </w:p>
    <w:p w14:paraId="056AC83D" w14:textId="611A1C56" w:rsidR="00DF6CD5" w:rsidRPr="000F0F77" w:rsidRDefault="00DF6CD5" w:rsidP="00DF6CD5">
      <w:pPr>
        <w:pStyle w:val="Paragraphedeliste"/>
        <w:numPr>
          <w:ilvl w:val="0"/>
          <w:numId w:val="38"/>
        </w:numPr>
        <w:rPr>
          <w:rFonts w:cs="Calibri"/>
        </w:rPr>
      </w:pPr>
      <w:r w:rsidRPr="000F0F77">
        <w:rPr>
          <w:rFonts w:cs="Calibri"/>
        </w:rPr>
        <w:t>La méthodologie, l’organisation, le maillage opérationnel et administratif proposés pour répondre au marché ;</w:t>
      </w:r>
    </w:p>
    <w:p w14:paraId="6C9086C0" w14:textId="77777777" w:rsidR="00DF6CD5" w:rsidRPr="000F0F77" w:rsidRDefault="00DF6CD5" w:rsidP="00DF6CD5">
      <w:pPr>
        <w:rPr>
          <w:rFonts w:cs="Calibri"/>
        </w:rPr>
      </w:pPr>
    </w:p>
    <w:p w14:paraId="397F4ACE" w14:textId="77777777" w:rsidR="009521B4" w:rsidRPr="000F0F77" w:rsidRDefault="009521B4" w:rsidP="009521B4">
      <w:pPr>
        <w:pStyle w:val="Paragraphedeliste"/>
        <w:numPr>
          <w:ilvl w:val="0"/>
          <w:numId w:val="38"/>
        </w:numPr>
        <w:rPr>
          <w:rFonts w:cs="Calibri"/>
        </w:rPr>
      </w:pPr>
      <w:r w:rsidRPr="000F0F77">
        <w:rPr>
          <w:rFonts w:cs="Calibri"/>
        </w:rPr>
        <w:t>La méthodologie, le calendrier et le planning de déploiement des prestations ; y compris la période de transition (prise en charge)</w:t>
      </w:r>
    </w:p>
    <w:p w14:paraId="45329ED9" w14:textId="77777777" w:rsidR="009521B4" w:rsidRPr="000F0F77" w:rsidRDefault="009521B4" w:rsidP="00DF6CD5">
      <w:pPr>
        <w:rPr>
          <w:rFonts w:cs="Calibri"/>
        </w:rPr>
      </w:pPr>
    </w:p>
    <w:p w14:paraId="6EBF672C" w14:textId="77777777" w:rsidR="009521B4" w:rsidRPr="000F0F77" w:rsidRDefault="009521B4" w:rsidP="009521B4">
      <w:pPr>
        <w:pStyle w:val="Paragraphedeliste"/>
        <w:numPr>
          <w:ilvl w:val="0"/>
          <w:numId w:val="38"/>
        </w:numPr>
        <w:rPr>
          <w:rFonts w:cs="Calibri"/>
        </w:rPr>
      </w:pPr>
      <w:r w:rsidRPr="000F0F77">
        <w:rPr>
          <w:rFonts w:cs="Calibri"/>
        </w:rPr>
        <w:lastRenderedPageBreak/>
        <w:t>L’organisation des ressources humaines affectées au marché, les moyens humains et matériels, le profil du ou des cadres, des techniciens avec précision des formations suivies, de l’expérience et de la mise à jour des connaissances ;</w:t>
      </w:r>
    </w:p>
    <w:p w14:paraId="4CDFC1CF" w14:textId="28A22F48" w:rsidR="009521B4" w:rsidRPr="000F0F77" w:rsidRDefault="009521B4" w:rsidP="009521B4">
      <w:pPr>
        <w:ind w:left="708"/>
        <w:rPr>
          <w:rFonts w:cs="Calibri"/>
        </w:rPr>
      </w:pPr>
      <w:r w:rsidRPr="000F0F77">
        <w:rPr>
          <w:rFonts w:cs="Calibri"/>
        </w:rPr>
        <w:t>Préciser le personnel présent sur site et hors site.</w:t>
      </w:r>
    </w:p>
    <w:p w14:paraId="0B88832F" w14:textId="77777777" w:rsidR="009521B4" w:rsidRPr="000F0F77" w:rsidRDefault="009521B4" w:rsidP="00DF6CD5">
      <w:pPr>
        <w:rPr>
          <w:rFonts w:cs="Calibri"/>
        </w:rPr>
      </w:pPr>
    </w:p>
    <w:p w14:paraId="012ED369" w14:textId="77777777" w:rsidR="009521B4" w:rsidRPr="000F0F77" w:rsidRDefault="009521B4" w:rsidP="009521B4">
      <w:pPr>
        <w:pStyle w:val="Paragraphedeliste"/>
        <w:numPr>
          <w:ilvl w:val="0"/>
          <w:numId w:val="38"/>
        </w:numPr>
        <w:rPr>
          <w:rFonts w:cs="Calibri"/>
        </w:rPr>
      </w:pPr>
      <w:r w:rsidRPr="000F0F77">
        <w:rPr>
          <w:rFonts w:cs="Calibri"/>
        </w:rPr>
        <w:t>La méthodologie, le calendrier et le planning de déploiement de la GMAO imposée par le CHU dans ses différentes étapes (phase de saisie des matériels dans la GMAO, la mise en œuvre prévisionnelle, la formation aux utilisateurs et référents).</w:t>
      </w:r>
    </w:p>
    <w:p w14:paraId="08D32FE5" w14:textId="77777777" w:rsidR="009521B4" w:rsidRPr="000F0F77" w:rsidRDefault="009521B4" w:rsidP="00DF6CD5">
      <w:pPr>
        <w:rPr>
          <w:rFonts w:cs="Calibri"/>
        </w:rPr>
      </w:pPr>
    </w:p>
    <w:p w14:paraId="3FAB1281" w14:textId="77777777" w:rsidR="009521B4" w:rsidRPr="000F0F77" w:rsidRDefault="009521B4" w:rsidP="009521B4">
      <w:pPr>
        <w:pStyle w:val="Paragraphedeliste"/>
        <w:numPr>
          <w:ilvl w:val="0"/>
          <w:numId w:val="38"/>
        </w:numPr>
        <w:rPr>
          <w:rFonts w:cs="Calibri"/>
        </w:rPr>
      </w:pPr>
      <w:r w:rsidRPr="000F0F77">
        <w:rPr>
          <w:rFonts w:cs="Calibri"/>
        </w:rPr>
        <w:t>Une proposition de calendrier prévisionnel de la maintenance préventive ;</w:t>
      </w:r>
    </w:p>
    <w:p w14:paraId="429D37A6" w14:textId="77777777" w:rsidR="009521B4" w:rsidRPr="000F0F77" w:rsidRDefault="009521B4" w:rsidP="00DF6CD5">
      <w:pPr>
        <w:rPr>
          <w:rFonts w:cs="Calibri"/>
        </w:rPr>
      </w:pPr>
    </w:p>
    <w:p w14:paraId="7F8E7599" w14:textId="2E3075F7" w:rsidR="00DF6CD5" w:rsidRPr="000F0F77" w:rsidRDefault="00DF6CD5" w:rsidP="00DF6CD5">
      <w:pPr>
        <w:pStyle w:val="Paragraphedeliste"/>
        <w:numPr>
          <w:ilvl w:val="0"/>
          <w:numId w:val="38"/>
        </w:numPr>
        <w:rPr>
          <w:rFonts w:cs="Calibri"/>
        </w:rPr>
      </w:pPr>
      <w:r w:rsidRPr="000F0F77">
        <w:rPr>
          <w:rFonts w:cs="Calibri"/>
        </w:rPr>
        <w:t>L’organisation des astreintes et du mode dégradé de la prestation en cas d’évènement imprévisible ;</w:t>
      </w:r>
    </w:p>
    <w:p w14:paraId="2DE44BAD" w14:textId="77777777" w:rsidR="00DF6CD5" w:rsidRPr="000F0F77" w:rsidRDefault="00DF6CD5" w:rsidP="00DF6CD5">
      <w:pPr>
        <w:pStyle w:val="Paragraphedeliste"/>
        <w:rPr>
          <w:rFonts w:cs="Calibri"/>
        </w:rPr>
      </w:pPr>
    </w:p>
    <w:p w14:paraId="6F8638E5" w14:textId="30313881" w:rsidR="00DF6CD5" w:rsidRPr="000F0F77" w:rsidRDefault="00DF6CD5" w:rsidP="00DF6CD5">
      <w:pPr>
        <w:pStyle w:val="Paragraphedeliste"/>
        <w:numPr>
          <w:ilvl w:val="0"/>
          <w:numId w:val="38"/>
        </w:numPr>
        <w:rPr>
          <w:rFonts w:cs="Calibri"/>
        </w:rPr>
      </w:pPr>
      <w:r w:rsidRPr="000F0F77">
        <w:rPr>
          <w:rFonts w:cs="Calibri"/>
        </w:rPr>
        <w:t xml:space="preserve">La capacité du candidat à proposer des solutions </w:t>
      </w:r>
      <w:proofErr w:type="spellStart"/>
      <w:r w:rsidRPr="000F0F77">
        <w:rPr>
          <w:rFonts w:cs="Calibri"/>
        </w:rPr>
        <w:t>éco-responsables</w:t>
      </w:r>
      <w:proofErr w:type="spellEnd"/>
      <w:r w:rsidRPr="000F0F77">
        <w:rPr>
          <w:rFonts w:cs="Calibri"/>
        </w:rPr>
        <w:t xml:space="preserve"> ;</w:t>
      </w:r>
    </w:p>
    <w:p w14:paraId="40C3BB1E" w14:textId="77777777" w:rsidR="00F774D1" w:rsidRPr="000F0F77" w:rsidRDefault="009521B4" w:rsidP="00F774D1">
      <w:pPr>
        <w:pStyle w:val="Paragraphedeliste"/>
        <w:rPr>
          <w:rFonts w:cs="Calibri"/>
        </w:rPr>
      </w:pPr>
      <w:r w:rsidRPr="000F0F77">
        <w:rPr>
          <w:rFonts w:cs="Calibri"/>
        </w:rPr>
        <w:t xml:space="preserve">Présentation d’un plan de progrès en Développement Durable </w:t>
      </w:r>
      <w:r w:rsidR="00F774D1" w:rsidRPr="000F0F77">
        <w:rPr>
          <w:rFonts w:cs="Calibri"/>
        </w:rPr>
        <w:t>pour limiter :</w:t>
      </w:r>
    </w:p>
    <w:p w14:paraId="2FEE3B4D" w14:textId="77777777" w:rsidR="00F774D1" w:rsidRPr="000F0F77" w:rsidRDefault="00F774D1" w:rsidP="00F774D1">
      <w:pPr>
        <w:pStyle w:val="Paragraphedeliste"/>
        <w:rPr>
          <w:rFonts w:cs="Calibri"/>
        </w:rPr>
      </w:pPr>
      <w:r w:rsidRPr="000F0F77">
        <w:rPr>
          <w:rFonts w:cs="Calibri"/>
        </w:rPr>
        <w:t>•</w:t>
      </w:r>
      <w:r w:rsidRPr="000F0F77">
        <w:rPr>
          <w:rFonts w:cs="Calibri"/>
        </w:rPr>
        <w:tab/>
        <w:t>Rejet des effluant</w:t>
      </w:r>
    </w:p>
    <w:p w14:paraId="6165C4CC" w14:textId="77777777" w:rsidR="00F774D1" w:rsidRPr="000F0F77" w:rsidRDefault="00F774D1" w:rsidP="00F774D1">
      <w:pPr>
        <w:pStyle w:val="Paragraphedeliste"/>
        <w:rPr>
          <w:rFonts w:cs="Calibri"/>
        </w:rPr>
      </w:pPr>
      <w:r w:rsidRPr="000F0F77">
        <w:rPr>
          <w:rFonts w:cs="Calibri"/>
        </w:rPr>
        <w:t>•</w:t>
      </w:r>
      <w:r w:rsidRPr="000F0F77">
        <w:rPr>
          <w:rFonts w:cs="Calibri"/>
        </w:rPr>
        <w:tab/>
        <w:t>Consommation énergétique (gaz, électricité)</w:t>
      </w:r>
    </w:p>
    <w:p w14:paraId="547BA831" w14:textId="183BBF6C" w:rsidR="009521B4" w:rsidRPr="000F0F77" w:rsidRDefault="00F774D1" w:rsidP="00F774D1">
      <w:pPr>
        <w:pStyle w:val="Paragraphedeliste"/>
        <w:rPr>
          <w:rFonts w:cs="Calibri"/>
        </w:rPr>
      </w:pPr>
      <w:r w:rsidRPr="000F0F77">
        <w:rPr>
          <w:rFonts w:cs="Calibri"/>
        </w:rPr>
        <w:t>•</w:t>
      </w:r>
      <w:r w:rsidRPr="000F0F77">
        <w:rPr>
          <w:rFonts w:cs="Calibri"/>
        </w:rPr>
        <w:tab/>
        <w:t>Consommation en eau</w:t>
      </w:r>
    </w:p>
    <w:p w14:paraId="4FE7BE48" w14:textId="77777777" w:rsidR="00DD66FF" w:rsidRPr="000F0F77" w:rsidRDefault="00DD66FF" w:rsidP="00DD66FF">
      <w:pPr>
        <w:pStyle w:val="Paragraphedeliste"/>
        <w:rPr>
          <w:rFonts w:cs="Calibri"/>
        </w:rPr>
      </w:pPr>
    </w:p>
    <w:p w14:paraId="6EF89170" w14:textId="0160F828" w:rsidR="00DF6CD5" w:rsidRPr="000F0F77" w:rsidRDefault="00DF6CD5" w:rsidP="000E06A7">
      <w:pPr>
        <w:pStyle w:val="Paragraphedeliste"/>
        <w:numPr>
          <w:ilvl w:val="0"/>
          <w:numId w:val="38"/>
        </w:numPr>
        <w:rPr>
          <w:rFonts w:cs="Calibri"/>
        </w:rPr>
      </w:pPr>
      <w:r w:rsidRPr="000F0F77">
        <w:rPr>
          <w:rFonts w:cs="Calibri"/>
        </w:rPr>
        <w:t>Les attestations des accords commerciaux de fourniture de pièces auprès des principaux</w:t>
      </w:r>
      <w:r w:rsidR="00DD66FF" w:rsidRPr="000F0F77">
        <w:rPr>
          <w:rFonts w:cs="Calibri"/>
        </w:rPr>
        <w:t xml:space="preserve"> </w:t>
      </w:r>
      <w:r w:rsidRPr="000F0F77">
        <w:rPr>
          <w:rFonts w:cs="Calibri"/>
        </w:rPr>
        <w:t>fabricants de matériel ;</w:t>
      </w:r>
    </w:p>
    <w:p w14:paraId="46DC26DA" w14:textId="77777777" w:rsidR="00DD66FF" w:rsidRPr="000F0F77" w:rsidRDefault="00DD66FF" w:rsidP="00DD66FF">
      <w:pPr>
        <w:pStyle w:val="Paragraphedeliste"/>
        <w:rPr>
          <w:rFonts w:cs="Calibri"/>
        </w:rPr>
      </w:pPr>
    </w:p>
    <w:p w14:paraId="50F05825" w14:textId="170094E6" w:rsidR="00DF6CD5" w:rsidRPr="000F0F77" w:rsidRDefault="00DF6CD5" w:rsidP="00DF6CD5">
      <w:pPr>
        <w:pStyle w:val="Paragraphedeliste"/>
        <w:numPr>
          <w:ilvl w:val="0"/>
          <w:numId w:val="38"/>
        </w:numPr>
        <w:rPr>
          <w:rFonts w:cs="Calibri"/>
        </w:rPr>
      </w:pPr>
      <w:r w:rsidRPr="000F0F77">
        <w:rPr>
          <w:rFonts w:cs="Calibri"/>
        </w:rPr>
        <w:t>Les modalités d'approvisionnement en pièces détachées avec les délais ;</w:t>
      </w:r>
    </w:p>
    <w:p w14:paraId="2165BB02" w14:textId="77777777" w:rsidR="00DD66FF" w:rsidRPr="000F0F77" w:rsidRDefault="00DD66FF" w:rsidP="00DD66FF">
      <w:pPr>
        <w:pStyle w:val="Paragraphedeliste"/>
        <w:rPr>
          <w:rFonts w:cs="Calibri"/>
        </w:rPr>
      </w:pPr>
    </w:p>
    <w:p w14:paraId="680D7962" w14:textId="63FA5B33" w:rsidR="00126506" w:rsidRPr="000F0F77" w:rsidRDefault="00DF6CD5" w:rsidP="00DF6CD5">
      <w:pPr>
        <w:pStyle w:val="Paragraphedeliste"/>
        <w:numPr>
          <w:ilvl w:val="0"/>
          <w:numId w:val="38"/>
        </w:numPr>
        <w:rPr>
          <w:rFonts w:cs="Calibri"/>
        </w:rPr>
      </w:pPr>
      <w:r w:rsidRPr="000F0F77">
        <w:rPr>
          <w:rFonts w:cs="Calibri"/>
        </w:rPr>
        <w:t>Les attestations de formation du ou des techniciens auprès des fabricants des matériels.</w:t>
      </w:r>
    </w:p>
    <w:p w14:paraId="7A209266" w14:textId="77777777" w:rsidR="00126506" w:rsidRDefault="00126506" w:rsidP="00FF6988">
      <w:pPr>
        <w:rPr>
          <w:rFonts w:cs="Calibri"/>
        </w:rPr>
      </w:pPr>
    </w:p>
    <w:p w14:paraId="63F37280" w14:textId="77777777" w:rsidR="000F0F77" w:rsidRPr="000F0F77" w:rsidRDefault="000F0F77" w:rsidP="000F0F77">
      <w:pPr>
        <w:pStyle w:val="Paragraphedeliste"/>
        <w:numPr>
          <w:ilvl w:val="0"/>
          <w:numId w:val="38"/>
        </w:numPr>
        <w:rPr>
          <w:rFonts w:cs="Calibri"/>
        </w:rPr>
      </w:pPr>
      <w:r w:rsidRPr="00A25FA1">
        <w:rPr>
          <w:rFonts w:cs="Calibri"/>
        </w:rPr>
        <w:t>Suivi</w:t>
      </w:r>
      <w:r w:rsidRPr="000F0F77">
        <w:rPr>
          <w:rFonts w:cs="Calibri"/>
        </w:rPr>
        <w:t xml:space="preserve"> </w:t>
      </w:r>
      <w:r w:rsidRPr="00A25FA1">
        <w:rPr>
          <w:rFonts w:cs="Calibri"/>
        </w:rPr>
        <w:t>du</w:t>
      </w:r>
      <w:r w:rsidRPr="000F0F77">
        <w:rPr>
          <w:rFonts w:cs="Calibri"/>
        </w:rPr>
        <w:t xml:space="preserve"> </w:t>
      </w:r>
      <w:r w:rsidRPr="00A25FA1">
        <w:rPr>
          <w:rFonts w:cs="Calibri"/>
        </w:rPr>
        <w:t>marché</w:t>
      </w:r>
      <w:r w:rsidRPr="000F0F77">
        <w:rPr>
          <w:rFonts w:cs="Calibri"/>
        </w:rPr>
        <w:t xml:space="preserve"> </w:t>
      </w:r>
      <w:r w:rsidRPr="00A25FA1">
        <w:rPr>
          <w:rFonts w:cs="Calibri"/>
        </w:rPr>
        <w:t>(rapports</w:t>
      </w:r>
      <w:r w:rsidRPr="000F0F77">
        <w:rPr>
          <w:rFonts w:cs="Calibri"/>
        </w:rPr>
        <w:t xml:space="preserve"> d’activités,</w:t>
      </w:r>
      <w:r w:rsidRPr="00A25FA1">
        <w:rPr>
          <w:rFonts w:cs="Calibri"/>
        </w:rPr>
        <w:t xml:space="preserve"> plan de progrès et contrôle-qualité interne)</w:t>
      </w:r>
    </w:p>
    <w:p w14:paraId="07BEDC4A" w14:textId="77777777" w:rsidR="00126506" w:rsidRDefault="00126506" w:rsidP="00FF6988">
      <w:pPr>
        <w:rPr>
          <w:rFonts w:cs="Calibri"/>
        </w:rPr>
      </w:pPr>
    </w:p>
    <w:p w14:paraId="2425D92D" w14:textId="5ADEBE12" w:rsidR="00A82020" w:rsidRDefault="00A82020" w:rsidP="00F7234B">
      <w:pPr>
        <w:pStyle w:val="Titre2"/>
        <w:rPr>
          <w:i/>
        </w:rPr>
      </w:pPr>
      <w:bookmarkStart w:id="31" w:name="_Toc256000020"/>
      <w:bookmarkStart w:id="32" w:name="_Toc201733980"/>
      <w:r w:rsidRPr="009F74C5">
        <w:t>Visites sur site</w:t>
      </w:r>
      <w:bookmarkEnd w:id="31"/>
      <w:bookmarkEnd w:id="32"/>
      <w:r>
        <w:t xml:space="preserve"> </w:t>
      </w:r>
    </w:p>
    <w:p w14:paraId="144608E6" w14:textId="77777777" w:rsidR="00A82020" w:rsidRDefault="00A82020" w:rsidP="00A82020">
      <w:pPr>
        <w:pStyle w:val="ParagrapheIndent2"/>
        <w:spacing w:line="253" w:lineRule="exact"/>
        <w:ind w:left="20" w:right="20"/>
        <w:jc w:val="both"/>
        <w:rPr>
          <w:color w:val="000000"/>
        </w:rPr>
      </w:pPr>
      <w:r>
        <w:rPr>
          <w:color w:val="000000"/>
        </w:rPr>
        <w:t>La visite sur site est obligatoire.</w:t>
      </w:r>
    </w:p>
    <w:p w14:paraId="14CCD0AE" w14:textId="77777777" w:rsidR="00A82020" w:rsidRDefault="00A82020" w:rsidP="00A82020">
      <w:pPr>
        <w:pStyle w:val="ParagrapheIndent2"/>
        <w:spacing w:line="253" w:lineRule="exact"/>
        <w:ind w:left="20" w:right="20"/>
        <w:jc w:val="both"/>
        <w:rPr>
          <w:color w:val="000000"/>
        </w:rPr>
      </w:pPr>
    </w:p>
    <w:p w14:paraId="24E2A2DE" w14:textId="052815CB" w:rsidR="00193C5C" w:rsidRDefault="00193C5C" w:rsidP="00193C5C">
      <w:r>
        <w:t>Cette visite devra être organisée (sur prise de Rendez-vous), selon les disponibilités de chacun, selon les contraintes de production</w:t>
      </w:r>
      <w:r w:rsidR="00D52324">
        <w:t xml:space="preserve">. </w:t>
      </w:r>
      <w:r w:rsidR="00146654">
        <w:t>La visite doit avoir lieu 2</w:t>
      </w:r>
      <w:r w:rsidR="00D52324" w:rsidRPr="00D52324">
        <w:t xml:space="preserve"> semaines avant la </w:t>
      </w:r>
      <w:r w:rsidR="00D52324">
        <w:t xml:space="preserve">date de </w:t>
      </w:r>
      <w:r w:rsidR="00D52324" w:rsidRPr="00D52324">
        <w:t>remise de l’offre</w:t>
      </w:r>
      <w:r w:rsidR="00D52324">
        <w:t>.</w:t>
      </w:r>
    </w:p>
    <w:p w14:paraId="258EE2D6" w14:textId="77777777" w:rsidR="00193C5C" w:rsidRDefault="00193C5C" w:rsidP="00193C5C"/>
    <w:p w14:paraId="75A0EA74" w14:textId="77777777" w:rsidR="00193C5C" w:rsidRDefault="00193C5C" w:rsidP="00193C5C">
      <w:r>
        <w:t>Les rendez-vous sont à prendre directement prioritairement avec :</w:t>
      </w:r>
    </w:p>
    <w:p w14:paraId="394F659E" w14:textId="77777777" w:rsidR="00193C5C" w:rsidRDefault="00193C5C" w:rsidP="00193C5C"/>
    <w:p w14:paraId="35FA3371" w14:textId="77777777" w:rsidR="00193C5C" w:rsidRDefault="00193C5C" w:rsidP="00193C5C">
      <w:r>
        <w:t xml:space="preserve">M. MACHADO José </w:t>
      </w:r>
    </w:p>
    <w:p w14:paraId="5A94561C" w14:textId="77777777" w:rsidR="00193C5C" w:rsidRDefault="00193C5C" w:rsidP="00193C5C">
      <w:r>
        <w:t>Direction opérationnelle du G.C.S BLANCHISSERIE</w:t>
      </w:r>
    </w:p>
    <w:p w14:paraId="07B844C5" w14:textId="77777777" w:rsidR="00193C5C" w:rsidRDefault="00193C5C" w:rsidP="00193C5C">
      <w:proofErr w:type="spellStart"/>
      <w:r>
        <w:t>Interhospitalière</w:t>
      </w:r>
      <w:proofErr w:type="spellEnd"/>
      <w:r>
        <w:t xml:space="preserve"> du Grand Clermont</w:t>
      </w:r>
    </w:p>
    <w:p w14:paraId="1A8BD2BE" w14:textId="77777777" w:rsidR="00D93B3F" w:rsidRDefault="00193C5C" w:rsidP="00193C5C">
      <w:r>
        <w:t>04 73 16 10 73</w:t>
      </w:r>
    </w:p>
    <w:p w14:paraId="4332EFD1" w14:textId="5554FF56" w:rsidR="00193C5C" w:rsidRDefault="00193C5C" w:rsidP="00193C5C">
      <w:r>
        <w:t>07 89 33 54 11</w:t>
      </w:r>
    </w:p>
    <w:p w14:paraId="1426EBE3" w14:textId="77777777" w:rsidR="00193C5C" w:rsidRDefault="00193C5C" w:rsidP="00193C5C">
      <w:r>
        <w:t>jmachado@chu-clermontferrand.fr</w:t>
      </w:r>
    </w:p>
    <w:p w14:paraId="34341777" w14:textId="77777777" w:rsidR="00193C5C" w:rsidRDefault="00193C5C" w:rsidP="00193C5C"/>
    <w:p w14:paraId="4D750C51" w14:textId="543828A3" w:rsidR="00193C5C" w:rsidRDefault="00193C5C" w:rsidP="00193C5C">
      <w:r>
        <w:t xml:space="preserve">Et en cas d’indisponibilité avec / </w:t>
      </w:r>
      <w:proofErr w:type="gramStart"/>
      <w:r>
        <w:t>ou</w:t>
      </w:r>
      <w:proofErr w:type="gramEnd"/>
    </w:p>
    <w:p w14:paraId="1E666255" w14:textId="77777777" w:rsidR="00193C5C" w:rsidRDefault="00193C5C" w:rsidP="00193C5C"/>
    <w:p w14:paraId="58D727BA" w14:textId="77777777" w:rsidR="00193C5C" w:rsidRDefault="00193C5C" w:rsidP="00193C5C">
      <w:r>
        <w:t>M. BARDY Frédéric</w:t>
      </w:r>
    </w:p>
    <w:p w14:paraId="511BE409" w14:textId="77777777" w:rsidR="00193C5C" w:rsidRDefault="00193C5C" w:rsidP="00193C5C">
      <w:r>
        <w:t>Adjoint Direction opérationnelle du G.C.S BLANCHISSERIE</w:t>
      </w:r>
    </w:p>
    <w:p w14:paraId="36080277" w14:textId="77777777" w:rsidR="00193C5C" w:rsidRDefault="00193C5C" w:rsidP="00193C5C">
      <w:proofErr w:type="spellStart"/>
      <w:r>
        <w:t>Interhospitalière</w:t>
      </w:r>
      <w:proofErr w:type="spellEnd"/>
      <w:r>
        <w:t xml:space="preserve"> du Grand Clermont</w:t>
      </w:r>
    </w:p>
    <w:p w14:paraId="28EFE3E8" w14:textId="6C5356DC" w:rsidR="00193C5C" w:rsidRDefault="00193C5C" w:rsidP="00193C5C">
      <w:r>
        <w:t>fbardy@chu-clermontferrand.fr</w:t>
      </w:r>
    </w:p>
    <w:p w14:paraId="6631E6F4" w14:textId="77777777" w:rsidR="00193C5C" w:rsidRDefault="00193C5C" w:rsidP="00193C5C"/>
    <w:p w14:paraId="26EC989F" w14:textId="51E569B6" w:rsidR="00D93B3F" w:rsidRDefault="00D93B3F" w:rsidP="00193C5C">
      <w:r w:rsidRPr="00D93B3F">
        <w:t>Au terme de chaque visite, une attestation datée devra être signée par le référent de l’établissement et par les représentants des candidats ayant effectué la visite.</w:t>
      </w:r>
    </w:p>
    <w:p w14:paraId="08C4C8CD" w14:textId="77777777" w:rsidR="00D93B3F" w:rsidRDefault="00D93B3F" w:rsidP="00193C5C"/>
    <w:p w14:paraId="337C3F87" w14:textId="52025CB2" w:rsidR="001E4986" w:rsidRDefault="001E4986">
      <w:r>
        <w:br w:type="page"/>
      </w:r>
    </w:p>
    <w:p w14:paraId="3FAAE730" w14:textId="77777777" w:rsidR="00D93B3F" w:rsidRPr="00193C5C" w:rsidRDefault="00D93B3F" w:rsidP="00193C5C"/>
    <w:p w14:paraId="1413AFF1" w14:textId="6A09BBCA" w:rsidR="00C964F2" w:rsidRPr="00C964F2" w:rsidRDefault="00C964F2" w:rsidP="00F7234B">
      <w:pPr>
        <w:pStyle w:val="Titre1"/>
      </w:pPr>
      <w:bookmarkStart w:id="33" w:name="_Toc201733981"/>
      <w:r w:rsidRPr="00C964F2">
        <w:t>Conditions d'envoi ou de remise des plis</w:t>
      </w:r>
      <w:bookmarkEnd w:id="33"/>
    </w:p>
    <w:p w14:paraId="5251788E" w14:textId="77777777" w:rsidR="00C964F2" w:rsidRDefault="00C964F2" w:rsidP="00C964F2">
      <w:pPr>
        <w:rPr>
          <w:rFonts w:cs="Calibri"/>
        </w:rPr>
      </w:pPr>
      <w:r w:rsidRPr="00C964F2">
        <w:rPr>
          <w:rFonts w:cs="Calibri"/>
        </w:rPr>
        <w:t>Les plis devront parvenir à destination avant la date et l'heure limites de réception des offres indiquées sur la page de garde du présent document.</w:t>
      </w:r>
    </w:p>
    <w:p w14:paraId="7C671F6A" w14:textId="77777777" w:rsidR="00112C8A" w:rsidRPr="00C964F2" w:rsidRDefault="00112C8A" w:rsidP="00C964F2">
      <w:pPr>
        <w:rPr>
          <w:rFonts w:cs="Calibri"/>
        </w:rPr>
      </w:pPr>
    </w:p>
    <w:p w14:paraId="1A8ACEC8" w14:textId="2DC6884A" w:rsidR="00C964F2" w:rsidRPr="00C964F2" w:rsidRDefault="00C964F2" w:rsidP="00F7234B">
      <w:pPr>
        <w:pStyle w:val="Titre2"/>
      </w:pPr>
      <w:bookmarkStart w:id="34" w:name="_Toc201733982"/>
      <w:r w:rsidRPr="00C964F2">
        <w:t>Transmission électronique</w:t>
      </w:r>
      <w:bookmarkEnd w:id="34"/>
    </w:p>
    <w:p w14:paraId="25786EDA" w14:textId="010840BA" w:rsidR="00C029F9" w:rsidRPr="002F4FB6" w:rsidRDefault="00C964F2" w:rsidP="00C964F2">
      <w:pPr>
        <w:rPr>
          <w:rFonts w:cs="Calibri"/>
        </w:rPr>
      </w:pPr>
      <w:r w:rsidRPr="00C964F2">
        <w:rPr>
          <w:rFonts w:cs="Calibri"/>
        </w:rPr>
        <w:t xml:space="preserve">La transmission des documents par voie électronique est effectuée sur le profil d'acheteur du pouvoir adjudicateur, à l'adresse URL suivante : </w:t>
      </w:r>
      <w:hyperlink r:id="rId16" w:history="1">
        <w:r w:rsidR="00C029F9" w:rsidRPr="002F4FB6">
          <w:rPr>
            <w:rFonts w:eastAsia="Arial"/>
            <w:color w:val="0000FF"/>
            <w:u w:val="single"/>
          </w:rPr>
          <w:t>https://www.marches-publics.gouv.fr</w:t>
        </w:r>
      </w:hyperlink>
    </w:p>
    <w:p w14:paraId="588C4C84" w14:textId="77777777" w:rsidR="00C964F2" w:rsidRPr="00C964F2" w:rsidRDefault="00C964F2" w:rsidP="00C964F2">
      <w:pPr>
        <w:rPr>
          <w:rFonts w:cs="Calibri"/>
        </w:rPr>
      </w:pPr>
    </w:p>
    <w:p w14:paraId="19604FDA" w14:textId="77777777" w:rsidR="00C964F2" w:rsidRPr="00C964F2" w:rsidRDefault="00C964F2" w:rsidP="00C964F2">
      <w:pPr>
        <w:rPr>
          <w:rFonts w:cs="Calibri"/>
        </w:rPr>
      </w:pPr>
      <w:r w:rsidRPr="00C964F2">
        <w:rPr>
          <w:rFonts w:cs="Calibri"/>
        </w:rPr>
        <w:t>Le choix du mode de transmission est global et irréversible. Les candidats doivent appliquer le même mode de transmission à l'ensemble des documents transmis au pouvoir adjudicateur.</w:t>
      </w:r>
    </w:p>
    <w:p w14:paraId="31A5E05D" w14:textId="77777777" w:rsidR="00C029F9" w:rsidRDefault="00C029F9" w:rsidP="00C964F2">
      <w:pPr>
        <w:rPr>
          <w:rFonts w:cs="Calibri"/>
        </w:rPr>
      </w:pPr>
    </w:p>
    <w:p w14:paraId="1EE42741" w14:textId="7FA32A97" w:rsidR="00C964F2" w:rsidRPr="00C964F2" w:rsidRDefault="00C964F2" w:rsidP="00C964F2">
      <w:pPr>
        <w:rPr>
          <w:rFonts w:cs="Calibri"/>
        </w:rPr>
      </w:pPr>
      <w:r w:rsidRPr="00C964F2">
        <w:rPr>
          <w:rFonts w:cs="Calibri"/>
        </w:rPr>
        <w:t>Le pli doit contenir deux dossiers distincts comportant respectivement les pièces de la candidature et les pièces de l'offre définies au présent règlement de la consultation.</w:t>
      </w:r>
    </w:p>
    <w:p w14:paraId="31C29FE9" w14:textId="77777777" w:rsidR="00C964F2" w:rsidRPr="00C964F2" w:rsidRDefault="00C964F2" w:rsidP="00C964F2">
      <w:pPr>
        <w:rPr>
          <w:rFonts w:cs="Calibri"/>
        </w:rPr>
      </w:pPr>
    </w:p>
    <w:p w14:paraId="127D896F" w14:textId="77777777" w:rsidR="00C964F2" w:rsidRPr="00C964F2" w:rsidRDefault="00C964F2" w:rsidP="00C964F2">
      <w:pPr>
        <w:rPr>
          <w:rFonts w:cs="Calibri"/>
        </w:rPr>
      </w:pPr>
      <w:r w:rsidRPr="00C964F2">
        <w:rPr>
          <w:rFonts w:cs="Calibri"/>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750E2E5A" w14:textId="77777777" w:rsidR="00C964F2" w:rsidRPr="00C964F2" w:rsidRDefault="00C964F2" w:rsidP="00C964F2">
      <w:pPr>
        <w:rPr>
          <w:rFonts w:cs="Calibri"/>
        </w:rPr>
      </w:pPr>
    </w:p>
    <w:p w14:paraId="3C153A64" w14:textId="77777777" w:rsidR="00C964F2" w:rsidRDefault="00C964F2" w:rsidP="00C964F2">
      <w:pPr>
        <w:rPr>
          <w:rFonts w:cs="Calibri"/>
        </w:rPr>
      </w:pPr>
      <w:r w:rsidRPr="00C964F2">
        <w:rPr>
          <w:rFonts w:cs="Calibri"/>
        </w:rPr>
        <w:t>Si une nouvelle offre est envoyée par voie électronique par le même candidat, celle-ci annule et remplace l'offre précédente.</w:t>
      </w:r>
    </w:p>
    <w:p w14:paraId="7B02E274" w14:textId="77777777" w:rsidR="00C029F9" w:rsidRPr="00C964F2" w:rsidRDefault="00C029F9" w:rsidP="00C964F2">
      <w:pPr>
        <w:rPr>
          <w:rFonts w:cs="Calibri"/>
        </w:rPr>
      </w:pPr>
    </w:p>
    <w:p w14:paraId="156DE65F" w14:textId="77777777" w:rsidR="00C964F2" w:rsidRDefault="00C964F2" w:rsidP="00C964F2">
      <w:pPr>
        <w:rPr>
          <w:rFonts w:cs="Calibri"/>
        </w:rPr>
      </w:pPr>
      <w:r w:rsidRPr="00C964F2">
        <w:rPr>
          <w:rFonts w:cs="Calibri"/>
        </w:rPr>
        <w:t>Aucun format électronique n'est préconisé pour la transmission des documents. Cependant, les fichiers devront être transmis dans des formats largement disponibles.</w:t>
      </w:r>
    </w:p>
    <w:p w14:paraId="59AEC3E5" w14:textId="77777777" w:rsidR="00C029F9" w:rsidRPr="00C964F2" w:rsidRDefault="00C029F9" w:rsidP="00C964F2">
      <w:pPr>
        <w:rPr>
          <w:rFonts w:cs="Calibri"/>
        </w:rPr>
      </w:pPr>
    </w:p>
    <w:p w14:paraId="342B8E66" w14:textId="77777777" w:rsidR="00C964F2" w:rsidRPr="00C964F2" w:rsidRDefault="00C964F2" w:rsidP="00C964F2">
      <w:pPr>
        <w:rPr>
          <w:rFonts w:cs="Calibri"/>
        </w:rPr>
      </w:pPr>
      <w:r w:rsidRPr="00C964F2">
        <w:rPr>
          <w:rFonts w:cs="Calibri"/>
        </w:rPr>
        <w:t>L'organisation et le nommage des fichiers attendus par le pouvoir adjudicateur est le suivant :</w:t>
      </w:r>
    </w:p>
    <w:p w14:paraId="0602A843" w14:textId="77777777" w:rsidR="00C964F2" w:rsidRDefault="00C964F2" w:rsidP="00C964F2">
      <w:pPr>
        <w:rPr>
          <w:rFonts w:cs="Calibri"/>
        </w:rPr>
      </w:pPr>
      <w:r w:rsidRPr="00C964F2">
        <w:rPr>
          <w:rFonts w:cs="Calibri"/>
        </w:rPr>
        <w:t>Le nommage des fichiers et des dossiers ne devra pas excéder 10 caractères. Un dossier pourra contenir plusieurs dossiers mais chacun de ceux-ci ne pourront contenir que des fichiers dont le nommage ne devra pas excéder 10 caractères</w:t>
      </w:r>
    </w:p>
    <w:p w14:paraId="4D2BBDF0" w14:textId="77777777" w:rsidR="00C029F9" w:rsidRPr="00C964F2" w:rsidRDefault="00C029F9" w:rsidP="00C964F2">
      <w:pPr>
        <w:rPr>
          <w:rFonts w:cs="Calibri"/>
        </w:rPr>
      </w:pPr>
    </w:p>
    <w:p w14:paraId="2EFDD793" w14:textId="77777777" w:rsidR="00C964F2" w:rsidRPr="00C964F2" w:rsidRDefault="00C964F2" w:rsidP="00C964F2">
      <w:pPr>
        <w:rPr>
          <w:rFonts w:cs="Calibri"/>
        </w:rPr>
      </w:pPr>
      <w:r w:rsidRPr="00C964F2">
        <w:rPr>
          <w:rFonts w:cs="Calibri"/>
        </w:rPr>
        <w:t xml:space="preserve">Chaque document pour lequel une signature est requise doit faire l'objet d'une signature électronique au format </w:t>
      </w:r>
      <w:proofErr w:type="spellStart"/>
      <w:r w:rsidRPr="00C964F2">
        <w:rPr>
          <w:rFonts w:cs="Calibri"/>
        </w:rPr>
        <w:t>XAdES</w:t>
      </w:r>
      <w:proofErr w:type="spellEnd"/>
      <w:r w:rsidRPr="00C964F2">
        <w:rPr>
          <w:rFonts w:cs="Calibri"/>
        </w:rPr>
        <w:t xml:space="preserve">, </w:t>
      </w:r>
      <w:proofErr w:type="spellStart"/>
      <w:r w:rsidRPr="00C964F2">
        <w:rPr>
          <w:rFonts w:cs="Calibri"/>
        </w:rPr>
        <w:t>CAdES</w:t>
      </w:r>
      <w:proofErr w:type="spellEnd"/>
      <w:r w:rsidRPr="00C964F2">
        <w:rPr>
          <w:rFonts w:cs="Calibri"/>
        </w:rPr>
        <w:t xml:space="preserve"> ou </w:t>
      </w:r>
      <w:proofErr w:type="spellStart"/>
      <w:r w:rsidRPr="00C964F2">
        <w:rPr>
          <w:rFonts w:cs="Calibri"/>
        </w:rPr>
        <w:t>PAdES</w:t>
      </w:r>
      <w:proofErr w:type="spellEnd"/>
      <w:r w:rsidRPr="00C964F2">
        <w:rPr>
          <w:rFonts w:cs="Calibri"/>
        </w:rPr>
        <w:t>. La signature électronique du pli ne vaut pas signature des documents qu'il contient.</w:t>
      </w:r>
    </w:p>
    <w:p w14:paraId="5B43F5F2" w14:textId="77777777" w:rsidR="00C964F2" w:rsidRPr="00C964F2" w:rsidRDefault="00C964F2" w:rsidP="00C964F2">
      <w:pPr>
        <w:rPr>
          <w:rFonts w:cs="Calibri"/>
        </w:rPr>
      </w:pPr>
    </w:p>
    <w:p w14:paraId="593F330F" w14:textId="77777777" w:rsidR="00C964F2" w:rsidRPr="00C964F2" w:rsidRDefault="00C964F2" w:rsidP="00C964F2">
      <w:pPr>
        <w:rPr>
          <w:rFonts w:cs="Calibri"/>
        </w:rPr>
      </w:pPr>
      <w:r w:rsidRPr="00C964F2">
        <w:rPr>
          <w:rFonts w:cs="Calibri"/>
        </w:rPr>
        <w:t>Conformément à l'arrêté du 22 mars 2019 relatif à la signature électronique des contrats de la commande publique, la signature doit être une signature avancée reposant sur un certificat qualifié, tel que défini par le règlement européen n° 910/2014 du 23 juillet 2014 sur l'identification électronique et les services de confiance pour les transactions électroniques (</w:t>
      </w:r>
      <w:proofErr w:type="spellStart"/>
      <w:r w:rsidRPr="00C964F2">
        <w:rPr>
          <w:rFonts w:cs="Calibri"/>
        </w:rPr>
        <w:t>eIDAS</w:t>
      </w:r>
      <w:proofErr w:type="spellEnd"/>
      <w:r w:rsidRPr="00C964F2">
        <w:rPr>
          <w:rFonts w:cs="Calibri"/>
        </w:rPr>
        <w:t>). Toutefois, les certificats de signature de type RGS demeurent valables jusqu'à leur expiration.</w:t>
      </w:r>
    </w:p>
    <w:p w14:paraId="6896A0BC" w14:textId="77777777" w:rsidR="00C964F2" w:rsidRPr="00C964F2" w:rsidRDefault="00C964F2" w:rsidP="00C964F2">
      <w:pPr>
        <w:rPr>
          <w:rFonts w:cs="Calibri"/>
        </w:rPr>
      </w:pPr>
    </w:p>
    <w:p w14:paraId="75A147C7" w14:textId="77777777" w:rsidR="00C964F2" w:rsidRPr="00C964F2" w:rsidRDefault="00C964F2" w:rsidP="00C964F2">
      <w:pPr>
        <w:rPr>
          <w:rFonts w:cs="Calibri"/>
        </w:rPr>
      </w:pPr>
      <w:r w:rsidRPr="00C964F2">
        <w:rPr>
          <w:rFonts w:cs="Calibri"/>
        </w:rPr>
        <w:t xml:space="preserve">Le certificat de signature qualifié est délivré par un prestataire de service de confiance qualifié répondant aux exigences du règlement </w:t>
      </w:r>
      <w:proofErr w:type="spellStart"/>
      <w:r w:rsidRPr="00C964F2">
        <w:rPr>
          <w:rFonts w:cs="Calibri"/>
        </w:rPr>
        <w:t>eIDAS</w:t>
      </w:r>
      <w:proofErr w:type="spellEnd"/>
      <w:r w:rsidRPr="00C964F2">
        <w:rPr>
          <w:rFonts w:cs="Calibri"/>
        </w:rPr>
        <w:t xml:space="preserve">. Une liste de prestataires est disponible sur le site de l'ANSSI (https://www.ssi.gouv.fr/). Il peut aussi être délivré par une autorité de certification, française ou étrangère. Le candidat devra alors démontrer son équivalence au règlement </w:t>
      </w:r>
      <w:proofErr w:type="spellStart"/>
      <w:r w:rsidRPr="00C964F2">
        <w:rPr>
          <w:rFonts w:cs="Calibri"/>
        </w:rPr>
        <w:t>eIDAS</w:t>
      </w:r>
      <w:proofErr w:type="spellEnd"/>
      <w:r w:rsidRPr="00C964F2">
        <w:rPr>
          <w:rFonts w:cs="Calibri"/>
        </w:rPr>
        <w:t>.</w:t>
      </w:r>
    </w:p>
    <w:p w14:paraId="474B8452" w14:textId="77777777" w:rsidR="00C964F2" w:rsidRPr="00C964F2" w:rsidRDefault="00C964F2" w:rsidP="00C964F2">
      <w:pPr>
        <w:rPr>
          <w:rFonts w:cs="Calibri"/>
        </w:rPr>
      </w:pPr>
    </w:p>
    <w:p w14:paraId="37200E56" w14:textId="77777777" w:rsidR="00C964F2" w:rsidRDefault="00C964F2" w:rsidP="00C964F2">
      <w:pPr>
        <w:rPr>
          <w:rFonts w:cs="Calibri"/>
        </w:rPr>
      </w:pPr>
      <w:r w:rsidRPr="00C964F2">
        <w:rPr>
          <w:rFonts w:cs="Calibri"/>
        </w:rPr>
        <w:t>Le candidat qui utilise un autre outil de signature que celui du profil d'acheteur, ou un certificat délivré par une autre autorité de certification, doit transmettre gratuitement le mode d'emploi permettant la vérification de la validité de la signature.</w:t>
      </w:r>
    </w:p>
    <w:p w14:paraId="200F0BF3" w14:textId="77777777" w:rsidR="00C029F9" w:rsidRPr="00C964F2" w:rsidRDefault="00C029F9" w:rsidP="00C964F2">
      <w:pPr>
        <w:rPr>
          <w:rFonts w:cs="Calibri"/>
        </w:rPr>
      </w:pPr>
    </w:p>
    <w:p w14:paraId="63D2DD32" w14:textId="77777777" w:rsidR="00C964F2" w:rsidRDefault="00C964F2" w:rsidP="00C964F2">
      <w:pPr>
        <w:rPr>
          <w:rFonts w:cs="Calibri"/>
        </w:rPr>
      </w:pPr>
      <w:r w:rsidRPr="00C964F2">
        <w:rPr>
          <w:rFonts w:cs="Calibri"/>
        </w:rPr>
        <w:t>La signature du contrat par l'attributaire est exigée dans le cadre de cette consultation.</w:t>
      </w:r>
    </w:p>
    <w:p w14:paraId="44CA6C6E" w14:textId="77777777" w:rsidR="00C029F9" w:rsidRPr="00C964F2" w:rsidRDefault="00C029F9" w:rsidP="00C964F2">
      <w:pPr>
        <w:rPr>
          <w:rFonts w:cs="Calibri"/>
        </w:rPr>
      </w:pPr>
    </w:p>
    <w:p w14:paraId="2B7CACD8" w14:textId="77777777" w:rsidR="00C964F2" w:rsidRPr="00C964F2" w:rsidRDefault="00C964F2" w:rsidP="00C964F2">
      <w:pPr>
        <w:rPr>
          <w:rFonts w:cs="Calibri"/>
        </w:rPr>
      </w:pPr>
      <w:r w:rsidRPr="00C964F2">
        <w:rPr>
          <w:rFonts w:cs="Calibri"/>
        </w:rPr>
        <w:t>La copie de sauvegarde peut être transmise à l'adresse suivante :</w:t>
      </w:r>
    </w:p>
    <w:p w14:paraId="68FFA099" w14:textId="7217BC86" w:rsidR="00C964F2" w:rsidRPr="00C964F2" w:rsidRDefault="00C964F2" w:rsidP="00C964F2">
      <w:pPr>
        <w:rPr>
          <w:rFonts w:cs="Calibri"/>
        </w:rPr>
      </w:pPr>
      <w:r w:rsidRPr="00C964F2">
        <w:rPr>
          <w:rFonts w:cs="Calibri"/>
        </w:rPr>
        <w:t xml:space="preserve">CHU de Clermont-Ferrand, Hôpital Gabriel </w:t>
      </w:r>
      <w:proofErr w:type="spellStart"/>
      <w:r w:rsidRPr="00C964F2">
        <w:rPr>
          <w:rFonts w:cs="Calibri"/>
        </w:rPr>
        <w:t>Montpied</w:t>
      </w:r>
      <w:proofErr w:type="spellEnd"/>
      <w:r w:rsidRPr="00C964F2">
        <w:rPr>
          <w:rFonts w:cs="Calibri"/>
        </w:rPr>
        <w:t xml:space="preserve">, Direction des </w:t>
      </w:r>
      <w:r w:rsidR="00146654">
        <w:rPr>
          <w:rFonts w:cs="Calibri"/>
        </w:rPr>
        <w:t>Achats et des Logistiques</w:t>
      </w:r>
      <w:r w:rsidRPr="00C964F2">
        <w:rPr>
          <w:rFonts w:cs="Calibri"/>
        </w:rPr>
        <w:t>, Bureau des Marchés Publics, 58 rue Montalembert, 63 000 Clermont-Ferrand.</w:t>
      </w:r>
    </w:p>
    <w:p w14:paraId="31C10E63" w14:textId="77777777" w:rsidR="00C964F2" w:rsidRPr="00C964F2" w:rsidRDefault="00C964F2" w:rsidP="00C964F2">
      <w:pPr>
        <w:rPr>
          <w:rFonts w:cs="Calibri"/>
        </w:rPr>
      </w:pPr>
    </w:p>
    <w:p w14:paraId="5651A8A8" w14:textId="77777777" w:rsidR="00C964F2" w:rsidRPr="00C964F2" w:rsidRDefault="00C964F2" w:rsidP="00C964F2">
      <w:pPr>
        <w:rPr>
          <w:rFonts w:cs="Calibri"/>
        </w:rPr>
      </w:pPr>
      <w:r w:rsidRPr="00C964F2">
        <w:rPr>
          <w:rFonts w:cs="Calibri"/>
        </w:rPr>
        <w:t>La copie de sauvegarde peut être déposée à l'adresse suivante :</w:t>
      </w:r>
    </w:p>
    <w:p w14:paraId="15C013D2" w14:textId="77777777" w:rsidR="00C964F2" w:rsidRPr="00C964F2" w:rsidRDefault="00C964F2" w:rsidP="00C964F2">
      <w:pPr>
        <w:rPr>
          <w:rFonts w:cs="Calibri"/>
        </w:rPr>
      </w:pPr>
      <w:r w:rsidRPr="00C964F2">
        <w:rPr>
          <w:rFonts w:cs="Calibri"/>
        </w:rPr>
        <w:t>CHU de Clermont-Ferrand, Direction des Travaux, de l’Environnement et de la Sécurité, Bureau des Marchés Publics, Institut de Formation des Soins Infirmiers 4ème étage, Boulevard Winston Churchill, Clermont-Ferrand. Les horaires de réception des copies de sauvegarde sont les suivants : du lundi au vendredi de 9h à 12h00 et de 13h30 à 16h30. Les plis hors délais sont rejetés.</w:t>
      </w:r>
    </w:p>
    <w:p w14:paraId="04C50A27" w14:textId="77777777" w:rsidR="00C964F2" w:rsidRPr="00C964F2" w:rsidRDefault="00C964F2" w:rsidP="00C964F2">
      <w:pPr>
        <w:rPr>
          <w:rFonts w:cs="Calibri"/>
        </w:rPr>
      </w:pPr>
    </w:p>
    <w:p w14:paraId="162329C0" w14:textId="77777777" w:rsidR="00C964F2" w:rsidRDefault="00C964F2" w:rsidP="00C964F2">
      <w:pPr>
        <w:rPr>
          <w:rFonts w:cs="Calibri"/>
        </w:rPr>
      </w:pPr>
      <w:r w:rsidRPr="00C964F2">
        <w:rPr>
          <w:rFonts w:cs="Calibri"/>
        </w:rPr>
        <w:t>Pour signer électroniquement, le candidat peut utiliser l'un des trois formats de signature autorisés par la réglementation (</w:t>
      </w:r>
      <w:proofErr w:type="spellStart"/>
      <w:r w:rsidRPr="00C964F2">
        <w:rPr>
          <w:rFonts w:cs="Calibri"/>
        </w:rPr>
        <w:t>XAdES</w:t>
      </w:r>
      <w:proofErr w:type="spellEnd"/>
      <w:r w:rsidRPr="00C964F2">
        <w:rPr>
          <w:rFonts w:cs="Calibri"/>
        </w:rPr>
        <w:t xml:space="preserve">, </w:t>
      </w:r>
      <w:proofErr w:type="spellStart"/>
      <w:r w:rsidRPr="00C964F2">
        <w:rPr>
          <w:rFonts w:cs="Calibri"/>
        </w:rPr>
        <w:t>CAdES</w:t>
      </w:r>
      <w:proofErr w:type="spellEnd"/>
      <w:r w:rsidRPr="00C964F2">
        <w:rPr>
          <w:rFonts w:cs="Calibri"/>
        </w:rPr>
        <w:t xml:space="preserve"> ou </w:t>
      </w:r>
      <w:proofErr w:type="spellStart"/>
      <w:r w:rsidRPr="00C964F2">
        <w:rPr>
          <w:rFonts w:cs="Calibri"/>
        </w:rPr>
        <w:t>PAdES</w:t>
      </w:r>
      <w:proofErr w:type="spellEnd"/>
      <w:r w:rsidRPr="00C964F2">
        <w:rPr>
          <w:rFonts w:cs="Calibri"/>
        </w:rPr>
        <w:t xml:space="preserve">). Le pouvoir adjudicateur préconise toutefois l'utilisation d'une signature électronique au format </w:t>
      </w:r>
      <w:proofErr w:type="spellStart"/>
      <w:r w:rsidRPr="00C964F2">
        <w:rPr>
          <w:rFonts w:cs="Calibri"/>
        </w:rPr>
        <w:t>pAdES</w:t>
      </w:r>
      <w:proofErr w:type="spellEnd"/>
      <w:r w:rsidRPr="00C964F2">
        <w:rPr>
          <w:rFonts w:cs="Calibri"/>
        </w:rPr>
        <w:t>.</w:t>
      </w:r>
    </w:p>
    <w:p w14:paraId="55D79144" w14:textId="77777777" w:rsidR="00C029F9" w:rsidRPr="00C964F2" w:rsidRDefault="00C029F9" w:rsidP="00C964F2">
      <w:pPr>
        <w:rPr>
          <w:rFonts w:cs="Calibri"/>
        </w:rPr>
      </w:pPr>
    </w:p>
    <w:p w14:paraId="5E056B56" w14:textId="77777777" w:rsidR="00C964F2" w:rsidRDefault="00C964F2" w:rsidP="00C964F2">
      <w:pPr>
        <w:rPr>
          <w:rFonts w:cs="Calibri"/>
        </w:rPr>
      </w:pPr>
      <w:r w:rsidRPr="00C964F2">
        <w:rPr>
          <w:rFonts w:cs="Calibri"/>
        </w:rPr>
        <w:t>Les frais d'accès au réseau et de recours à la signature électronique sont à la charge des candidats.</w:t>
      </w:r>
    </w:p>
    <w:p w14:paraId="1D3DF3A6" w14:textId="77777777" w:rsidR="00C029F9" w:rsidRPr="00C964F2" w:rsidRDefault="00C029F9" w:rsidP="00C964F2">
      <w:pPr>
        <w:rPr>
          <w:rFonts w:cs="Calibri"/>
        </w:rPr>
      </w:pPr>
    </w:p>
    <w:p w14:paraId="10F3B21D" w14:textId="6CB8E186" w:rsidR="00C964F2" w:rsidRPr="00C964F2" w:rsidRDefault="00C964F2" w:rsidP="00C964F2">
      <w:pPr>
        <w:rPr>
          <w:rFonts w:cs="Calibri"/>
        </w:rPr>
      </w:pPr>
      <w:r w:rsidRPr="00C964F2">
        <w:rPr>
          <w:rFonts w:cs="Calibri"/>
        </w:rPr>
        <w:t>Cependant l’acheteur acceptera une signature manuscrite de l’acte d’engagement pour autant que soit joints les documents permettant de montrer la capacité juridique du titulaire à engager sa structure.</w:t>
      </w:r>
    </w:p>
    <w:p w14:paraId="7004BD47" w14:textId="77777777" w:rsidR="00C964F2" w:rsidRPr="00C964F2" w:rsidRDefault="00C964F2" w:rsidP="00C964F2">
      <w:pPr>
        <w:rPr>
          <w:rFonts w:cs="Calibri"/>
        </w:rPr>
      </w:pPr>
    </w:p>
    <w:p w14:paraId="00DE3639" w14:textId="77777777" w:rsidR="00C964F2" w:rsidRPr="00C964F2" w:rsidRDefault="00C964F2" w:rsidP="00C964F2">
      <w:pPr>
        <w:rPr>
          <w:rFonts w:cs="Calibri"/>
        </w:rPr>
      </w:pPr>
      <w:r w:rsidRPr="00C964F2">
        <w:rPr>
          <w:rFonts w:cs="Calibri"/>
        </w:rPr>
        <w:t>Le candidat est invité à créer son "Espace entreprise" sur la plateforme AWS-Entreprise (https://www.marches-publics.info/fournisseurs.htm). Sur cette plateforme, le candidat pourra retrouver l'ensemble de ses retraits de dossier de consultation. L'inscription est un préalable obligatoire pour correspondre avec l'acheteur lors de chaque consultation (Questions/Réponses, Dépôt de candidatures et offres. . .). Elle permet également de bénéficier d'un service d'alertes sur les consultations (précisions, modifications, report de délais...).</w:t>
      </w:r>
    </w:p>
    <w:p w14:paraId="67D2CBB2" w14:textId="77777777" w:rsidR="00C964F2" w:rsidRPr="00C964F2" w:rsidRDefault="00C964F2" w:rsidP="00C964F2">
      <w:pPr>
        <w:rPr>
          <w:rFonts w:cs="Calibri"/>
        </w:rPr>
      </w:pPr>
    </w:p>
    <w:p w14:paraId="1CDD6534" w14:textId="77777777" w:rsidR="00C964F2" w:rsidRPr="00C964F2" w:rsidRDefault="00C964F2" w:rsidP="00C964F2">
      <w:pPr>
        <w:rPr>
          <w:rFonts w:cs="Calibri"/>
        </w:rPr>
      </w:pPr>
      <w:r w:rsidRPr="00C964F2">
        <w:rPr>
          <w:rFonts w:cs="Calibri"/>
        </w:rPr>
        <w:t>Par conséquent, il est recommandé d'indiquer une adresse mail durable pendant toute la durée de la procédure, en priorité l'adresse de l'interlocuteur principal du candidat, ainsi que la ou les adresses de remplacement en cas d'absence de ce dernier. Le candidat ne pourra porter aucune réclamation s'il ne bénéficie pas de toutes les informations complémentaires diffusées par la plateforme lors du déroulement de la consultation, en raison d'une erreur qu'il aurait faite dans la saisie de son adresse, ou en cas de suppression de ladite adresse.</w:t>
      </w:r>
    </w:p>
    <w:p w14:paraId="74802C4B" w14:textId="77777777" w:rsidR="00C964F2" w:rsidRPr="00C964F2" w:rsidRDefault="00C964F2" w:rsidP="00C964F2">
      <w:pPr>
        <w:rPr>
          <w:rFonts w:cs="Calibri"/>
        </w:rPr>
      </w:pPr>
    </w:p>
    <w:p w14:paraId="7430201F" w14:textId="77777777" w:rsidR="00C964F2" w:rsidRPr="00C964F2" w:rsidRDefault="00C964F2" w:rsidP="00C964F2">
      <w:pPr>
        <w:rPr>
          <w:rFonts w:cs="Calibri"/>
        </w:rPr>
      </w:pPr>
      <w:r w:rsidRPr="00C964F2">
        <w:rPr>
          <w:rFonts w:cs="Calibri"/>
        </w:rPr>
        <w:t>Un service de dépôt "Attestation" permet au candidat de déposer en ligne son RIB, son KBIS, ses attestations d'assurance, sa liste nominative des travailleurs étrangers, son attestation de régularité fiscale et son attestation semestrielle sociale dans un coffre-fort sécurisé. L'ensemble des acheteurs utilisateurs de la plateforme auront accès à ces informations.</w:t>
      </w:r>
    </w:p>
    <w:p w14:paraId="754D2E3C" w14:textId="77777777" w:rsidR="00C964F2" w:rsidRPr="00C964F2" w:rsidRDefault="00C964F2" w:rsidP="00C964F2">
      <w:pPr>
        <w:rPr>
          <w:rFonts w:cs="Calibri"/>
        </w:rPr>
      </w:pPr>
    </w:p>
    <w:p w14:paraId="2CF3A012" w14:textId="77777777" w:rsidR="00C964F2" w:rsidRDefault="00C964F2" w:rsidP="00C964F2">
      <w:pPr>
        <w:rPr>
          <w:rFonts w:cs="Calibri"/>
        </w:rPr>
      </w:pPr>
      <w:r w:rsidRPr="00C964F2">
        <w:rPr>
          <w:rFonts w:cs="Calibri"/>
        </w:rPr>
        <w:t xml:space="preserve">L'ensemble de ces services est fourni gratuitement au candidat. </w:t>
      </w:r>
    </w:p>
    <w:p w14:paraId="14773611" w14:textId="77777777" w:rsidR="00C029F9" w:rsidRPr="00C964F2" w:rsidRDefault="00C029F9" w:rsidP="00C964F2">
      <w:pPr>
        <w:rPr>
          <w:rFonts w:cs="Calibri"/>
        </w:rPr>
      </w:pPr>
    </w:p>
    <w:p w14:paraId="19509826" w14:textId="77777777" w:rsidR="00C964F2" w:rsidRPr="00C964F2" w:rsidRDefault="00C964F2" w:rsidP="00C964F2">
      <w:pPr>
        <w:rPr>
          <w:rFonts w:cs="Calibri"/>
        </w:rPr>
      </w:pPr>
      <w:r w:rsidRPr="00C964F2">
        <w:rPr>
          <w:rFonts w:cs="Calibri"/>
        </w:rPr>
        <w:t>Les frais d'accès au réseau et de recours à la signature électronique sont à la charge des candidats.</w:t>
      </w:r>
    </w:p>
    <w:p w14:paraId="43E9B9D4" w14:textId="77777777" w:rsidR="00C964F2" w:rsidRPr="00C964F2" w:rsidRDefault="00C964F2" w:rsidP="00C964F2">
      <w:pPr>
        <w:rPr>
          <w:rFonts w:cs="Calibri"/>
        </w:rPr>
      </w:pPr>
    </w:p>
    <w:p w14:paraId="788AD38D" w14:textId="1F15E603" w:rsidR="00C964F2" w:rsidRPr="00C964F2" w:rsidRDefault="00C964F2" w:rsidP="00F7234B">
      <w:pPr>
        <w:pStyle w:val="Titre2"/>
      </w:pPr>
      <w:bookmarkStart w:id="35" w:name="_Toc201733983"/>
      <w:r w:rsidRPr="00C964F2">
        <w:t>Transmission sous support papier</w:t>
      </w:r>
      <w:bookmarkEnd w:id="35"/>
    </w:p>
    <w:p w14:paraId="49C2B627" w14:textId="00E2CAC0" w:rsidR="00EC4F8F" w:rsidRDefault="00C964F2" w:rsidP="00C964F2">
      <w:pPr>
        <w:rPr>
          <w:rFonts w:cs="Calibri"/>
        </w:rPr>
      </w:pPr>
      <w:r w:rsidRPr="00C964F2">
        <w:rPr>
          <w:rFonts w:cs="Calibri"/>
        </w:rPr>
        <w:t>La transmission des plis par voie électronique est imposée pour cette consultation. Par conséquent, la transmission par voie papier n'est pas autorisée.</w:t>
      </w:r>
    </w:p>
    <w:p w14:paraId="29B9A2F7" w14:textId="77777777" w:rsidR="00EC4F8F" w:rsidRDefault="00EC4F8F" w:rsidP="00FF6988">
      <w:pPr>
        <w:rPr>
          <w:rFonts w:cs="Calibri"/>
        </w:rPr>
      </w:pPr>
    </w:p>
    <w:p w14:paraId="002A8719" w14:textId="10F8BDBC" w:rsidR="00C029F9" w:rsidRPr="00C029F9" w:rsidRDefault="00C029F9" w:rsidP="00F7234B">
      <w:pPr>
        <w:pStyle w:val="Titre1"/>
      </w:pPr>
      <w:bookmarkStart w:id="36" w:name="_Toc201733984"/>
      <w:r w:rsidRPr="00C029F9">
        <w:t>Examen des candidatures et des offres</w:t>
      </w:r>
      <w:bookmarkEnd w:id="36"/>
    </w:p>
    <w:p w14:paraId="7A8D8C3E" w14:textId="29275239" w:rsidR="00C029F9" w:rsidRPr="00C029F9" w:rsidRDefault="00C029F9" w:rsidP="00F7234B">
      <w:pPr>
        <w:pStyle w:val="Titre2"/>
      </w:pPr>
      <w:bookmarkStart w:id="37" w:name="_Toc201733985"/>
      <w:r w:rsidRPr="00C029F9">
        <w:t>Sélection des candidatures</w:t>
      </w:r>
      <w:bookmarkEnd w:id="37"/>
    </w:p>
    <w:p w14:paraId="234A0F47" w14:textId="2E19E88E" w:rsidR="00C029F9" w:rsidRDefault="00C029F9" w:rsidP="00C029F9">
      <w:pPr>
        <w:rPr>
          <w:rFonts w:cs="Calibri"/>
        </w:rPr>
      </w:pPr>
      <w:r w:rsidRPr="00C029F9">
        <w:rPr>
          <w:rFonts w:cs="Calibri"/>
        </w:rPr>
        <w:t xml:space="preserve">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w:t>
      </w:r>
      <w:r w:rsidR="008A28CD">
        <w:rPr>
          <w:rFonts w:cs="Calibri"/>
        </w:rPr>
        <w:t>6</w:t>
      </w:r>
      <w:r w:rsidRPr="00C029F9">
        <w:rPr>
          <w:rFonts w:cs="Calibri"/>
        </w:rPr>
        <w:t xml:space="preserve"> jours.</w:t>
      </w:r>
    </w:p>
    <w:p w14:paraId="577F233F" w14:textId="77777777" w:rsidR="00C029F9" w:rsidRPr="00C029F9" w:rsidRDefault="00C029F9" w:rsidP="00C029F9">
      <w:pPr>
        <w:rPr>
          <w:rFonts w:cs="Calibri"/>
        </w:rPr>
      </w:pPr>
    </w:p>
    <w:p w14:paraId="6B38D61B" w14:textId="77777777" w:rsidR="00C029F9" w:rsidRDefault="00C029F9" w:rsidP="00C029F9">
      <w:pPr>
        <w:rPr>
          <w:rFonts w:cs="Calibri"/>
        </w:rPr>
      </w:pPr>
      <w:r w:rsidRPr="00C029F9">
        <w:rPr>
          <w:rFonts w:cs="Calibri"/>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719303F3" w14:textId="77777777" w:rsidR="00C029F9" w:rsidRPr="00C029F9" w:rsidRDefault="00C029F9" w:rsidP="00C029F9">
      <w:pPr>
        <w:rPr>
          <w:rFonts w:cs="Calibri"/>
        </w:rPr>
      </w:pPr>
    </w:p>
    <w:p w14:paraId="7E7AB64D" w14:textId="574DE8FA" w:rsidR="00C029F9" w:rsidRPr="00C029F9" w:rsidRDefault="00111992" w:rsidP="00F7234B">
      <w:pPr>
        <w:pStyle w:val="Titre2"/>
      </w:pPr>
      <w:bookmarkStart w:id="38" w:name="_Toc201733986"/>
      <w:r>
        <w:lastRenderedPageBreak/>
        <w:t>Attribution du marché</w:t>
      </w:r>
      <w:bookmarkEnd w:id="38"/>
    </w:p>
    <w:p w14:paraId="44B0A8C6" w14:textId="77777777" w:rsidR="00C029F9" w:rsidRPr="00C029F9" w:rsidRDefault="00C029F9" w:rsidP="00C029F9">
      <w:pPr>
        <w:rPr>
          <w:rFonts w:cs="Calibri"/>
        </w:rPr>
      </w:pPr>
      <w:r w:rsidRPr="00C029F9">
        <w:rPr>
          <w:rFonts w:cs="Calibri"/>
        </w:rPr>
        <w:t>Le jugement des offres sera effectué dans les conditions prévues aux articles L.2152-1 à L.2152-4, R. 2152-1 et R. 2152-2 du Code de la commande publique et donnera lieu à un classement des offres.</w:t>
      </w:r>
    </w:p>
    <w:p w14:paraId="4847970F" w14:textId="77777777" w:rsidR="00C029F9" w:rsidRPr="00C029F9" w:rsidRDefault="00C029F9" w:rsidP="00C029F9">
      <w:pPr>
        <w:rPr>
          <w:rFonts w:cs="Calibri"/>
        </w:rPr>
      </w:pPr>
    </w:p>
    <w:p w14:paraId="7D7B0033" w14:textId="77777777" w:rsidR="00C029F9" w:rsidRDefault="00C029F9" w:rsidP="00C029F9">
      <w:pPr>
        <w:rPr>
          <w:rFonts w:cs="Calibri"/>
        </w:rPr>
      </w:pPr>
      <w:r w:rsidRPr="00C029F9">
        <w:rPr>
          <w:rFonts w:cs="Calibri"/>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56CF43BC" w14:textId="77777777" w:rsidR="00B616B1" w:rsidRPr="00C029F9" w:rsidRDefault="00B616B1" w:rsidP="00C029F9">
      <w:pPr>
        <w:rPr>
          <w:rFonts w:cs="Calibri"/>
        </w:rPr>
      </w:pPr>
    </w:p>
    <w:p w14:paraId="0B0D0B67" w14:textId="72C397FD" w:rsidR="00EC4F8F" w:rsidRPr="00E13F2C" w:rsidRDefault="00C029F9" w:rsidP="00C029F9">
      <w:pPr>
        <w:rPr>
          <w:rFonts w:cs="Calibri"/>
        </w:rPr>
      </w:pPr>
      <w:r w:rsidRPr="00E13F2C">
        <w:rPr>
          <w:rFonts w:cs="Calibri"/>
        </w:rPr>
        <w:t>Les critères retenus pour le jugement des offres sont pondérés de la manière suivante :</w:t>
      </w:r>
    </w:p>
    <w:p w14:paraId="7BD7A668" w14:textId="77777777" w:rsidR="00EC4F8F" w:rsidRDefault="00EC4F8F" w:rsidP="00FF6988">
      <w:pPr>
        <w:rPr>
          <w:rFonts w:cs="Calibri"/>
        </w:rPr>
      </w:pPr>
    </w:p>
    <w:tbl>
      <w:tblPr>
        <w:tblW w:w="0" w:type="auto"/>
        <w:tblInd w:w="14" w:type="dxa"/>
        <w:tblLayout w:type="fixed"/>
        <w:tblCellMar>
          <w:left w:w="0" w:type="dxa"/>
          <w:right w:w="0" w:type="dxa"/>
        </w:tblCellMar>
        <w:tblLook w:val="04A0" w:firstRow="1" w:lastRow="0" w:firstColumn="1" w:lastColumn="0" w:noHBand="0" w:noVBand="1"/>
      </w:tblPr>
      <w:tblGrid>
        <w:gridCol w:w="5083"/>
        <w:gridCol w:w="1276"/>
        <w:gridCol w:w="3544"/>
      </w:tblGrid>
      <w:tr w:rsidR="00A25FA1" w:rsidRPr="00A25FA1" w14:paraId="0835A750" w14:textId="77777777" w:rsidTr="00CD31A2">
        <w:trPr>
          <w:trHeight w:hRule="exact" w:val="418"/>
        </w:trPr>
        <w:tc>
          <w:tcPr>
            <w:tcW w:w="5083"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F6D06A8" w14:textId="77777777" w:rsidR="00A25FA1" w:rsidRPr="00A25FA1" w:rsidRDefault="00A25FA1" w:rsidP="00A25FA1">
            <w:pPr>
              <w:spacing w:before="52" w:after="118" w:line="247" w:lineRule="exact"/>
              <w:jc w:val="center"/>
              <w:textAlignment w:val="baseline"/>
              <w:rPr>
                <w:rFonts w:ascii="Calibri" w:eastAsia="Arial" w:hAnsi="Calibri" w:cs="Calibri"/>
                <w:b/>
                <w:color w:val="000000"/>
              </w:rPr>
            </w:pPr>
            <w:r w:rsidRPr="00A25FA1">
              <w:rPr>
                <w:rFonts w:ascii="Calibri" w:eastAsia="Arial" w:hAnsi="Calibri" w:cs="Calibri"/>
                <w:b/>
                <w:color w:val="000000"/>
              </w:rPr>
              <w:t>Critères d’analyse</w:t>
            </w:r>
          </w:p>
        </w:tc>
        <w:tc>
          <w:tcPr>
            <w:tcW w:w="1276"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4A53A1E" w14:textId="77777777" w:rsidR="00A25FA1" w:rsidRPr="00A25FA1" w:rsidRDefault="00A25FA1" w:rsidP="00A25FA1">
            <w:pPr>
              <w:spacing w:before="52" w:after="118" w:line="247" w:lineRule="exact"/>
              <w:ind w:right="361"/>
              <w:jc w:val="right"/>
              <w:textAlignment w:val="baseline"/>
              <w:rPr>
                <w:rFonts w:ascii="Calibri" w:eastAsia="Arial" w:hAnsi="Calibri" w:cs="Calibri"/>
                <w:b/>
                <w:color w:val="000000"/>
              </w:rPr>
            </w:pPr>
            <w:r w:rsidRPr="00A25FA1">
              <w:rPr>
                <w:rFonts w:ascii="Calibri" w:eastAsia="Arial" w:hAnsi="Calibri" w:cs="Calibri"/>
                <w:b/>
                <w:color w:val="000000"/>
              </w:rPr>
              <w:t>Coefficient</w:t>
            </w:r>
          </w:p>
        </w:tc>
        <w:tc>
          <w:tcPr>
            <w:tcW w:w="354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1B357A1" w14:textId="77777777" w:rsidR="00A25FA1" w:rsidRPr="00A25FA1" w:rsidRDefault="00A25FA1" w:rsidP="00A25FA1">
            <w:pPr>
              <w:spacing w:before="52" w:after="118" w:line="247" w:lineRule="exact"/>
              <w:jc w:val="center"/>
              <w:textAlignment w:val="baseline"/>
              <w:rPr>
                <w:rFonts w:ascii="Calibri" w:eastAsia="Arial" w:hAnsi="Calibri" w:cs="Calibri"/>
                <w:b/>
                <w:color w:val="000000"/>
              </w:rPr>
            </w:pPr>
            <w:r w:rsidRPr="00A25FA1">
              <w:rPr>
                <w:rFonts w:ascii="Calibri" w:eastAsia="Arial" w:hAnsi="Calibri" w:cs="Calibri"/>
                <w:b/>
                <w:color w:val="000000"/>
              </w:rPr>
              <w:t>Informations</w:t>
            </w:r>
          </w:p>
        </w:tc>
      </w:tr>
      <w:tr w:rsidR="00A25FA1" w:rsidRPr="00A25FA1" w14:paraId="51BE3D09" w14:textId="77777777" w:rsidTr="00CD31A2">
        <w:trPr>
          <w:trHeight w:hRule="exact" w:val="567"/>
        </w:trPr>
        <w:tc>
          <w:tcPr>
            <w:tcW w:w="5083" w:type="dxa"/>
            <w:tcBorders>
              <w:top w:val="single" w:sz="5" w:space="0" w:color="000000"/>
              <w:left w:val="single" w:sz="5" w:space="0" w:color="000000"/>
              <w:bottom w:val="single" w:sz="5" w:space="0" w:color="000000"/>
              <w:right w:val="single" w:sz="5" w:space="0" w:color="000000"/>
            </w:tcBorders>
            <w:vAlign w:val="center"/>
          </w:tcPr>
          <w:p w14:paraId="0D606A3A" w14:textId="03E8752D" w:rsidR="00A25FA1" w:rsidRPr="00A25FA1" w:rsidRDefault="00111992" w:rsidP="00A25FA1">
            <w:pPr>
              <w:spacing w:before="42" w:after="113" w:line="247" w:lineRule="exact"/>
              <w:ind w:left="124"/>
              <w:jc w:val="center"/>
              <w:textAlignment w:val="baseline"/>
              <w:rPr>
                <w:rFonts w:ascii="Calibri" w:eastAsia="Arial" w:hAnsi="Calibri" w:cs="Calibri"/>
                <w:b/>
                <w:color w:val="000000"/>
                <w:sz w:val="24"/>
                <w:szCs w:val="24"/>
              </w:rPr>
            </w:pPr>
            <w:r>
              <w:rPr>
                <w:rFonts w:ascii="Calibri" w:eastAsia="Arial" w:hAnsi="Calibri" w:cs="Calibri"/>
                <w:b/>
                <w:color w:val="000000"/>
                <w:sz w:val="24"/>
                <w:szCs w:val="24"/>
              </w:rPr>
              <w:t>Not</w:t>
            </w:r>
            <w:r w:rsidR="00A25FA1" w:rsidRPr="00A25FA1">
              <w:rPr>
                <w:rFonts w:ascii="Calibri" w:eastAsia="Arial" w:hAnsi="Calibri" w:cs="Calibri"/>
                <w:b/>
                <w:color w:val="000000"/>
                <w:sz w:val="24"/>
                <w:szCs w:val="24"/>
              </w:rPr>
              <w:t>e globale</w:t>
            </w:r>
          </w:p>
        </w:tc>
        <w:tc>
          <w:tcPr>
            <w:tcW w:w="1276" w:type="dxa"/>
            <w:tcBorders>
              <w:top w:val="single" w:sz="5" w:space="0" w:color="000000"/>
              <w:left w:val="single" w:sz="5" w:space="0" w:color="000000"/>
              <w:bottom w:val="single" w:sz="5" w:space="0" w:color="000000"/>
              <w:right w:val="single" w:sz="5" w:space="0" w:color="000000"/>
            </w:tcBorders>
            <w:vAlign w:val="center"/>
          </w:tcPr>
          <w:p w14:paraId="46D7F575" w14:textId="77777777" w:rsidR="00A25FA1" w:rsidRPr="00A25FA1" w:rsidRDefault="00A25FA1" w:rsidP="00A25FA1">
            <w:pPr>
              <w:spacing w:before="42" w:after="113" w:line="247" w:lineRule="exact"/>
              <w:jc w:val="center"/>
              <w:textAlignment w:val="baseline"/>
              <w:rPr>
                <w:rFonts w:ascii="Calibri" w:eastAsia="Arial" w:hAnsi="Calibri" w:cs="Calibri"/>
                <w:b/>
                <w:color w:val="000000"/>
                <w:sz w:val="24"/>
                <w:szCs w:val="24"/>
              </w:rPr>
            </w:pPr>
            <w:r w:rsidRPr="00A25FA1">
              <w:rPr>
                <w:rFonts w:ascii="Calibri" w:eastAsia="Arial" w:hAnsi="Calibri" w:cs="Calibri"/>
                <w:b/>
                <w:color w:val="000000"/>
                <w:sz w:val="24"/>
                <w:szCs w:val="24"/>
              </w:rPr>
              <w:t>100</w:t>
            </w:r>
          </w:p>
        </w:tc>
        <w:tc>
          <w:tcPr>
            <w:tcW w:w="3544" w:type="dxa"/>
            <w:tcBorders>
              <w:top w:val="single" w:sz="5" w:space="0" w:color="000000"/>
              <w:left w:val="single" w:sz="5" w:space="0" w:color="000000"/>
              <w:bottom w:val="single" w:sz="5" w:space="0" w:color="000000"/>
              <w:right w:val="single" w:sz="5" w:space="0" w:color="000000"/>
            </w:tcBorders>
            <w:vAlign w:val="center"/>
          </w:tcPr>
          <w:p w14:paraId="65F060CB" w14:textId="231E53F8" w:rsidR="00A25FA1" w:rsidRPr="00A25FA1" w:rsidRDefault="00A25FA1" w:rsidP="00A25FA1">
            <w:pPr>
              <w:jc w:val="center"/>
              <w:textAlignment w:val="baseline"/>
              <w:rPr>
                <w:rFonts w:ascii="Calibri" w:eastAsia="Arial" w:hAnsi="Calibri" w:cs="Calibri"/>
                <w:b/>
                <w:color w:val="000000"/>
                <w:sz w:val="24"/>
                <w:szCs w:val="24"/>
              </w:rPr>
            </w:pPr>
          </w:p>
        </w:tc>
      </w:tr>
      <w:tr w:rsidR="00A25FA1" w:rsidRPr="00A25FA1" w14:paraId="313B843E" w14:textId="77777777" w:rsidTr="00CD31A2">
        <w:trPr>
          <w:trHeight w:hRule="exact" w:val="3029"/>
        </w:trPr>
        <w:tc>
          <w:tcPr>
            <w:tcW w:w="5083" w:type="dxa"/>
            <w:tcBorders>
              <w:top w:val="single" w:sz="5" w:space="0" w:color="000000"/>
              <w:left w:val="single" w:sz="5" w:space="0" w:color="000000"/>
              <w:bottom w:val="single" w:sz="5" w:space="0" w:color="000000"/>
              <w:right w:val="single" w:sz="5" w:space="0" w:color="000000"/>
            </w:tcBorders>
          </w:tcPr>
          <w:p w14:paraId="3E7F1C61" w14:textId="5F4F99F1" w:rsidR="007A77CB" w:rsidRPr="00BD6306" w:rsidRDefault="00321BF1" w:rsidP="00BD6306">
            <w:pPr>
              <w:pStyle w:val="Paragraphedeliste"/>
              <w:numPr>
                <w:ilvl w:val="0"/>
                <w:numId w:val="39"/>
              </w:numPr>
              <w:spacing w:line="278" w:lineRule="exact"/>
              <w:textAlignment w:val="baseline"/>
              <w:rPr>
                <w:rFonts w:ascii="Calibri" w:eastAsia="Arial" w:hAnsi="Calibri" w:cs="Calibri"/>
                <w:b/>
                <w:color w:val="000000"/>
                <w:u w:val="single"/>
              </w:rPr>
            </w:pPr>
            <w:r>
              <w:rPr>
                <w:rFonts w:ascii="Calibri" w:eastAsia="Arial" w:hAnsi="Calibri" w:cs="Calibri"/>
                <w:b/>
                <w:color w:val="000000"/>
                <w:u w:val="single"/>
              </w:rPr>
              <w:t>Qualité des Moyens humains affectés</w:t>
            </w:r>
          </w:p>
          <w:p w14:paraId="1C4663F6" w14:textId="052A3578" w:rsidR="007A77CB" w:rsidRPr="007A77CB" w:rsidRDefault="007A77CB" w:rsidP="007A77CB">
            <w:pPr>
              <w:spacing w:line="283" w:lineRule="exact"/>
              <w:textAlignment w:val="baseline"/>
              <w:rPr>
                <w:rFonts w:ascii="Calibri" w:eastAsia="Arial" w:hAnsi="Calibri" w:cs="Calibri"/>
                <w:bCs/>
                <w:color w:val="000000"/>
              </w:rPr>
            </w:pPr>
            <w:r w:rsidRPr="007A77CB">
              <w:rPr>
                <w:rFonts w:ascii="Calibri" w:eastAsia="Arial" w:hAnsi="Calibri" w:cs="Calibri"/>
                <w:bCs/>
                <w:color w:val="000000"/>
              </w:rPr>
              <w:t>L’organisation des ressources humaines affectées au marché, les moyens humains et matériels, le profil du ou des cadres, des techniciens avec précision des formations suivies, de l’expérience et de la mise à jour des connaissances ;</w:t>
            </w:r>
          </w:p>
          <w:p w14:paraId="3B153602" w14:textId="71A6002F" w:rsidR="007A77CB" w:rsidRPr="007A77CB" w:rsidRDefault="007A77CB" w:rsidP="007A77CB">
            <w:pPr>
              <w:spacing w:before="44" w:line="283" w:lineRule="exact"/>
              <w:textAlignment w:val="baseline"/>
              <w:rPr>
                <w:rFonts w:ascii="Calibri" w:eastAsia="Arial" w:hAnsi="Calibri" w:cs="Calibri"/>
                <w:bCs/>
                <w:color w:val="000000"/>
              </w:rPr>
            </w:pPr>
            <w:r w:rsidRPr="007A77CB">
              <w:rPr>
                <w:rFonts w:ascii="Calibri" w:eastAsia="Arial" w:hAnsi="Calibri" w:cs="Calibri"/>
                <w:bCs/>
                <w:color w:val="000000"/>
              </w:rPr>
              <w:t xml:space="preserve">Préciser le personnel présent sur site et hors site. </w:t>
            </w:r>
            <w:r w:rsidRPr="00A25FA1">
              <w:rPr>
                <w:rFonts w:ascii="Calibri" w:eastAsia="Arial" w:hAnsi="Calibri" w:cs="Calibri"/>
                <w:bCs/>
                <w:color w:val="000000"/>
              </w:rPr>
              <w:t>Présence minimale sur site proposée</w:t>
            </w:r>
            <w:r w:rsidRPr="007A77CB">
              <w:rPr>
                <w:rFonts w:ascii="Calibri" w:eastAsia="Arial" w:hAnsi="Calibri" w:cs="Calibri"/>
                <w:bCs/>
                <w:color w:val="000000"/>
              </w:rPr>
              <w:t>.</w:t>
            </w:r>
          </w:p>
          <w:p w14:paraId="07313700" w14:textId="1145248F" w:rsidR="007A77CB" w:rsidRPr="00A25FA1" w:rsidRDefault="007A77CB" w:rsidP="00797A8A">
            <w:pPr>
              <w:spacing w:before="44" w:line="283" w:lineRule="exact"/>
              <w:textAlignment w:val="baseline"/>
              <w:rPr>
                <w:rFonts w:ascii="Calibri" w:eastAsia="Arial" w:hAnsi="Calibri" w:cs="Calibri"/>
                <w:bCs/>
                <w:color w:val="000000"/>
              </w:rPr>
            </w:pPr>
            <w:r w:rsidRPr="007A77CB">
              <w:rPr>
                <w:rFonts w:ascii="Calibri" w:eastAsia="Arial" w:hAnsi="Calibri" w:cs="Calibri"/>
                <w:bCs/>
                <w:color w:val="000000"/>
              </w:rPr>
              <w:t>Les attestations de formation du ou des techniciens auprès des fabricants des matériels.</w:t>
            </w:r>
          </w:p>
        </w:tc>
        <w:tc>
          <w:tcPr>
            <w:tcW w:w="1276" w:type="dxa"/>
            <w:tcBorders>
              <w:top w:val="single" w:sz="5" w:space="0" w:color="000000"/>
              <w:left w:val="single" w:sz="5" w:space="0" w:color="000000"/>
              <w:bottom w:val="single" w:sz="5" w:space="0" w:color="000000"/>
              <w:right w:val="single" w:sz="5" w:space="0" w:color="000000"/>
            </w:tcBorders>
            <w:vAlign w:val="center"/>
          </w:tcPr>
          <w:p w14:paraId="0617AAA9" w14:textId="398796E5" w:rsidR="00A25FA1" w:rsidRPr="00A25FA1" w:rsidRDefault="00A25FA1" w:rsidP="00A25FA1">
            <w:pPr>
              <w:spacing w:line="247" w:lineRule="exact"/>
              <w:jc w:val="center"/>
              <w:textAlignment w:val="baseline"/>
              <w:rPr>
                <w:rFonts w:ascii="Calibri" w:eastAsia="Arial" w:hAnsi="Calibri" w:cs="Calibri"/>
                <w:b/>
                <w:color w:val="000000"/>
              </w:rPr>
            </w:pPr>
            <w:r>
              <w:rPr>
                <w:rFonts w:ascii="Calibri" w:eastAsia="Arial" w:hAnsi="Calibri" w:cs="Calibri"/>
                <w:b/>
                <w:color w:val="000000"/>
              </w:rPr>
              <w:t>15</w:t>
            </w:r>
          </w:p>
        </w:tc>
        <w:tc>
          <w:tcPr>
            <w:tcW w:w="3544" w:type="dxa"/>
            <w:tcBorders>
              <w:top w:val="single" w:sz="5" w:space="0" w:color="000000"/>
              <w:left w:val="single" w:sz="5" w:space="0" w:color="000000"/>
              <w:bottom w:val="single" w:sz="5" w:space="0" w:color="000000"/>
              <w:right w:val="single" w:sz="5" w:space="0" w:color="000000"/>
            </w:tcBorders>
          </w:tcPr>
          <w:p w14:paraId="54FAB696" w14:textId="77777777" w:rsidR="00A25FA1" w:rsidRPr="00A25FA1" w:rsidRDefault="00A25FA1" w:rsidP="00A25FA1">
            <w:pPr>
              <w:spacing w:after="1159" w:line="253" w:lineRule="exact"/>
              <w:ind w:left="108" w:right="108"/>
              <w:jc w:val="both"/>
              <w:textAlignment w:val="baseline"/>
              <w:rPr>
                <w:rFonts w:ascii="Calibri" w:eastAsia="Arial" w:hAnsi="Calibri" w:cs="Calibri"/>
                <w:color w:val="000000"/>
              </w:rPr>
            </w:pPr>
            <w:r w:rsidRPr="00A25FA1">
              <w:rPr>
                <w:rFonts w:ascii="Calibri" w:eastAsia="Arial" w:hAnsi="Calibri" w:cs="Calibri"/>
                <w:color w:val="000000"/>
              </w:rPr>
              <w:t>Ce critère sera analysé sur la base du mémoire technique et de ses éventuelles annexes, remis par le candidat.</w:t>
            </w:r>
          </w:p>
        </w:tc>
      </w:tr>
      <w:tr w:rsidR="00A25FA1" w:rsidRPr="00A25FA1" w14:paraId="562CED90" w14:textId="77777777" w:rsidTr="00CD31A2">
        <w:trPr>
          <w:trHeight w:hRule="exact" w:val="7512"/>
        </w:trPr>
        <w:tc>
          <w:tcPr>
            <w:tcW w:w="5083" w:type="dxa"/>
            <w:tcBorders>
              <w:top w:val="single" w:sz="5" w:space="0" w:color="000000"/>
              <w:left w:val="single" w:sz="5" w:space="0" w:color="000000"/>
              <w:bottom w:val="single" w:sz="5" w:space="0" w:color="000000"/>
              <w:right w:val="single" w:sz="5" w:space="0" w:color="000000"/>
            </w:tcBorders>
          </w:tcPr>
          <w:p w14:paraId="6D8A8839" w14:textId="3CE1289D" w:rsidR="007A77CB" w:rsidRPr="00BD6306" w:rsidRDefault="007A77CB" w:rsidP="00BD6306">
            <w:pPr>
              <w:pStyle w:val="Paragraphedeliste"/>
              <w:numPr>
                <w:ilvl w:val="0"/>
                <w:numId w:val="39"/>
              </w:numPr>
              <w:spacing w:line="278" w:lineRule="exact"/>
              <w:textAlignment w:val="baseline"/>
              <w:rPr>
                <w:rFonts w:ascii="Calibri" w:eastAsia="Arial" w:hAnsi="Calibri" w:cs="Calibri"/>
                <w:b/>
                <w:color w:val="000000"/>
                <w:u w:val="single"/>
              </w:rPr>
            </w:pPr>
            <w:r w:rsidRPr="00BD6306">
              <w:rPr>
                <w:rFonts w:ascii="Calibri" w:eastAsia="Arial" w:hAnsi="Calibri" w:cs="Calibri"/>
                <w:b/>
                <w:color w:val="000000"/>
                <w:u w:val="single"/>
              </w:rPr>
              <w:t>Méthodologie</w:t>
            </w:r>
          </w:p>
          <w:p w14:paraId="15D85AF5" w14:textId="23181280" w:rsidR="007A77CB" w:rsidRPr="007A77CB" w:rsidRDefault="007A77CB" w:rsidP="00797A8A">
            <w:pPr>
              <w:textAlignment w:val="baseline"/>
              <w:rPr>
                <w:rFonts w:ascii="Calibri" w:eastAsia="Arial" w:hAnsi="Calibri" w:cs="Calibri"/>
                <w:bCs/>
                <w:color w:val="000000"/>
              </w:rPr>
            </w:pPr>
            <w:r w:rsidRPr="007A77CB">
              <w:rPr>
                <w:rFonts w:ascii="Calibri" w:eastAsia="Arial" w:hAnsi="Calibri" w:cs="Calibri"/>
                <w:bCs/>
                <w:color w:val="000000"/>
              </w:rPr>
              <w:t>La méthodologie, l’organisation, le maillage opérationnel et administratif proposés pour répondre au marché ;</w:t>
            </w:r>
          </w:p>
          <w:p w14:paraId="28261523" w14:textId="77777777" w:rsidR="007A77CB" w:rsidRPr="007A77CB" w:rsidRDefault="007A77CB" w:rsidP="00797A8A">
            <w:pPr>
              <w:textAlignment w:val="baseline"/>
              <w:rPr>
                <w:rFonts w:ascii="Calibri" w:eastAsia="Arial" w:hAnsi="Calibri" w:cs="Calibri"/>
                <w:bCs/>
                <w:color w:val="000000"/>
              </w:rPr>
            </w:pPr>
          </w:p>
          <w:p w14:paraId="1DC40E82" w14:textId="6508C9C9" w:rsidR="007A77CB" w:rsidRPr="007A77CB" w:rsidRDefault="007A77CB" w:rsidP="00797A8A">
            <w:pPr>
              <w:textAlignment w:val="baseline"/>
              <w:rPr>
                <w:rFonts w:ascii="Calibri" w:eastAsia="Arial" w:hAnsi="Calibri" w:cs="Calibri"/>
                <w:bCs/>
                <w:color w:val="000000"/>
              </w:rPr>
            </w:pPr>
            <w:r w:rsidRPr="007A77CB">
              <w:rPr>
                <w:rFonts w:ascii="Calibri" w:eastAsia="Arial" w:hAnsi="Calibri" w:cs="Calibri"/>
                <w:bCs/>
                <w:color w:val="000000"/>
              </w:rPr>
              <w:t>La méthodologie, le calendrier et le planning de déploiement des prestations ; y compris la période de transition (prise en charge)</w:t>
            </w:r>
          </w:p>
          <w:p w14:paraId="4BB241E8" w14:textId="77777777" w:rsidR="007A77CB" w:rsidRPr="007A77CB" w:rsidRDefault="007A77CB" w:rsidP="00797A8A">
            <w:pPr>
              <w:textAlignment w:val="baseline"/>
              <w:rPr>
                <w:rFonts w:ascii="Calibri" w:eastAsia="Arial" w:hAnsi="Calibri" w:cs="Calibri"/>
                <w:bCs/>
                <w:color w:val="000000"/>
              </w:rPr>
            </w:pPr>
          </w:p>
          <w:p w14:paraId="48489389" w14:textId="486ACA6D" w:rsidR="007A77CB" w:rsidRPr="007A77CB" w:rsidRDefault="007A77CB" w:rsidP="00797A8A">
            <w:pPr>
              <w:textAlignment w:val="baseline"/>
              <w:rPr>
                <w:rFonts w:ascii="Calibri" w:eastAsia="Arial" w:hAnsi="Calibri" w:cs="Calibri"/>
                <w:bCs/>
                <w:color w:val="000000"/>
              </w:rPr>
            </w:pPr>
            <w:r w:rsidRPr="007A77CB">
              <w:rPr>
                <w:rFonts w:ascii="Calibri" w:eastAsia="Arial" w:hAnsi="Calibri" w:cs="Calibri"/>
                <w:bCs/>
                <w:color w:val="000000"/>
              </w:rPr>
              <w:t>La méthodologie, le calendrier et le planning de déploiement de la GMAO imposée par le CHU dans ses différentes étapes (phase de saisie des matériels dans la GMAO, la mise en œuvre prévisionnelle, la formation aux utilisateurs et référents).</w:t>
            </w:r>
          </w:p>
          <w:p w14:paraId="2350C2EB" w14:textId="77777777" w:rsidR="007A77CB" w:rsidRPr="007A77CB" w:rsidRDefault="007A77CB" w:rsidP="00797A8A">
            <w:pPr>
              <w:textAlignment w:val="baseline"/>
              <w:rPr>
                <w:rFonts w:ascii="Calibri" w:eastAsia="Arial" w:hAnsi="Calibri" w:cs="Calibri"/>
                <w:bCs/>
                <w:color w:val="000000"/>
              </w:rPr>
            </w:pPr>
          </w:p>
          <w:p w14:paraId="6C52642C" w14:textId="36FEDE98" w:rsidR="007A77CB" w:rsidRPr="00C306A4" w:rsidRDefault="007A77CB" w:rsidP="00797A8A">
            <w:pPr>
              <w:textAlignment w:val="baseline"/>
              <w:rPr>
                <w:rFonts w:ascii="Calibri" w:eastAsia="Arial" w:hAnsi="Calibri" w:cs="Calibri"/>
                <w:bCs/>
                <w:color w:val="000000"/>
              </w:rPr>
            </w:pPr>
            <w:r w:rsidRPr="00C306A4">
              <w:rPr>
                <w:rFonts w:ascii="Calibri" w:eastAsia="Arial" w:hAnsi="Calibri" w:cs="Calibri"/>
                <w:bCs/>
                <w:color w:val="000000"/>
              </w:rPr>
              <w:t>Une proposition de calendrier prévisionnel de la maintenance préventive ;</w:t>
            </w:r>
          </w:p>
          <w:p w14:paraId="2FD9CBAB" w14:textId="77777777" w:rsidR="007A77CB" w:rsidRPr="00904B29" w:rsidRDefault="007A77CB" w:rsidP="00C306A4">
            <w:pPr>
              <w:spacing w:line="278" w:lineRule="exact"/>
              <w:textAlignment w:val="baseline"/>
              <w:rPr>
                <w:rFonts w:ascii="Calibri" w:eastAsia="Arial" w:hAnsi="Calibri" w:cs="Calibri"/>
                <w:bCs/>
                <w:color w:val="000000"/>
                <w:sz w:val="16"/>
                <w:szCs w:val="16"/>
              </w:rPr>
            </w:pPr>
          </w:p>
          <w:p w14:paraId="16C94EA8" w14:textId="3BA3B3B7" w:rsidR="007A77CB" w:rsidRPr="00C306A4" w:rsidRDefault="007A77CB" w:rsidP="00797A8A">
            <w:pPr>
              <w:textAlignment w:val="baseline"/>
              <w:rPr>
                <w:rFonts w:ascii="Calibri" w:eastAsia="Arial" w:hAnsi="Calibri" w:cs="Calibri"/>
                <w:bCs/>
                <w:color w:val="000000"/>
              </w:rPr>
            </w:pPr>
            <w:r w:rsidRPr="00C306A4">
              <w:rPr>
                <w:rFonts w:ascii="Calibri" w:eastAsia="Arial" w:hAnsi="Calibri" w:cs="Calibri"/>
                <w:bCs/>
                <w:color w:val="000000"/>
              </w:rPr>
              <w:t>L’organisation des astreintes et du mode dégradé de la prestation en cas d’évènement imprévisible ;</w:t>
            </w:r>
          </w:p>
          <w:p w14:paraId="12316064" w14:textId="77777777" w:rsidR="007A77CB" w:rsidRPr="00904B29" w:rsidRDefault="007A77CB" w:rsidP="00C306A4">
            <w:pPr>
              <w:spacing w:line="278" w:lineRule="exact"/>
              <w:textAlignment w:val="baseline"/>
              <w:rPr>
                <w:rFonts w:ascii="Calibri" w:eastAsia="Arial" w:hAnsi="Calibri" w:cs="Calibri"/>
                <w:bCs/>
                <w:color w:val="000000"/>
                <w:sz w:val="16"/>
                <w:szCs w:val="16"/>
              </w:rPr>
            </w:pPr>
          </w:p>
          <w:p w14:paraId="48FC71A3" w14:textId="77777777" w:rsidR="00A25FA1" w:rsidRDefault="00A25FA1" w:rsidP="00797A8A">
            <w:pPr>
              <w:tabs>
                <w:tab w:val="left" w:pos="1008"/>
                <w:tab w:val="left" w:pos="1584"/>
                <w:tab w:val="right" w:pos="3600"/>
              </w:tabs>
              <w:textAlignment w:val="baseline"/>
              <w:rPr>
                <w:rFonts w:ascii="Calibri" w:eastAsia="Arial" w:hAnsi="Calibri" w:cs="Calibri"/>
                <w:bCs/>
                <w:color w:val="000000"/>
              </w:rPr>
            </w:pPr>
            <w:r w:rsidRPr="00A25FA1">
              <w:rPr>
                <w:rFonts w:ascii="Calibri" w:eastAsia="Arial" w:hAnsi="Calibri" w:cs="Calibri"/>
                <w:bCs/>
                <w:color w:val="000000"/>
              </w:rPr>
              <w:t>Suivi</w:t>
            </w:r>
            <w:r w:rsidR="00C306A4" w:rsidRPr="00C306A4">
              <w:rPr>
                <w:rFonts w:ascii="Calibri" w:eastAsia="Arial" w:hAnsi="Calibri" w:cs="Calibri"/>
                <w:bCs/>
                <w:color w:val="000000"/>
              </w:rPr>
              <w:t xml:space="preserve"> </w:t>
            </w:r>
            <w:r w:rsidRPr="00A25FA1">
              <w:rPr>
                <w:rFonts w:ascii="Calibri" w:eastAsia="Arial" w:hAnsi="Calibri" w:cs="Calibri"/>
                <w:bCs/>
                <w:color w:val="000000"/>
              </w:rPr>
              <w:t>du</w:t>
            </w:r>
            <w:r w:rsidR="00C306A4" w:rsidRPr="00C306A4">
              <w:rPr>
                <w:rFonts w:ascii="Calibri" w:eastAsia="Arial" w:hAnsi="Calibri" w:cs="Calibri"/>
                <w:bCs/>
                <w:color w:val="000000"/>
              </w:rPr>
              <w:t xml:space="preserve"> </w:t>
            </w:r>
            <w:r w:rsidRPr="00A25FA1">
              <w:rPr>
                <w:rFonts w:ascii="Calibri" w:eastAsia="Arial" w:hAnsi="Calibri" w:cs="Calibri"/>
                <w:bCs/>
                <w:color w:val="000000"/>
              </w:rPr>
              <w:t>marché</w:t>
            </w:r>
            <w:r w:rsidR="00C306A4" w:rsidRPr="00C306A4">
              <w:rPr>
                <w:rFonts w:ascii="Calibri" w:eastAsia="Arial" w:hAnsi="Calibri" w:cs="Calibri"/>
                <w:bCs/>
                <w:color w:val="000000"/>
              </w:rPr>
              <w:t xml:space="preserve"> </w:t>
            </w:r>
            <w:r w:rsidRPr="00A25FA1">
              <w:rPr>
                <w:rFonts w:ascii="Calibri" w:eastAsia="Arial" w:hAnsi="Calibri" w:cs="Calibri"/>
                <w:bCs/>
                <w:color w:val="000000"/>
              </w:rPr>
              <w:t>(rapports</w:t>
            </w:r>
            <w:r w:rsidR="00C306A4" w:rsidRPr="00C306A4">
              <w:rPr>
                <w:rFonts w:ascii="Calibri" w:eastAsia="Arial" w:hAnsi="Calibri" w:cs="Calibri"/>
                <w:bCs/>
                <w:color w:val="000000"/>
              </w:rPr>
              <w:t xml:space="preserve"> d</w:t>
            </w:r>
            <w:r w:rsidR="002C2EA8" w:rsidRPr="00C306A4">
              <w:rPr>
                <w:rFonts w:ascii="Calibri" w:eastAsia="Arial" w:hAnsi="Calibri" w:cs="Calibri"/>
                <w:bCs/>
                <w:color w:val="000000"/>
              </w:rPr>
              <w:t>’activités</w:t>
            </w:r>
            <w:r w:rsidR="00C306A4" w:rsidRPr="00C306A4">
              <w:rPr>
                <w:rFonts w:ascii="Calibri" w:eastAsia="Arial" w:hAnsi="Calibri" w:cs="Calibri"/>
                <w:bCs/>
                <w:color w:val="000000"/>
              </w:rPr>
              <w:t>,</w:t>
            </w:r>
            <w:r w:rsidRPr="00A25FA1">
              <w:rPr>
                <w:rFonts w:ascii="Calibri" w:eastAsia="Arial" w:hAnsi="Calibri" w:cs="Calibri"/>
                <w:bCs/>
                <w:color w:val="000000"/>
              </w:rPr>
              <w:t xml:space="preserve"> plan de progrès et contrôle-qualité interne)</w:t>
            </w:r>
          </w:p>
          <w:p w14:paraId="5AABE8FE" w14:textId="77777777" w:rsidR="00797A8A" w:rsidRPr="00904B29" w:rsidRDefault="00797A8A" w:rsidP="00797A8A">
            <w:pPr>
              <w:tabs>
                <w:tab w:val="left" w:pos="1008"/>
                <w:tab w:val="left" w:pos="1584"/>
                <w:tab w:val="right" w:pos="3600"/>
              </w:tabs>
              <w:textAlignment w:val="baseline"/>
              <w:rPr>
                <w:rFonts w:ascii="Calibri" w:eastAsia="Arial" w:hAnsi="Calibri" w:cs="Calibri"/>
                <w:bCs/>
                <w:color w:val="000000"/>
                <w:sz w:val="16"/>
                <w:szCs w:val="16"/>
              </w:rPr>
            </w:pPr>
          </w:p>
          <w:p w14:paraId="49CE8D0D" w14:textId="36572608" w:rsidR="00797A8A" w:rsidRPr="00797A8A" w:rsidRDefault="00797A8A" w:rsidP="00797A8A">
            <w:pPr>
              <w:tabs>
                <w:tab w:val="left" w:pos="1008"/>
                <w:tab w:val="left" w:pos="1584"/>
                <w:tab w:val="right" w:pos="3600"/>
              </w:tabs>
              <w:textAlignment w:val="baseline"/>
              <w:rPr>
                <w:rFonts w:ascii="Calibri" w:eastAsia="Arial" w:hAnsi="Calibri" w:cs="Calibri"/>
                <w:bCs/>
                <w:color w:val="000000"/>
              </w:rPr>
            </w:pPr>
            <w:r w:rsidRPr="00797A8A">
              <w:rPr>
                <w:rFonts w:ascii="Calibri" w:eastAsia="Arial" w:hAnsi="Calibri" w:cs="Calibri"/>
                <w:bCs/>
                <w:color w:val="000000"/>
              </w:rPr>
              <w:t>Les attestations des accords commerciaux de fourniture de pièces auprès des principaux fabricants de matériel ;</w:t>
            </w:r>
          </w:p>
          <w:p w14:paraId="7B99B055" w14:textId="401FC21A" w:rsidR="00797A8A" w:rsidRPr="00A25FA1" w:rsidRDefault="00797A8A" w:rsidP="00797A8A">
            <w:pPr>
              <w:tabs>
                <w:tab w:val="left" w:pos="1008"/>
                <w:tab w:val="left" w:pos="1584"/>
                <w:tab w:val="right" w:pos="3600"/>
              </w:tabs>
              <w:textAlignment w:val="baseline"/>
              <w:rPr>
                <w:rFonts w:ascii="Calibri" w:eastAsia="Arial" w:hAnsi="Calibri" w:cs="Calibri"/>
                <w:bCs/>
                <w:color w:val="000000"/>
              </w:rPr>
            </w:pPr>
            <w:r w:rsidRPr="00797A8A">
              <w:rPr>
                <w:rFonts w:ascii="Calibri" w:eastAsia="Arial" w:hAnsi="Calibri" w:cs="Calibri"/>
                <w:bCs/>
                <w:color w:val="000000"/>
              </w:rPr>
              <w:t>Les modalités d'approvisionnement en pièces détachées avec les délais ;</w:t>
            </w:r>
          </w:p>
        </w:tc>
        <w:tc>
          <w:tcPr>
            <w:tcW w:w="1276" w:type="dxa"/>
            <w:tcBorders>
              <w:top w:val="single" w:sz="5" w:space="0" w:color="000000"/>
              <w:left w:val="single" w:sz="5" w:space="0" w:color="000000"/>
              <w:bottom w:val="single" w:sz="5" w:space="0" w:color="000000"/>
              <w:right w:val="single" w:sz="5" w:space="0" w:color="000000"/>
            </w:tcBorders>
            <w:vAlign w:val="center"/>
          </w:tcPr>
          <w:p w14:paraId="520EA776" w14:textId="2C57D779" w:rsidR="00A25FA1" w:rsidRPr="00A25FA1" w:rsidRDefault="00A25FA1" w:rsidP="00A25FA1">
            <w:pPr>
              <w:spacing w:line="247" w:lineRule="exact"/>
              <w:jc w:val="center"/>
              <w:textAlignment w:val="baseline"/>
              <w:rPr>
                <w:rFonts w:ascii="Calibri" w:eastAsia="Arial" w:hAnsi="Calibri" w:cs="Calibri"/>
                <w:b/>
                <w:color w:val="000000"/>
              </w:rPr>
            </w:pPr>
            <w:r w:rsidRPr="00A25FA1">
              <w:rPr>
                <w:rFonts w:ascii="Calibri" w:eastAsia="Arial" w:hAnsi="Calibri" w:cs="Calibri"/>
                <w:b/>
                <w:color w:val="000000"/>
              </w:rPr>
              <w:t>2</w:t>
            </w:r>
            <w:r>
              <w:rPr>
                <w:rFonts w:ascii="Calibri" w:eastAsia="Arial" w:hAnsi="Calibri" w:cs="Calibri"/>
                <w:b/>
                <w:color w:val="000000"/>
              </w:rPr>
              <w:t>5</w:t>
            </w:r>
          </w:p>
        </w:tc>
        <w:tc>
          <w:tcPr>
            <w:tcW w:w="3544" w:type="dxa"/>
            <w:tcBorders>
              <w:top w:val="single" w:sz="5" w:space="0" w:color="000000"/>
              <w:left w:val="single" w:sz="5" w:space="0" w:color="000000"/>
              <w:bottom w:val="single" w:sz="5" w:space="0" w:color="000000"/>
              <w:right w:val="single" w:sz="5" w:space="0" w:color="000000"/>
            </w:tcBorders>
          </w:tcPr>
          <w:p w14:paraId="173B3A01" w14:textId="77777777" w:rsidR="00A25FA1" w:rsidRPr="00A25FA1" w:rsidRDefault="00A25FA1" w:rsidP="00A25FA1">
            <w:pPr>
              <w:spacing w:after="2422" w:line="277" w:lineRule="exact"/>
              <w:ind w:left="108" w:right="108"/>
              <w:jc w:val="both"/>
              <w:textAlignment w:val="baseline"/>
              <w:rPr>
                <w:rFonts w:ascii="Calibri" w:eastAsia="Arial" w:hAnsi="Calibri" w:cs="Calibri"/>
                <w:color w:val="000000"/>
              </w:rPr>
            </w:pPr>
            <w:r w:rsidRPr="00A25FA1">
              <w:rPr>
                <w:rFonts w:ascii="Calibri" w:eastAsia="Arial" w:hAnsi="Calibri" w:cs="Calibri"/>
                <w:color w:val="000000"/>
              </w:rPr>
              <w:t>Ce critère sera analysé sur la base du mémoire technique et de ses éventuelles annexes, remis par le candidat.</w:t>
            </w:r>
          </w:p>
        </w:tc>
      </w:tr>
      <w:tr w:rsidR="00A25FA1" w:rsidRPr="00A25FA1" w14:paraId="1DDD7E27" w14:textId="77777777" w:rsidTr="00CD31A2">
        <w:trPr>
          <w:trHeight w:hRule="exact" w:val="2274"/>
        </w:trPr>
        <w:tc>
          <w:tcPr>
            <w:tcW w:w="5083" w:type="dxa"/>
            <w:tcBorders>
              <w:top w:val="single" w:sz="5" w:space="0" w:color="000000"/>
              <w:left w:val="single" w:sz="5" w:space="0" w:color="000000"/>
              <w:bottom w:val="single" w:sz="5" w:space="0" w:color="000000"/>
              <w:right w:val="single" w:sz="5" w:space="0" w:color="000000"/>
            </w:tcBorders>
          </w:tcPr>
          <w:p w14:paraId="36EB712E" w14:textId="293466B9" w:rsidR="00A25FA1" w:rsidRPr="00BD6306" w:rsidRDefault="00E13F2C" w:rsidP="00BD6306">
            <w:pPr>
              <w:pStyle w:val="Paragraphedeliste"/>
              <w:numPr>
                <w:ilvl w:val="0"/>
                <w:numId w:val="39"/>
              </w:numPr>
              <w:spacing w:line="278" w:lineRule="exact"/>
              <w:textAlignment w:val="baseline"/>
              <w:rPr>
                <w:rFonts w:ascii="Calibri" w:eastAsia="Arial" w:hAnsi="Calibri" w:cs="Calibri"/>
                <w:b/>
                <w:color w:val="000000"/>
              </w:rPr>
            </w:pPr>
            <w:r w:rsidRPr="00BD6306">
              <w:rPr>
                <w:rFonts w:ascii="Calibri" w:eastAsia="Arial" w:hAnsi="Calibri" w:cs="Calibri"/>
                <w:b/>
                <w:color w:val="000000"/>
              </w:rPr>
              <w:lastRenderedPageBreak/>
              <w:t>Développement</w:t>
            </w:r>
            <w:r w:rsidR="00A25FA1" w:rsidRPr="00BD6306">
              <w:rPr>
                <w:rFonts w:ascii="Calibri" w:eastAsia="Arial" w:hAnsi="Calibri" w:cs="Calibri"/>
                <w:b/>
                <w:color w:val="000000"/>
              </w:rPr>
              <w:t xml:space="preserve"> Durable :</w:t>
            </w:r>
          </w:p>
          <w:p w14:paraId="2151A04F" w14:textId="655A4FAD" w:rsidR="00A25FA1" w:rsidRPr="00C306A4" w:rsidRDefault="007A77CB" w:rsidP="00C306A4">
            <w:pPr>
              <w:spacing w:line="278" w:lineRule="exact"/>
              <w:textAlignment w:val="baseline"/>
              <w:rPr>
                <w:rFonts w:ascii="Calibri" w:eastAsia="Arial" w:hAnsi="Calibri" w:cs="Calibri"/>
                <w:bCs/>
                <w:color w:val="000000"/>
              </w:rPr>
            </w:pPr>
            <w:r w:rsidRPr="00C306A4">
              <w:rPr>
                <w:rFonts w:ascii="Calibri" w:eastAsia="Arial" w:hAnsi="Calibri" w:cs="Calibri"/>
                <w:bCs/>
                <w:color w:val="000000"/>
              </w:rPr>
              <w:t xml:space="preserve">La capacité du candidat à proposer des solutions </w:t>
            </w:r>
            <w:proofErr w:type="spellStart"/>
            <w:r w:rsidRPr="00C306A4">
              <w:rPr>
                <w:rFonts w:ascii="Calibri" w:eastAsia="Arial" w:hAnsi="Calibri" w:cs="Calibri"/>
                <w:bCs/>
                <w:color w:val="000000"/>
              </w:rPr>
              <w:t>éco-responsables</w:t>
            </w:r>
            <w:proofErr w:type="spellEnd"/>
            <w:r w:rsidRPr="00C306A4">
              <w:rPr>
                <w:rFonts w:ascii="Calibri" w:eastAsia="Arial" w:hAnsi="Calibri" w:cs="Calibri"/>
                <w:bCs/>
                <w:color w:val="000000"/>
              </w:rPr>
              <w:t xml:space="preserve"> ;</w:t>
            </w:r>
          </w:p>
          <w:p w14:paraId="7130F7E7" w14:textId="070C34CA" w:rsidR="00A25FA1" w:rsidRPr="00C306A4" w:rsidRDefault="00E13F2C" w:rsidP="00C306A4">
            <w:pPr>
              <w:spacing w:line="278" w:lineRule="exact"/>
              <w:textAlignment w:val="baseline"/>
              <w:rPr>
                <w:rFonts w:ascii="Calibri" w:eastAsia="Arial" w:hAnsi="Calibri" w:cs="Calibri"/>
                <w:bCs/>
                <w:color w:val="000000"/>
              </w:rPr>
            </w:pPr>
            <w:r w:rsidRPr="00C306A4">
              <w:rPr>
                <w:rFonts w:ascii="Calibri" w:eastAsia="Arial" w:hAnsi="Calibri" w:cs="Calibri"/>
                <w:bCs/>
                <w:color w:val="000000"/>
              </w:rPr>
              <w:t xml:space="preserve">Présentation d’un </w:t>
            </w:r>
            <w:r w:rsidR="00A25FA1" w:rsidRPr="00C306A4">
              <w:rPr>
                <w:rFonts w:ascii="Calibri" w:eastAsia="Arial" w:hAnsi="Calibri" w:cs="Calibri"/>
                <w:bCs/>
                <w:color w:val="000000"/>
              </w:rPr>
              <w:t xml:space="preserve">Plan de progrès </w:t>
            </w:r>
            <w:r w:rsidRPr="00C306A4">
              <w:rPr>
                <w:rFonts w:ascii="Calibri" w:eastAsia="Arial" w:hAnsi="Calibri" w:cs="Calibri"/>
                <w:bCs/>
                <w:color w:val="000000"/>
              </w:rPr>
              <w:t xml:space="preserve">pour </w:t>
            </w:r>
            <w:r w:rsidR="00A25FA1" w:rsidRPr="00C306A4">
              <w:rPr>
                <w:rFonts w:ascii="Calibri" w:eastAsia="Arial" w:hAnsi="Calibri" w:cs="Calibri"/>
                <w:bCs/>
                <w:color w:val="000000"/>
              </w:rPr>
              <w:t>limiter :</w:t>
            </w:r>
          </w:p>
          <w:p w14:paraId="1E5C4C56" w14:textId="4F49AD0B" w:rsidR="00A25FA1" w:rsidRPr="00C306A4" w:rsidRDefault="00A25FA1" w:rsidP="00C306A4">
            <w:pPr>
              <w:pStyle w:val="Paragraphedeliste"/>
              <w:numPr>
                <w:ilvl w:val="0"/>
                <w:numId w:val="37"/>
              </w:numPr>
              <w:spacing w:line="278" w:lineRule="exact"/>
              <w:ind w:left="0" w:firstLine="0"/>
              <w:textAlignment w:val="baseline"/>
              <w:rPr>
                <w:rFonts w:ascii="Calibri" w:eastAsia="Arial" w:hAnsi="Calibri" w:cs="Calibri"/>
                <w:bCs/>
                <w:color w:val="000000"/>
              </w:rPr>
            </w:pPr>
            <w:r w:rsidRPr="00C306A4">
              <w:rPr>
                <w:rFonts w:ascii="Calibri" w:eastAsia="Arial" w:hAnsi="Calibri" w:cs="Calibri"/>
                <w:bCs/>
                <w:color w:val="000000"/>
              </w:rPr>
              <w:t xml:space="preserve">Rejet des </w:t>
            </w:r>
            <w:r w:rsidR="00E13F2C" w:rsidRPr="00C306A4">
              <w:rPr>
                <w:rFonts w:ascii="Calibri" w:eastAsia="Arial" w:hAnsi="Calibri" w:cs="Calibri"/>
                <w:bCs/>
                <w:color w:val="000000"/>
              </w:rPr>
              <w:t>effluant</w:t>
            </w:r>
          </w:p>
          <w:p w14:paraId="191DB16A" w14:textId="595DA094" w:rsidR="00A25FA1" w:rsidRPr="00C306A4" w:rsidRDefault="00A25FA1" w:rsidP="00C306A4">
            <w:pPr>
              <w:pStyle w:val="Paragraphedeliste"/>
              <w:numPr>
                <w:ilvl w:val="0"/>
                <w:numId w:val="37"/>
              </w:numPr>
              <w:spacing w:line="278" w:lineRule="exact"/>
              <w:ind w:left="0" w:firstLine="0"/>
              <w:textAlignment w:val="baseline"/>
              <w:rPr>
                <w:rFonts w:ascii="Calibri" w:eastAsia="Arial" w:hAnsi="Calibri" w:cs="Calibri"/>
                <w:bCs/>
                <w:color w:val="000000"/>
              </w:rPr>
            </w:pPr>
            <w:r w:rsidRPr="00C306A4">
              <w:rPr>
                <w:rFonts w:ascii="Calibri" w:eastAsia="Arial" w:hAnsi="Calibri" w:cs="Calibri"/>
                <w:bCs/>
                <w:color w:val="000000"/>
              </w:rPr>
              <w:t>Consommation énergétique</w:t>
            </w:r>
            <w:r w:rsidR="00E13F2C" w:rsidRPr="00C306A4">
              <w:rPr>
                <w:rFonts w:ascii="Calibri" w:eastAsia="Arial" w:hAnsi="Calibri" w:cs="Calibri"/>
                <w:bCs/>
                <w:color w:val="000000"/>
              </w:rPr>
              <w:t xml:space="preserve"> (gaz, électricité)</w:t>
            </w:r>
          </w:p>
          <w:p w14:paraId="4E56AFD7" w14:textId="77777777" w:rsidR="00A25FA1" w:rsidRPr="00C306A4" w:rsidRDefault="00A25FA1" w:rsidP="00C306A4">
            <w:pPr>
              <w:pStyle w:val="Paragraphedeliste"/>
              <w:numPr>
                <w:ilvl w:val="0"/>
                <w:numId w:val="37"/>
              </w:numPr>
              <w:spacing w:line="278" w:lineRule="exact"/>
              <w:ind w:left="0" w:firstLine="0"/>
              <w:textAlignment w:val="baseline"/>
              <w:rPr>
                <w:rFonts w:ascii="Calibri" w:eastAsia="Arial" w:hAnsi="Calibri" w:cs="Calibri"/>
                <w:bCs/>
                <w:color w:val="000000"/>
              </w:rPr>
            </w:pPr>
            <w:r w:rsidRPr="00C306A4">
              <w:rPr>
                <w:rFonts w:ascii="Calibri" w:eastAsia="Arial" w:hAnsi="Calibri" w:cs="Calibri"/>
                <w:bCs/>
                <w:color w:val="000000"/>
              </w:rPr>
              <w:t>Consommation en eau</w:t>
            </w:r>
          </w:p>
          <w:p w14:paraId="411AE850" w14:textId="00B83C8C" w:rsidR="00A25FA1" w:rsidRPr="00A25FA1" w:rsidRDefault="00A25FA1" w:rsidP="00A25FA1">
            <w:pPr>
              <w:spacing w:line="278" w:lineRule="exact"/>
              <w:ind w:left="144"/>
              <w:textAlignment w:val="baseline"/>
              <w:rPr>
                <w:rFonts w:ascii="Calibri" w:eastAsia="Arial" w:hAnsi="Calibri" w:cs="Calibri"/>
                <w:b/>
                <w:color w:val="000000"/>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04F1FA7" w14:textId="3139999B" w:rsidR="00A25FA1" w:rsidRPr="00A25FA1" w:rsidRDefault="00E13F2C" w:rsidP="00A25FA1">
            <w:pPr>
              <w:spacing w:line="247" w:lineRule="exact"/>
              <w:jc w:val="center"/>
              <w:textAlignment w:val="baseline"/>
              <w:rPr>
                <w:rFonts w:ascii="Calibri" w:eastAsia="Arial" w:hAnsi="Calibri" w:cs="Calibri"/>
                <w:b/>
                <w:color w:val="000000"/>
              </w:rPr>
            </w:pPr>
            <w:r>
              <w:rPr>
                <w:rFonts w:ascii="Calibri" w:eastAsia="Arial" w:hAnsi="Calibri" w:cs="Calibri"/>
                <w:b/>
                <w:color w:val="000000"/>
              </w:rPr>
              <w:t>10</w:t>
            </w:r>
          </w:p>
        </w:tc>
        <w:tc>
          <w:tcPr>
            <w:tcW w:w="3544" w:type="dxa"/>
            <w:tcBorders>
              <w:top w:val="single" w:sz="5" w:space="0" w:color="000000"/>
              <w:left w:val="single" w:sz="5" w:space="0" w:color="000000"/>
              <w:bottom w:val="single" w:sz="5" w:space="0" w:color="000000"/>
              <w:right w:val="single" w:sz="5" w:space="0" w:color="000000"/>
            </w:tcBorders>
          </w:tcPr>
          <w:p w14:paraId="367E144C" w14:textId="36EF7EA1" w:rsidR="00A25FA1" w:rsidRPr="00A25FA1" w:rsidRDefault="00E13F2C" w:rsidP="00A25FA1">
            <w:pPr>
              <w:spacing w:after="2422" w:line="277" w:lineRule="exact"/>
              <w:ind w:left="108" w:right="108"/>
              <w:jc w:val="both"/>
              <w:textAlignment w:val="baseline"/>
              <w:rPr>
                <w:rFonts w:ascii="Calibri" w:eastAsia="Arial" w:hAnsi="Calibri" w:cs="Calibri"/>
                <w:color w:val="000000"/>
              </w:rPr>
            </w:pPr>
            <w:r w:rsidRPr="00A25FA1">
              <w:rPr>
                <w:rFonts w:ascii="Calibri" w:eastAsia="Arial" w:hAnsi="Calibri" w:cs="Calibri"/>
                <w:color w:val="000000"/>
              </w:rPr>
              <w:t>Ce critère sera analysé sur la base du mémoire technique et de ses éventuelles annexes, remis par le candidat.</w:t>
            </w:r>
          </w:p>
        </w:tc>
      </w:tr>
      <w:tr w:rsidR="00CD31A2" w:rsidRPr="00A25FA1" w14:paraId="34B7B3B7" w14:textId="77777777" w:rsidTr="00CD31A2">
        <w:trPr>
          <w:trHeight w:hRule="exact" w:val="970"/>
        </w:trPr>
        <w:tc>
          <w:tcPr>
            <w:tcW w:w="5083" w:type="dxa"/>
            <w:vMerge w:val="restart"/>
            <w:tcBorders>
              <w:top w:val="single" w:sz="5" w:space="0" w:color="000000"/>
              <w:left w:val="single" w:sz="5" w:space="0" w:color="000000"/>
              <w:right w:val="single" w:sz="5" w:space="0" w:color="000000"/>
            </w:tcBorders>
          </w:tcPr>
          <w:p w14:paraId="14A285CE" w14:textId="3CAAD4D2" w:rsidR="00CD31A2" w:rsidRPr="00A25FA1" w:rsidRDefault="00CD31A2" w:rsidP="00FD3CC4">
            <w:pPr>
              <w:spacing w:before="43" w:after="679" w:line="247" w:lineRule="exact"/>
              <w:ind w:left="124"/>
              <w:textAlignment w:val="baseline"/>
              <w:rPr>
                <w:rFonts w:ascii="Calibri" w:eastAsia="Arial" w:hAnsi="Calibri" w:cs="Calibri"/>
                <w:b/>
                <w:color w:val="000000"/>
              </w:rPr>
            </w:pPr>
            <w:r>
              <w:rPr>
                <w:rFonts w:ascii="Calibri" w:eastAsia="Arial" w:hAnsi="Calibri" w:cs="Calibri"/>
                <w:b/>
                <w:color w:val="000000"/>
              </w:rPr>
              <w:t>Prix –</w:t>
            </w:r>
          </w:p>
        </w:tc>
        <w:tc>
          <w:tcPr>
            <w:tcW w:w="1276" w:type="dxa"/>
            <w:vMerge w:val="restart"/>
            <w:tcBorders>
              <w:top w:val="single" w:sz="5" w:space="0" w:color="000000"/>
              <w:left w:val="single" w:sz="5" w:space="0" w:color="000000"/>
              <w:right w:val="single" w:sz="5" w:space="0" w:color="000000"/>
            </w:tcBorders>
            <w:vAlign w:val="center"/>
          </w:tcPr>
          <w:p w14:paraId="39F3F72B" w14:textId="024D1830" w:rsidR="00CD31A2" w:rsidRPr="00A25FA1" w:rsidRDefault="00CD31A2" w:rsidP="00CD31A2">
            <w:pPr>
              <w:spacing w:line="247" w:lineRule="exact"/>
              <w:jc w:val="center"/>
              <w:textAlignment w:val="baseline"/>
              <w:rPr>
                <w:rFonts w:ascii="Calibri" w:eastAsia="Arial" w:hAnsi="Calibri" w:cs="Calibri"/>
                <w:b/>
                <w:color w:val="000000"/>
              </w:rPr>
            </w:pPr>
            <w:r>
              <w:rPr>
                <w:rFonts w:ascii="Calibri" w:eastAsia="Arial" w:hAnsi="Calibri" w:cs="Calibri"/>
                <w:b/>
                <w:color w:val="000000"/>
              </w:rPr>
              <w:t xml:space="preserve">50 (dont note </w:t>
            </w:r>
            <w:r w:rsidRPr="00FD3CC4">
              <w:rPr>
                <w:rFonts w:ascii="Calibri" w:eastAsia="Arial" w:hAnsi="Calibri" w:cs="Calibri"/>
                <w:b/>
                <w:color w:val="000000"/>
              </w:rPr>
              <w:t xml:space="preserve">DPGF </w:t>
            </w:r>
            <w:r>
              <w:rPr>
                <w:rFonts w:ascii="Calibri" w:eastAsia="Arial" w:hAnsi="Calibri" w:cs="Calibri"/>
                <w:b/>
                <w:color w:val="000000"/>
              </w:rPr>
              <w:t xml:space="preserve">sur </w:t>
            </w:r>
            <w:r w:rsidR="00306DD2">
              <w:rPr>
                <w:rFonts w:ascii="Calibri" w:eastAsia="Arial" w:hAnsi="Calibri" w:cs="Calibri"/>
                <w:b/>
                <w:color w:val="000000"/>
              </w:rPr>
              <w:t>30</w:t>
            </w:r>
            <w:r>
              <w:rPr>
                <w:rFonts w:ascii="Calibri" w:eastAsia="Arial" w:hAnsi="Calibri" w:cs="Calibri"/>
                <w:b/>
                <w:color w:val="000000"/>
              </w:rPr>
              <w:t xml:space="preserve"> et </w:t>
            </w:r>
            <w:r w:rsidRPr="00FD3CC4">
              <w:rPr>
                <w:rFonts w:ascii="Calibri" w:eastAsia="Arial" w:hAnsi="Calibri" w:cs="Calibri"/>
                <w:b/>
                <w:color w:val="000000"/>
              </w:rPr>
              <w:t xml:space="preserve">note BPU </w:t>
            </w:r>
            <w:r>
              <w:rPr>
                <w:rFonts w:ascii="Calibri" w:eastAsia="Arial" w:hAnsi="Calibri" w:cs="Calibri"/>
                <w:b/>
                <w:color w:val="000000"/>
              </w:rPr>
              <w:t xml:space="preserve">sur </w:t>
            </w:r>
            <w:r w:rsidR="00306DD2">
              <w:rPr>
                <w:rFonts w:ascii="Calibri" w:eastAsia="Arial" w:hAnsi="Calibri" w:cs="Calibri"/>
                <w:b/>
                <w:color w:val="000000"/>
              </w:rPr>
              <w:t>20</w:t>
            </w:r>
            <w:r>
              <w:rPr>
                <w:rFonts w:ascii="Calibri" w:eastAsia="Arial" w:hAnsi="Calibri" w:cs="Calibri"/>
                <w:b/>
                <w:color w:val="000000"/>
              </w:rPr>
              <w:t>)</w:t>
            </w:r>
          </w:p>
        </w:tc>
        <w:tc>
          <w:tcPr>
            <w:tcW w:w="3544" w:type="dxa"/>
            <w:tcBorders>
              <w:top w:val="single" w:sz="5" w:space="0" w:color="000000"/>
              <w:left w:val="single" w:sz="5" w:space="0" w:color="000000"/>
              <w:bottom w:val="single" w:sz="5" w:space="0" w:color="000000"/>
              <w:right w:val="single" w:sz="5" w:space="0" w:color="000000"/>
            </w:tcBorders>
          </w:tcPr>
          <w:p w14:paraId="5F5E0376" w14:textId="50498B79" w:rsidR="00CD31A2" w:rsidRPr="00A25FA1" w:rsidRDefault="00CD31A2" w:rsidP="00A25FA1">
            <w:pPr>
              <w:spacing w:after="118" w:line="277" w:lineRule="exact"/>
              <w:ind w:left="108" w:right="108"/>
              <w:jc w:val="both"/>
              <w:textAlignment w:val="baseline"/>
              <w:rPr>
                <w:rFonts w:ascii="Calibri" w:eastAsia="Arial" w:hAnsi="Calibri" w:cs="Calibri"/>
                <w:color w:val="000000"/>
                <w:spacing w:val="-3"/>
              </w:rPr>
            </w:pPr>
            <w:r>
              <w:rPr>
                <w:rFonts w:ascii="Calibri" w:eastAsia="Arial" w:hAnsi="Calibri" w:cs="Calibri"/>
                <w:color w:val="000000"/>
                <w:spacing w:val="-3"/>
              </w:rPr>
              <w:t>Note DPGF</w:t>
            </w:r>
            <w:r w:rsidRPr="00A25FA1">
              <w:rPr>
                <w:rFonts w:ascii="Calibri" w:eastAsia="Arial" w:hAnsi="Calibri" w:cs="Calibri"/>
                <w:color w:val="000000"/>
                <w:spacing w:val="-3"/>
              </w:rPr>
              <w:t xml:space="preserve"> sera apprécié sur la base du prix global forfaitaire figurant dans la DPGF</w:t>
            </w:r>
          </w:p>
        </w:tc>
      </w:tr>
      <w:tr w:rsidR="00CD31A2" w:rsidRPr="00A25FA1" w14:paraId="3E602411" w14:textId="77777777" w:rsidTr="00CD31A2">
        <w:trPr>
          <w:trHeight w:hRule="exact" w:val="1044"/>
        </w:trPr>
        <w:tc>
          <w:tcPr>
            <w:tcW w:w="5083" w:type="dxa"/>
            <w:vMerge/>
            <w:tcBorders>
              <w:left w:val="single" w:sz="5" w:space="0" w:color="000000"/>
              <w:bottom w:val="single" w:sz="5" w:space="0" w:color="000000"/>
              <w:right w:val="single" w:sz="5" w:space="0" w:color="000000"/>
            </w:tcBorders>
          </w:tcPr>
          <w:p w14:paraId="067631E6" w14:textId="2F42AD31" w:rsidR="00CD31A2" w:rsidRPr="00A25FA1" w:rsidRDefault="00CD31A2" w:rsidP="00FD3CC4">
            <w:pPr>
              <w:spacing w:before="42" w:after="1524" w:line="247" w:lineRule="exact"/>
              <w:ind w:left="124"/>
              <w:textAlignment w:val="baseline"/>
              <w:rPr>
                <w:rFonts w:ascii="Calibri" w:eastAsia="Arial" w:hAnsi="Calibri" w:cs="Calibri"/>
                <w:b/>
                <w:color w:val="000000"/>
              </w:rPr>
            </w:pPr>
          </w:p>
        </w:tc>
        <w:tc>
          <w:tcPr>
            <w:tcW w:w="1276" w:type="dxa"/>
            <w:vMerge/>
            <w:tcBorders>
              <w:left w:val="single" w:sz="5" w:space="0" w:color="000000"/>
              <w:bottom w:val="single" w:sz="5" w:space="0" w:color="000000"/>
              <w:right w:val="single" w:sz="5" w:space="0" w:color="000000"/>
            </w:tcBorders>
            <w:vAlign w:val="center"/>
          </w:tcPr>
          <w:p w14:paraId="7F6503CA" w14:textId="4DB5852C" w:rsidR="00CD31A2" w:rsidRPr="00A25FA1" w:rsidRDefault="00CD31A2" w:rsidP="00A25FA1">
            <w:pPr>
              <w:spacing w:line="247" w:lineRule="exact"/>
              <w:jc w:val="center"/>
              <w:textAlignment w:val="baseline"/>
              <w:rPr>
                <w:rFonts w:ascii="Calibri" w:eastAsia="Arial" w:hAnsi="Calibri" w:cs="Calibri"/>
                <w:b/>
                <w:color w:val="000000"/>
              </w:rPr>
            </w:pPr>
          </w:p>
        </w:tc>
        <w:tc>
          <w:tcPr>
            <w:tcW w:w="3544" w:type="dxa"/>
            <w:tcBorders>
              <w:top w:val="single" w:sz="5" w:space="0" w:color="000000"/>
              <w:left w:val="single" w:sz="5" w:space="0" w:color="000000"/>
              <w:bottom w:val="single" w:sz="5" w:space="0" w:color="000000"/>
              <w:right w:val="single" w:sz="5" w:space="0" w:color="000000"/>
            </w:tcBorders>
          </w:tcPr>
          <w:p w14:paraId="614F6846" w14:textId="2B5411A8" w:rsidR="00CD31A2" w:rsidRPr="00A25FA1" w:rsidRDefault="00CD31A2" w:rsidP="00A25FA1">
            <w:pPr>
              <w:spacing w:after="122" w:line="277" w:lineRule="exact"/>
              <w:ind w:left="108" w:right="108"/>
              <w:jc w:val="both"/>
              <w:textAlignment w:val="baseline"/>
              <w:rPr>
                <w:rFonts w:ascii="Calibri" w:eastAsia="Arial" w:hAnsi="Calibri" w:cs="Calibri"/>
                <w:color w:val="000000"/>
                <w:spacing w:val="-3"/>
              </w:rPr>
            </w:pPr>
            <w:r>
              <w:rPr>
                <w:rFonts w:ascii="Calibri" w:eastAsia="Arial" w:hAnsi="Calibri" w:cs="Calibri"/>
                <w:color w:val="000000"/>
                <w:spacing w:val="-3"/>
              </w:rPr>
              <w:t xml:space="preserve">Note BPU sera apprécié sur la base des prix figurant au BPU par l’application </w:t>
            </w:r>
            <w:bookmarkStart w:id="39" w:name="_GoBack"/>
            <w:bookmarkEnd w:id="39"/>
            <w:r>
              <w:rPr>
                <w:rFonts w:ascii="Calibri" w:eastAsia="Arial" w:hAnsi="Calibri" w:cs="Calibri"/>
                <w:color w:val="000000"/>
                <w:spacing w:val="-3"/>
              </w:rPr>
              <w:t>de quantité.</w:t>
            </w:r>
          </w:p>
        </w:tc>
      </w:tr>
    </w:tbl>
    <w:p w14:paraId="015DC26C" w14:textId="77777777" w:rsidR="00A25FA1" w:rsidRDefault="00A25FA1" w:rsidP="00FF6988">
      <w:pPr>
        <w:rPr>
          <w:rFonts w:cs="Calibri"/>
        </w:rPr>
      </w:pPr>
    </w:p>
    <w:p w14:paraId="1E397676" w14:textId="77777777" w:rsidR="003D2495" w:rsidRPr="00112C8A" w:rsidRDefault="003D2495" w:rsidP="003D2495">
      <w:pPr>
        <w:rPr>
          <w:b/>
          <w:bCs/>
        </w:rPr>
      </w:pPr>
      <w:r w:rsidRPr="00112C8A">
        <w:rPr>
          <w:b/>
          <w:bCs/>
        </w:rPr>
        <w:t>NOTA :</w:t>
      </w:r>
    </w:p>
    <w:p w14:paraId="1D824E82" w14:textId="77777777" w:rsidR="003D2495" w:rsidRPr="00D14C81" w:rsidRDefault="003D2495" w:rsidP="003D2495">
      <w:r w:rsidRPr="00D14C81">
        <w:t>Il est rappelé aux candidats que toutes les pièces transmises doivent permettre au pouvoir adjudicateur de procéder à un classement éclairé des offres en fonction des critères d’attribution retenus.</w:t>
      </w:r>
    </w:p>
    <w:p w14:paraId="2B0A8933" w14:textId="77777777" w:rsidR="003D2495" w:rsidRPr="00D14C81" w:rsidRDefault="003D2495" w:rsidP="003D2495"/>
    <w:p w14:paraId="4E3E374D" w14:textId="77777777" w:rsidR="003D2495" w:rsidRPr="003D2495" w:rsidRDefault="003D2495" w:rsidP="003D2495">
      <w:pPr>
        <w:pStyle w:val="Sansinterligne"/>
        <w:rPr>
          <w:rFonts w:ascii="Arial" w:hAnsi="Arial" w:cs="Arial"/>
          <w:lang w:val="fr-FR"/>
        </w:rPr>
      </w:pPr>
      <w:r w:rsidRPr="003D2495">
        <w:rPr>
          <w:rFonts w:ascii="Arial" w:hAnsi="Arial" w:cs="Arial"/>
          <w:lang w:val="fr-FR"/>
        </w:rPr>
        <w:t>Le pouvoir adjudicateur conseille vivement au soumissionnaire de préciser les éléments confidentiels de son offre couverts par le secret des affaires et à justifier par note détaillée écrite les motifs de couverture de ces éléments. Cette démarche facilitera le respect du secret des affaires par le CHU de Clermont Ferrand, le cas échéant.</w:t>
      </w:r>
    </w:p>
    <w:p w14:paraId="08B23779" w14:textId="77777777" w:rsidR="003D2495" w:rsidRDefault="003D2495" w:rsidP="00FF6988">
      <w:pPr>
        <w:rPr>
          <w:rFonts w:cs="Calibri"/>
        </w:rPr>
      </w:pPr>
    </w:p>
    <w:p w14:paraId="7915396F" w14:textId="46B47A6E" w:rsidR="00B616B1" w:rsidRPr="002C2EA8" w:rsidRDefault="00E13F2C" w:rsidP="00B616B1">
      <w:pPr>
        <w:rPr>
          <w:rFonts w:cs="Calibri"/>
          <w:b/>
          <w:bCs/>
          <w:u w:val="single"/>
        </w:rPr>
      </w:pPr>
      <w:bookmarkStart w:id="40" w:name="_Hlk201674949"/>
      <w:r w:rsidRPr="002C2EA8">
        <w:rPr>
          <w:rFonts w:cs="Calibri"/>
          <w:b/>
          <w:bCs/>
          <w:u w:val="single"/>
        </w:rPr>
        <w:t>Note financière :</w:t>
      </w:r>
    </w:p>
    <w:p w14:paraId="18D52286" w14:textId="77777777" w:rsidR="00E13F2C" w:rsidRPr="002C2EA8" w:rsidRDefault="00E13F2C" w:rsidP="00B616B1">
      <w:pPr>
        <w:rPr>
          <w:rFonts w:cs="Calibri"/>
        </w:rPr>
      </w:pPr>
    </w:p>
    <w:p w14:paraId="1F7E9E7B" w14:textId="7BA018F1" w:rsidR="00B616B1" w:rsidRPr="002C2EA8" w:rsidRDefault="00B616B1" w:rsidP="00B616B1">
      <w:pPr>
        <w:rPr>
          <w:rFonts w:cs="Calibri"/>
        </w:rPr>
      </w:pPr>
      <w:r w:rsidRPr="002C2EA8">
        <w:rPr>
          <w:rFonts w:cs="Calibri"/>
        </w:rPr>
        <w:t xml:space="preserve">Chaque candidat se verra attribuer une note globale sur </w:t>
      </w:r>
      <w:r w:rsidR="00E13F2C" w:rsidRPr="002C2EA8">
        <w:rPr>
          <w:rFonts w:cs="Calibri"/>
        </w:rPr>
        <w:t>50</w:t>
      </w:r>
      <w:r w:rsidRPr="002C2EA8">
        <w:rPr>
          <w:rFonts w:cs="Calibri"/>
        </w:rPr>
        <w:t>.</w:t>
      </w:r>
    </w:p>
    <w:p w14:paraId="07227C52" w14:textId="77777777" w:rsidR="00E13F2C" w:rsidRPr="002C2EA8" w:rsidRDefault="00E13F2C" w:rsidP="00B616B1">
      <w:pPr>
        <w:rPr>
          <w:rFonts w:cs="Calibri"/>
        </w:rPr>
      </w:pPr>
    </w:p>
    <w:p w14:paraId="579298DE" w14:textId="7579105F" w:rsidR="00B616B1" w:rsidRPr="002C2EA8" w:rsidRDefault="00B616B1" w:rsidP="00B616B1">
      <w:pPr>
        <w:rPr>
          <w:rFonts w:cs="Calibri"/>
        </w:rPr>
      </w:pPr>
      <w:r w:rsidRPr="002C2EA8">
        <w:rPr>
          <w:rFonts w:cs="Calibri"/>
        </w:rPr>
        <w:t xml:space="preserve">Note </w:t>
      </w:r>
      <w:r w:rsidR="002C2EA8" w:rsidRPr="002C2EA8">
        <w:rPr>
          <w:rFonts w:cs="Calibri"/>
        </w:rPr>
        <w:t xml:space="preserve">financière </w:t>
      </w:r>
      <w:r w:rsidRPr="002C2EA8">
        <w:rPr>
          <w:rFonts w:cs="Calibri"/>
        </w:rPr>
        <w:t xml:space="preserve">= </w:t>
      </w:r>
      <w:bookmarkStart w:id="41" w:name="_Hlk201674871"/>
      <w:r w:rsidR="002C2EA8" w:rsidRPr="002C2EA8">
        <w:rPr>
          <w:rFonts w:cs="Calibri"/>
        </w:rPr>
        <w:t xml:space="preserve">50 * </w:t>
      </w:r>
      <w:r w:rsidRPr="002C2EA8">
        <w:rPr>
          <w:rFonts w:cs="Calibri"/>
        </w:rPr>
        <w:t>(prix D</w:t>
      </w:r>
      <w:r w:rsidR="006E5208">
        <w:rPr>
          <w:rFonts w:cs="Calibri"/>
        </w:rPr>
        <w:t>PGF * 0,33 + prix BPU * 0,17</w:t>
      </w:r>
      <w:r w:rsidR="002C2EA8" w:rsidRPr="002C2EA8">
        <w:rPr>
          <w:rFonts w:cs="Calibri"/>
        </w:rPr>
        <w:t>)</w:t>
      </w:r>
      <w:bookmarkEnd w:id="41"/>
      <w:r w:rsidRPr="002C2EA8">
        <w:rPr>
          <w:rFonts w:cs="Calibri"/>
        </w:rPr>
        <w:t xml:space="preserve"> le plus bas</w:t>
      </w:r>
      <w:r w:rsidR="002C2EA8" w:rsidRPr="002C2EA8">
        <w:rPr>
          <w:rFonts w:cs="Calibri"/>
        </w:rPr>
        <w:t xml:space="preserve"> </w:t>
      </w:r>
      <w:r w:rsidRPr="002C2EA8">
        <w:rPr>
          <w:rFonts w:cs="Calibri"/>
        </w:rPr>
        <w:t>/</w:t>
      </w:r>
      <w:r w:rsidR="002C2EA8" w:rsidRPr="002C2EA8">
        <w:rPr>
          <w:rFonts w:cs="Calibri"/>
        </w:rPr>
        <w:t xml:space="preserve"> </w:t>
      </w:r>
      <w:r w:rsidRPr="002C2EA8">
        <w:rPr>
          <w:rFonts w:cs="Calibri"/>
        </w:rPr>
        <w:t xml:space="preserve">prix </w:t>
      </w:r>
      <w:r w:rsidR="006E5208">
        <w:rPr>
          <w:rFonts w:cs="Calibri"/>
        </w:rPr>
        <w:t>(prix DPGF * 0,33 + prix BPU * 0,17</w:t>
      </w:r>
      <w:r w:rsidR="002C2EA8" w:rsidRPr="002C2EA8">
        <w:rPr>
          <w:rFonts w:cs="Calibri"/>
        </w:rPr>
        <w:t>)</w:t>
      </w:r>
      <w:r w:rsidRPr="002C2EA8">
        <w:rPr>
          <w:rFonts w:cs="Calibri"/>
        </w:rPr>
        <w:t xml:space="preserve"> de l'offre examinée)</w:t>
      </w:r>
    </w:p>
    <w:p w14:paraId="4921A19F" w14:textId="77777777" w:rsidR="00B616B1" w:rsidRPr="002C2EA8" w:rsidRDefault="00B616B1" w:rsidP="00B616B1">
      <w:pPr>
        <w:rPr>
          <w:rFonts w:cs="Calibri"/>
        </w:rPr>
      </w:pPr>
    </w:p>
    <w:bookmarkEnd w:id="40"/>
    <w:p w14:paraId="0350AF05" w14:textId="77777777" w:rsidR="002C2EA8" w:rsidRPr="002C2EA8" w:rsidRDefault="002C2EA8" w:rsidP="002C2EA8">
      <w:pPr>
        <w:rPr>
          <w:rFonts w:cs="Calibri"/>
        </w:rPr>
      </w:pPr>
      <w:r w:rsidRPr="002C2EA8">
        <w:rPr>
          <w:rFonts w:cs="Calibri"/>
        </w:rPr>
        <w:t>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3A217875" w14:textId="77777777" w:rsidR="002C2EA8" w:rsidRDefault="002C2EA8" w:rsidP="00B616B1">
      <w:pPr>
        <w:rPr>
          <w:rFonts w:cs="Calibri"/>
        </w:rPr>
      </w:pPr>
    </w:p>
    <w:p w14:paraId="283F3041" w14:textId="02247E2D" w:rsidR="002C2EA8" w:rsidRPr="002C2EA8" w:rsidRDefault="002C2EA8" w:rsidP="002C2EA8">
      <w:pPr>
        <w:rPr>
          <w:rFonts w:cs="Calibri"/>
          <w:b/>
          <w:bCs/>
          <w:u w:val="single"/>
        </w:rPr>
      </w:pPr>
      <w:r w:rsidRPr="002C2EA8">
        <w:rPr>
          <w:rFonts w:cs="Calibri"/>
          <w:b/>
          <w:bCs/>
          <w:u w:val="single"/>
        </w:rPr>
        <w:t>Note</w:t>
      </w:r>
      <w:r w:rsidR="00BD6306">
        <w:rPr>
          <w:rFonts w:cs="Calibri"/>
          <w:b/>
          <w:bCs/>
          <w:u w:val="single"/>
        </w:rPr>
        <w:t>s</w:t>
      </w:r>
      <w:r w:rsidRPr="002C2EA8">
        <w:rPr>
          <w:rFonts w:cs="Calibri"/>
          <w:b/>
          <w:bCs/>
          <w:u w:val="single"/>
        </w:rPr>
        <w:t xml:space="preserve"> technique</w:t>
      </w:r>
      <w:r w:rsidR="00BD6306">
        <w:rPr>
          <w:rFonts w:cs="Calibri"/>
          <w:b/>
          <w:bCs/>
          <w:u w:val="single"/>
        </w:rPr>
        <w:t>s</w:t>
      </w:r>
      <w:r w:rsidRPr="002C2EA8">
        <w:rPr>
          <w:rFonts w:cs="Calibri"/>
          <w:b/>
          <w:bCs/>
          <w:u w:val="single"/>
        </w:rPr>
        <w:t xml:space="preserve"> :</w:t>
      </w:r>
    </w:p>
    <w:p w14:paraId="1B2AF2D9" w14:textId="6E5DF139" w:rsidR="002C2EA8" w:rsidRDefault="002C2EA8" w:rsidP="002C2EA8">
      <w:pPr>
        <w:rPr>
          <w:rFonts w:cs="Calibri"/>
        </w:rPr>
      </w:pPr>
    </w:p>
    <w:p w14:paraId="16F4415B" w14:textId="77777777" w:rsidR="00BD6306" w:rsidRPr="00BD6306" w:rsidRDefault="00BD6306" w:rsidP="00BD6306">
      <w:pPr>
        <w:rPr>
          <w:rFonts w:cs="Calibri"/>
        </w:rPr>
      </w:pPr>
      <w:r w:rsidRPr="00BD6306">
        <w:rPr>
          <w:rFonts w:cs="Calibri"/>
        </w:rPr>
        <w:t xml:space="preserve">Chaque critère technique sera noté sur 10. </w:t>
      </w:r>
    </w:p>
    <w:p w14:paraId="337BF03D" w14:textId="77777777" w:rsidR="00BD6306" w:rsidRPr="00BD6306" w:rsidRDefault="00BD6306" w:rsidP="00BD6306">
      <w:pPr>
        <w:rPr>
          <w:rFonts w:cs="Calibri"/>
        </w:rPr>
      </w:pPr>
    </w:p>
    <w:p w14:paraId="20675C9E" w14:textId="77777777" w:rsidR="00BD6306" w:rsidRDefault="00BD6306" w:rsidP="00BD6306">
      <w:pPr>
        <w:rPr>
          <w:rFonts w:cs="Calibri"/>
        </w:rPr>
      </w:pPr>
      <w:r w:rsidRPr="00BD6306">
        <w:rPr>
          <w:rFonts w:cs="Calibri"/>
        </w:rPr>
        <w:t xml:space="preserve">Les notes sont ensuite pondérées par application </w:t>
      </w:r>
      <w:r>
        <w:rPr>
          <w:rFonts w:cs="Calibri"/>
        </w:rPr>
        <w:t>du coefficient de pondération suivant :</w:t>
      </w:r>
    </w:p>
    <w:p w14:paraId="17729C62" w14:textId="77777777" w:rsidR="00BD6306" w:rsidRDefault="00BD6306" w:rsidP="00BD6306">
      <w:pPr>
        <w:pStyle w:val="Paragraphedeliste"/>
        <w:numPr>
          <w:ilvl w:val="0"/>
          <w:numId w:val="40"/>
        </w:numPr>
        <w:rPr>
          <w:rFonts w:cs="Calibri"/>
        </w:rPr>
      </w:pPr>
      <w:r w:rsidRPr="00BD6306">
        <w:rPr>
          <w:rFonts w:cs="Calibri"/>
        </w:rPr>
        <w:t xml:space="preserve">1,5 pour le critère 1 pour obtenir une note provisoire /15 ; </w:t>
      </w:r>
    </w:p>
    <w:p w14:paraId="34BC2622" w14:textId="03D3BA5B" w:rsidR="00BD6306" w:rsidRDefault="00BD6306" w:rsidP="00BD6306">
      <w:pPr>
        <w:pStyle w:val="Paragraphedeliste"/>
        <w:numPr>
          <w:ilvl w:val="0"/>
          <w:numId w:val="40"/>
        </w:numPr>
        <w:rPr>
          <w:rFonts w:cs="Calibri"/>
        </w:rPr>
      </w:pPr>
      <w:r w:rsidRPr="00BD6306">
        <w:rPr>
          <w:rFonts w:cs="Calibri"/>
        </w:rPr>
        <w:t>2,5 pour le critère 2 pour obtenir une note provisoire /25</w:t>
      </w:r>
    </w:p>
    <w:p w14:paraId="6CA0E0F7" w14:textId="1A99B107" w:rsidR="00BD6306" w:rsidRPr="00BD6306" w:rsidRDefault="00BD6306" w:rsidP="00BD6306">
      <w:pPr>
        <w:pStyle w:val="Paragraphedeliste"/>
        <w:numPr>
          <w:ilvl w:val="0"/>
          <w:numId w:val="40"/>
        </w:numPr>
        <w:rPr>
          <w:rFonts w:cs="Calibri"/>
        </w:rPr>
      </w:pPr>
      <w:r>
        <w:rPr>
          <w:rFonts w:cs="Calibri"/>
        </w:rPr>
        <w:t>1 pour le critère 3</w:t>
      </w:r>
      <w:r w:rsidRPr="00BD6306">
        <w:rPr>
          <w:rFonts w:cs="Calibri"/>
        </w:rPr>
        <w:t xml:space="preserve"> pour</w:t>
      </w:r>
      <w:r>
        <w:rPr>
          <w:rFonts w:cs="Calibri"/>
        </w:rPr>
        <w:t xml:space="preserve"> obtenir une note provisoire /10</w:t>
      </w:r>
    </w:p>
    <w:p w14:paraId="310FB541" w14:textId="77777777" w:rsidR="00BD6306" w:rsidRPr="00BD6306" w:rsidRDefault="00BD6306" w:rsidP="00BD6306">
      <w:pPr>
        <w:rPr>
          <w:rFonts w:cs="Calibri"/>
        </w:rPr>
      </w:pPr>
    </w:p>
    <w:p w14:paraId="24FC106B" w14:textId="42A93C5B" w:rsidR="00111992" w:rsidRDefault="00BD6306" w:rsidP="00BD6306">
      <w:pPr>
        <w:rPr>
          <w:rFonts w:cs="Calibri"/>
        </w:rPr>
      </w:pPr>
      <w:r w:rsidRPr="00BD6306">
        <w:rPr>
          <w:rFonts w:cs="Calibri"/>
        </w:rPr>
        <w:t>Si la meilleure des offres sur un critère n’a pas la totalité des points de ce critère, les notes seront recalculées afin que le meilleur candidat sur un critère ait la totalité des points sur ce critère et que les notes des autres candidats soient modifiées conformément à l’ajustement intervenu sur la meilleure offre. (Totalité des points du critère/meilleure note obtenue sur ce critère) * note de l’offre analysée.</w:t>
      </w:r>
    </w:p>
    <w:p w14:paraId="225ABBDD" w14:textId="24D8408D" w:rsidR="00111992" w:rsidRDefault="00111992" w:rsidP="002C2EA8">
      <w:pPr>
        <w:rPr>
          <w:rFonts w:cs="Calibri"/>
        </w:rPr>
      </w:pPr>
    </w:p>
    <w:p w14:paraId="12E60A48" w14:textId="0A6AA2D7" w:rsidR="00112C8A" w:rsidRPr="00112C8A" w:rsidRDefault="00112C8A" w:rsidP="00B616B1">
      <w:pPr>
        <w:rPr>
          <w:rFonts w:cs="Calibri"/>
          <w:b/>
          <w:bCs/>
          <w:u w:val="single"/>
        </w:rPr>
      </w:pPr>
      <w:r w:rsidRPr="00112C8A">
        <w:rPr>
          <w:rFonts w:cs="Calibri"/>
          <w:b/>
          <w:bCs/>
          <w:u w:val="single"/>
        </w:rPr>
        <w:t>Note globale</w:t>
      </w:r>
    </w:p>
    <w:p w14:paraId="13520379" w14:textId="77777777" w:rsidR="00112C8A" w:rsidRDefault="00112C8A" w:rsidP="00B616B1">
      <w:pPr>
        <w:rPr>
          <w:rFonts w:cs="Calibri"/>
        </w:rPr>
      </w:pPr>
    </w:p>
    <w:p w14:paraId="066AE4D7" w14:textId="15979FDF" w:rsidR="002C2EA8" w:rsidRDefault="002C2EA8" w:rsidP="00B616B1">
      <w:pPr>
        <w:rPr>
          <w:rFonts w:cs="Calibri"/>
        </w:rPr>
      </w:pPr>
      <w:r>
        <w:rPr>
          <w:rFonts w:cs="Calibri"/>
        </w:rPr>
        <w:t>Les deux notes sont additionnées pour obtenir une note sur 100.</w:t>
      </w:r>
    </w:p>
    <w:p w14:paraId="58982C05" w14:textId="77777777" w:rsidR="002C2EA8" w:rsidRDefault="002C2EA8" w:rsidP="00B616B1">
      <w:pPr>
        <w:rPr>
          <w:rFonts w:cs="Calibri"/>
        </w:rPr>
      </w:pPr>
    </w:p>
    <w:p w14:paraId="4B799275" w14:textId="40F3CC5F" w:rsidR="00B616B1" w:rsidRPr="00B616B1" w:rsidRDefault="00B616B1" w:rsidP="00F7234B">
      <w:pPr>
        <w:pStyle w:val="Titre2"/>
      </w:pPr>
      <w:bookmarkStart w:id="42" w:name="_Toc201733987"/>
      <w:r w:rsidRPr="00B616B1">
        <w:t>Suite à donner à la consultation</w:t>
      </w:r>
      <w:bookmarkEnd w:id="42"/>
    </w:p>
    <w:p w14:paraId="3EAE77AC" w14:textId="21BFE9CA" w:rsidR="00EC4F8F" w:rsidRDefault="00B616B1" w:rsidP="00B616B1">
      <w:pPr>
        <w:rPr>
          <w:rFonts w:cs="Calibri"/>
        </w:rPr>
      </w:pPr>
      <w:r w:rsidRPr="00B616B1">
        <w:rPr>
          <w:rFonts w:cs="Calibri"/>
        </w:rPr>
        <w:t xml:space="preserve">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w:t>
      </w:r>
      <w:r w:rsidR="00DC02CC">
        <w:rPr>
          <w:rFonts w:cs="Calibri"/>
        </w:rPr>
        <w:t>7</w:t>
      </w:r>
      <w:r w:rsidRPr="00B616B1">
        <w:rPr>
          <w:rFonts w:cs="Calibri"/>
        </w:rPr>
        <w:t xml:space="preserve"> jours.</w:t>
      </w:r>
    </w:p>
    <w:p w14:paraId="0B36ECF0" w14:textId="77777777" w:rsidR="008A28CD" w:rsidRDefault="008A28CD" w:rsidP="00B616B1">
      <w:pPr>
        <w:rPr>
          <w:rFonts w:cs="Calibri"/>
        </w:rPr>
      </w:pPr>
    </w:p>
    <w:p w14:paraId="22EBDDC0" w14:textId="77777777" w:rsidR="00DC02CC" w:rsidRDefault="00DC02CC" w:rsidP="00DC02CC">
      <w:pPr>
        <w:rPr>
          <w:rFonts w:cs="Calibri"/>
        </w:rPr>
      </w:pPr>
      <w:r w:rsidRPr="00DC02CC">
        <w:rPr>
          <w:rFonts w:cs="Calibri"/>
        </w:rPr>
        <w:t>Ces documents sont à solliciter auprès des administrations concernées. Compte tenu des délais d’obtention de ces documents auprès de ces administrations, les candidats devront impérativement les réclamer bien avant la date de remise des plis afin d’être en mesure de les produire dans le délai imparti.</w:t>
      </w:r>
    </w:p>
    <w:p w14:paraId="4406D7F2" w14:textId="77777777" w:rsidR="00DC02CC" w:rsidRDefault="00DC02CC" w:rsidP="00B616B1">
      <w:pPr>
        <w:rPr>
          <w:rFonts w:cs="Calibri"/>
        </w:rPr>
      </w:pPr>
    </w:p>
    <w:p w14:paraId="26A73430" w14:textId="5A29734E" w:rsidR="008A28CD" w:rsidRDefault="008A28CD" w:rsidP="00B616B1">
      <w:pPr>
        <w:rPr>
          <w:rFonts w:cs="Calibri"/>
        </w:rPr>
      </w:pPr>
      <w:r w:rsidRPr="008A28CD">
        <w:rPr>
          <w:rFonts w:cs="Calibri"/>
        </w:rPr>
        <w:t xml:space="preserve">En cas d’égalité entre plusieurs candidats, le candidat retenu sera celui qui aura obtenu la meilleure note au critère </w:t>
      </w:r>
      <w:r>
        <w:rPr>
          <w:rFonts w:cs="Calibri"/>
        </w:rPr>
        <w:t>méthodologie.</w:t>
      </w:r>
    </w:p>
    <w:p w14:paraId="6FCCBBAB" w14:textId="77777777" w:rsidR="00DC02CC" w:rsidRDefault="00DC02CC" w:rsidP="00FF6988">
      <w:pPr>
        <w:rPr>
          <w:rFonts w:cs="Calibri"/>
        </w:rPr>
      </w:pPr>
    </w:p>
    <w:p w14:paraId="31457E7E" w14:textId="25FB32B5" w:rsidR="00DC02CC" w:rsidRPr="00DC02CC" w:rsidRDefault="00DC02CC" w:rsidP="00DC02CC">
      <w:pPr>
        <w:pStyle w:val="Titre2"/>
      </w:pPr>
      <w:bookmarkStart w:id="43" w:name="_Toc201733988"/>
      <w:r w:rsidRPr="00DC02CC">
        <w:t>Information des candidats non retenus</w:t>
      </w:r>
      <w:bookmarkEnd w:id="43"/>
    </w:p>
    <w:p w14:paraId="28612409" w14:textId="77777777" w:rsidR="00DC02CC" w:rsidRPr="00DC02CC" w:rsidRDefault="00DC02CC" w:rsidP="00DC02CC">
      <w:pPr>
        <w:rPr>
          <w:rFonts w:cs="Calibri"/>
        </w:rPr>
      </w:pPr>
      <w:r w:rsidRPr="00DC02CC">
        <w:rPr>
          <w:rFonts w:cs="Calibri"/>
        </w:rPr>
        <w:t>Dès que le choix est arrêté, les candidats dont l’offre n’a pas été retenue sont informés par le pouvoir adjudicateur selon les articles R. 2181 et suivant du Code de la commande publique.</w:t>
      </w:r>
    </w:p>
    <w:p w14:paraId="31B03ABF" w14:textId="77777777" w:rsidR="00DC02CC" w:rsidRPr="00DC02CC" w:rsidRDefault="00DC02CC" w:rsidP="00DC02CC">
      <w:pPr>
        <w:rPr>
          <w:rFonts w:cs="Calibri"/>
        </w:rPr>
      </w:pPr>
    </w:p>
    <w:p w14:paraId="50CA842F" w14:textId="77777777" w:rsidR="00DC02CC" w:rsidRPr="00DC02CC" w:rsidRDefault="00DC02CC" w:rsidP="00DC02CC">
      <w:pPr>
        <w:rPr>
          <w:rFonts w:cs="Calibri"/>
        </w:rPr>
      </w:pPr>
      <w:r w:rsidRPr="00DC02CC">
        <w:rPr>
          <w:rFonts w:cs="Calibri"/>
        </w:rPr>
        <w:t>Le candidat non retenu peut obtenir les motifs du rejet de sa candidature ou de son offre s’il en fait la demande par écrit au pouvoir adjudicateur, qui apportera une réponse dans les quinze jours à compter de la réception de cette demande.</w:t>
      </w:r>
    </w:p>
    <w:p w14:paraId="043DCDE7" w14:textId="77777777" w:rsidR="00DC02CC" w:rsidRPr="00DC02CC" w:rsidRDefault="00DC02CC" w:rsidP="00DC02CC">
      <w:pPr>
        <w:rPr>
          <w:rFonts w:cs="Calibri"/>
        </w:rPr>
      </w:pPr>
    </w:p>
    <w:p w14:paraId="5210CDB1" w14:textId="77777777" w:rsidR="00DC02CC" w:rsidRPr="00DC02CC" w:rsidRDefault="00DC02CC" w:rsidP="00DC02CC">
      <w:pPr>
        <w:rPr>
          <w:rFonts w:cs="Calibri"/>
        </w:rPr>
      </w:pPr>
      <w:r w:rsidRPr="00DC02CC">
        <w:rPr>
          <w:rFonts w:cs="Calibri"/>
        </w:rPr>
        <w:t>Avant toute action contentieuse, le candidat peut adresser un recours gracieux au pouvoir adjudicateur. L’absence de réponse dans un délai de 2 mois vaut décision de rejet. Une requête contentieuse contre cette décision implicite de rejet peut être adressée au Tribunal administratif de Clermont Ferrand.</w:t>
      </w:r>
    </w:p>
    <w:p w14:paraId="4769DDBB" w14:textId="77777777" w:rsidR="00DC02CC" w:rsidRDefault="00DC02CC" w:rsidP="00DC02CC">
      <w:pPr>
        <w:rPr>
          <w:rFonts w:cs="Calibri"/>
        </w:rPr>
      </w:pPr>
    </w:p>
    <w:p w14:paraId="0ABB4FB8" w14:textId="1F743033" w:rsidR="00DC02CC" w:rsidRDefault="00DC02CC" w:rsidP="00DC02CC">
      <w:pPr>
        <w:rPr>
          <w:rFonts w:cs="Calibri"/>
        </w:rPr>
      </w:pPr>
      <w:r w:rsidRPr="00DC02CC">
        <w:rPr>
          <w:rFonts w:cs="Calibri"/>
        </w:rPr>
        <w:t>Le candidat dispose d’un délai de 2 mois pour contester la décision du pouvoir adjudicateur, conformément aux articles R. 421-1 à 421-7 du Code de justice administrative.</w:t>
      </w:r>
    </w:p>
    <w:p w14:paraId="1FF82FD1" w14:textId="77777777" w:rsidR="00DC02CC" w:rsidRDefault="00DC02CC" w:rsidP="00FF6988">
      <w:pPr>
        <w:rPr>
          <w:rFonts w:cs="Calibri"/>
        </w:rPr>
      </w:pPr>
    </w:p>
    <w:p w14:paraId="312DCC08" w14:textId="1E9D1511" w:rsidR="00B616B1" w:rsidRPr="00B616B1" w:rsidRDefault="00B616B1" w:rsidP="00F7234B">
      <w:pPr>
        <w:pStyle w:val="Titre1"/>
      </w:pPr>
      <w:bookmarkStart w:id="44" w:name="_Toc201733989"/>
      <w:r w:rsidRPr="00B616B1">
        <w:t>Renseignements complémentaires</w:t>
      </w:r>
      <w:bookmarkEnd w:id="44"/>
    </w:p>
    <w:p w14:paraId="44F91111" w14:textId="00D27C4C" w:rsidR="00B616B1" w:rsidRPr="00B616B1" w:rsidRDefault="00B616B1" w:rsidP="00F7234B">
      <w:pPr>
        <w:pStyle w:val="Titre2"/>
      </w:pPr>
      <w:bookmarkStart w:id="45" w:name="_Toc201733990"/>
      <w:r w:rsidRPr="00B616B1">
        <w:t>Adresses supplémentaires et points de contact</w:t>
      </w:r>
      <w:bookmarkEnd w:id="45"/>
    </w:p>
    <w:p w14:paraId="2210A1ED" w14:textId="77777777" w:rsidR="00B616B1" w:rsidRPr="00B616B1" w:rsidRDefault="00B616B1" w:rsidP="00B616B1">
      <w:pPr>
        <w:rPr>
          <w:rFonts w:cs="Calibri"/>
        </w:rPr>
      </w:pPr>
      <w:r w:rsidRPr="00B616B1">
        <w:rPr>
          <w:rFonts w:cs="Calibri"/>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7320D863" w14:textId="77777777" w:rsidR="00B616B1" w:rsidRPr="00B616B1" w:rsidRDefault="00B616B1" w:rsidP="00B616B1">
      <w:pPr>
        <w:rPr>
          <w:rFonts w:cs="Calibri"/>
        </w:rPr>
      </w:pPr>
      <w:r w:rsidRPr="00B616B1">
        <w:rPr>
          <w:rFonts w:cs="Calibri"/>
        </w:rPr>
        <w:t xml:space="preserve"> </w:t>
      </w:r>
    </w:p>
    <w:p w14:paraId="4E1A3F42" w14:textId="77777777" w:rsidR="00B616B1" w:rsidRPr="00B616B1" w:rsidRDefault="00B616B1" w:rsidP="00B616B1">
      <w:pPr>
        <w:rPr>
          <w:rFonts w:cs="Calibri"/>
          <w:b/>
          <w:bCs/>
        </w:rPr>
      </w:pPr>
      <w:r w:rsidRPr="00B616B1">
        <w:rPr>
          <w:rFonts w:cs="Calibri"/>
          <w:b/>
          <w:bCs/>
        </w:rPr>
        <w:t>Et, en cas de dysfonctionnement de la plateforme à l’adresse mail suivante : bdm@chu-clermontferrand.fr</w:t>
      </w:r>
    </w:p>
    <w:p w14:paraId="5FF99307" w14:textId="77777777" w:rsidR="00B616B1" w:rsidRPr="00B616B1" w:rsidRDefault="00B616B1" w:rsidP="00B616B1">
      <w:pPr>
        <w:rPr>
          <w:rFonts w:cs="Calibri"/>
          <w:b/>
          <w:bCs/>
        </w:rPr>
      </w:pPr>
      <w:r w:rsidRPr="00B616B1">
        <w:rPr>
          <w:rFonts w:cs="Calibri"/>
          <w:b/>
          <w:bCs/>
        </w:rPr>
        <w:t>Les questions adressées à l’adresse bdm@chu-clermontferrand.fr alors que la plateforme ne connait pas de dysfonctionnement, ne seront pas prises en compte.</w:t>
      </w:r>
    </w:p>
    <w:p w14:paraId="048A5B66" w14:textId="77777777" w:rsidR="00B616B1" w:rsidRPr="00B616B1" w:rsidRDefault="00B616B1" w:rsidP="00B616B1">
      <w:pPr>
        <w:rPr>
          <w:rFonts w:cs="Calibri"/>
        </w:rPr>
      </w:pPr>
    </w:p>
    <w:p w14:paraId="4AE10217" w14:textId="77777777" w:rsidR="00B616B1" w:rsidRPr="00B616B1" w:rsidRDefault="00B616B1" w:rsidP="00B616B1">
      <w:pPr>
        <w:rPr>
          <w:rFonts w:cs="Calibri"/>
        </w:rPr>
      </w:pPr>
      <w:r w:rsidRPr="00B616B1">
        <w:rPr>
          <w:rFonts w:cs="Calibri"/>
        </w:rPr>
        <w:t>Cette demande doit intervenir au plus tard 10 jours avant la date limite de réception des offres.</w:t>
      </w:r>
    </w:p>
    <w:p w14:paraId="351A0260" w14:textId="77777777" w:rsidR="00B616B1" w:rsidRPr="00B616B1" w:rsidRDefault="00B616B1" w:rsidP="00B616B1">
      <w:pPr>
        <w:rPr>
          <w:rFonts w:cs="Calibri"/>
        </w:rPr>
      </w:pPr>
      <w:r w:rsidRPr="00B616B1">
        <w:rPr>
          <w:rFonts w:cs="Calibri"/>
        </w:rPr>
        <w:t xml:space="preserve"> </w:t>
      </w:r>
    </w:p>
    <w:p w14:paraId="47FE3B8D" w14:textId="41D9E46F" w:rsidR="00EC4F8F" w:rsidRPr="00B616B1" w:rsidRDefault="00B616B1" w:rsidP="00B616B1">
      <w:pPr>
        <w:rPr>
          <w:rFonts w:cs="Calibri"/>
          <w:b/>
          <w:bCs/>
        </w:rPr>
      </w:pPr>
      <w:r w:rsidRPr="00B616B1">
        <w:rPr>
          <w:rFonts w:cs="Calibri"/>
          <w:b/>
          <w:bCs/>
        </w:rPr>
        <w:t>Les demandes adressées par tout autre moyen (en particulier via des adresses mails nominatives ou par télécopies) ne seront pas prises en compte.</w:t>
      </w:r>
    </w:p>
    <w:p w14:paraId="3DB2668C" w14:textId="77777777" w:rsidR="00EC4F8F" w:rsidRDefault="00EC4F8F" w:rsidP="00FF6988">
      <w:pPr>
        <w:rPr>
          <w:rFonts w:cs="Calibri"/>
        </w:rPr>
      </w:pPr>
    </w:p>
    <w:p w14:paraId="395C9F72" w14:textId="77777777" w:rsidR="005C3713" w:rsidRDefault="005C3713" w:rsidP="005C3713">
      <w:pPr>
        <w:rPr>
          <w:rFonts w:cs="Calibri"/>
        </w:rPr>
      </w:pPr>
      <w:r w:rsidRPr="005C3713">
        <w:rPr>
          <w:rFonts w:cs="Calibri"/>
        </w:rPr>
        <w:t>Une réponse sera alors adressée, à toutes les entreprises ayant retiré le dossier ou l'ayant téléchargé après identification, 6 jours au plus tard avant la date limite de réception des offres.</w:t>
      </w:r>
    </w:p>
    <w:p w14:paraId="3B68102D" w14:textId="77777777" w:rsidR="005C3713" w:rsidRPr="005C3713" w:rsidRDefault="005C3713" w:rsidP="005C3713">
      <w:pPr>
        <w:rPr>
          <w:rFonts w:cs="Calibri"/>
        </w:rPr>
      </w:pPr>
    </w:p>
    <w:p w14:paraId="315DBBFF" w14:textId="5C3A97E3" w:rsidR="005C3713" w:rsidRPr="005C3713" w:rsidRDefault="005C3713" w:rsidP="00F7234B">
      <w:pPr>
        <w:pStyle w:val="Titre2"/>
      </w:pPr>
      <w:bookmarkStart w:id="46" w:name="_Toc201733991"/>
      <w:r w:rsidRPr="005C3713">
        <w:t>Procédures de recours</w:t>
      </w:r>
      <w:bookmarkEnd w:id="46"/>
    </w:p>
    <w:p w14:paraId="7401E878" w14:textId="77777777" w:rsidR="005C3713" w:rsidRPr="005C3713" w:rsidRDefault="005C3713" w:rsidP="005C3713">
      <w:pPr>
        <w:rPr>
          <w:rFonts w:cs="Calibri"/>
        </w:rPr>
      </w:pPr>
      <w:r w:rsidRPr="005C3713">
        <w:rPr>
          <w:rFonts w:cs="Calibri"/>
        </w:rPr>
        <w:t>Le tribunal territorialement compétent est :</w:t>
      </w:r>
    </w:p>
    <w:p w14:paraId="084044B3" w14:textId="77777777" w:rsidR="005C3713" w:rsidRPr="005C3713" w:rsidRDefault="005C3713" w:rsidP="005C3713">
      <w:pPr>
        <w:rPr>
          <w:rFonts w:cs="Calibri"/>
        </w:rPr>
      </w:pPr>
      <w:r w:rsidRPr="005C3713">
        <w:rPr>
          <w:rFonts w:cs="Calibri"/>
        </w:rPr>
        <w:t>Tribunal Administratif de Clermont-Ferrand</w:t>
      </w:r>
    </w:p>
    <w:p w14:paraId="2498394E" w14:textId="77777777" w:rsidR="005C3713" w:rsidRPr="005C3713" w:rsidRDefault="005C3713" w:rsidP="005C3713">
      <w:pPr>
        <w:rPr>
          <w:rFonts w:cs="Calibri"/>
        </w:rPr>
      </w:pPr>
      <w:r w:rsidRPr="005C3713">
        <w:rPr>
          <w:rFonts w:cs="Calibri"/>
        </w:rPr>
        <w:lastRenderedPageBreak/>
        <w:t>6 cours Sablon</w:t>
      </w:r>
    </w:p>
    <w:p w14:paraId="7EDB3A9A" w14:textId="77777777" w:rsidR="005C3713" w:rsidRPr="005C3713" w:rsidRDefault="005C3713" w:rsidP="005C3713">
      <w:pPr>
        <w:rPr>
          <w:rFonts w:cs="Calibri"/>
        </w:rPr>
      </w:pPr>
      <w:r w:rsidRPr="005C3713">
        <w:rPr>
          <w:rFonts w:cs="Calibri"/>
        </w:rPr>
        <w:t>63033 CLERMONT FERRAND CEDEX 1</w:t>
      </w:r>
    </w:p>
    <w:p w14:paraId="3B641AE9" w14:textId="77777777" w:rsidR="005C3713" w:rsidRPr="005C3713" w:rsidRDefault="005C3713" w:rsidP="005C3713">
      <w:pPr>
        <w:rPr>
          <w:rFonts w:cs="Calibri"/>
        </w:rPr>
      </w:pPr>
    </w:p>
    <w:p w14:paraId="0A6924F4" w14:textId="77777777" w:rsidR="005C3713" w:rsidRPr="005C3713" w:rsidRDefault="005C3713" w:rsidP="005C3713">
      <w:pPr>
        <w:rPr>
          <w:rFonts w:cs="Calibri"/>
        </w:rPr>
      </w:pPr>
      <w:r w:rsidRPr="005C3713">
        <w:rPr>
          <w:rFonts w:cs="Calibri"/>
        </w:rPr>
        <w:t>Tél : 04 73 14 61 00</w:t>
      </w:r>
    </w:p>
    <w:p w14:paraId="7EBB62FA" w14:textId="77777777" w:rsidR="005C3713" w:rsidRPr="005C3713" w:rsidRDefault="005C3713" w:rsidP="005C3713">
      <w:pPr>
        <w:rPr>
          <w:rFonts w:cs="Calibri"/>
        </w:rPr>
      </w:pPr>
      <w:r w:rsidRPr="005C3713">
        <w:rPr>
          <w:rFonts w:cs="Calibri"/>
        </w:rPr>
        <w:t>Télécopie : 04 73 14 61 22</w:t>
      </w:r>
    </w:p>
    <w:p w14:paraId="75D115D1" w14:textId="77777777" w:rsidR="005C3713" w:rsidRPr="005C3713" w:rsidRDefault="005C3713" w:rsidP="005C3713">
      <w:pPr>
        <w:rPr>
          <w:rFonts w:cs="Calibri"/>
        </w:rPr>
      </w:pPr>
      <w:r w:rsidRPr="005C3713">
        <w:rPr>
          <w:rFonts w:cs="Calibri"/>
        </w:rPr>
        <w:t>Courriel : greffe.ta-clermont-ferrand@juradm.fr</w:t>
      </w:r>
    </w:p>
    <w:p w14:paraId="713EDCA6" w14:textId="77777777" w:rsidR="005C3713" w:rsidRPr="005C3713" w:rsidRDefault="005C3713" w:rsidP="005C3713">
      <w:pPr>
        <w:rPr>
          <w:rFonts w:cs="Calibri"/>
        </w:rPr>
      </w:pPr>
    </w:p>
    <w:p w14:paraId="3B5E094E" w14:textId="13A3B189" w:rsidR="00EC4F8F" w:rsidRDefault="005C3713" w:rsidP="005C3713">
      <w:pPr>
        <w:rPr>
          <w:rFonts w:cs="Calibri"/>
        </w:rPr>
      </w:pPr>
      <w:r w:rsidRPr="005C3713">
        <w:rPr>
          <w:rFonts w:cs="Calibri"/>
        </w:rPr>
        <w:t xml:space="preserve">Les voies de recours ouvertes aux candidats sont les suivantes : Référé </w:t>
      </w:r>
      <w:proofErr w:type="spellStart"/>
      <w:r w:rsidRPr="005C3713">
        <w:rPr>
          <w:rFonts w:cs="Calibri"/>
        </w:rPr>
        <w:t>pré-contractuel</w:t>
      </w:r>
      <w:proofErr w:type="spellEnd"/>
      <w:r w:rsidRPr="005C3713">
        <w:rPr>
          <w:rFonts w:cs="Calibri"/>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de pleine juridiction ouvert aux tiers justifiant d'un intérêt lésé, et pouvant être exercé dans les deux mois suivant la date à laquelle la conclusion du contrat est rendue publique.</w:t>
      </w:r>
    </w:p>
    <w:p w14:paraId="56C8DE1B" w14:textId="77777777" w:rsidR="00EC4F8F" w:rsidRDefault="00EC4F8F" w:rsidP="00FF6988">
      <w:pPr>
        <w:rPr>
          <w:rFonts w:cs="Calibri"/>
        </w:rPr>
      </w:pPr>
    </w:p>
    <w:p w14:paraId="0C9D8C18" w14:textId="77777777" w:rsidR="00593815" w:rsidRPr="00D14C81" w:rsidRDefault="00593815" w:rsidP="004B17FE">
      <w:pPr>
        <w:pStyle w:val="Sansinterligne"/>
        <w:rPr>
          <w:spacing w:val="-4"/>
          <w:lang w:val="fr-FR"/>
        </w:rPr>
      </w:pPr>
    </w:p>
    <w:p w14:paraId="0AFBE0C7" w14:textId="77777777" w:rsidR="008247C3" w:rsidRPr="00D14C81" w:rsidRDefault="00EE5DDB" w:rsidP="00593815">
      <w:pPr>
        <w:pStyle w:val="Sansinterligne"/>
        <w:jc w:val="center"/>
        <w:rPr>
          <w:lang w:val="fr-FR"/>
        </w:rPr>
      </w:pPr>
      <w:r w:rsidRPr="00D14C81">
        <w:rPr>
          <w:lang w:val="fr-FR"/>
        </w:rPr>
        <w:t>*****</w:t>
      </w:r>
    </w:p>
    <w:p w14:paraId="0AFBE0C8" w14:textId="77777777" w:rsidR="008247C3" w:rsidRPr="00D14C81" w:rsidRDefault="008247C3" w:rsidP="005345B2">
      <w:pPr>
        <w:sectPr w:rsidR="008247C3" w:rsidRPr="00D14C81" w:rsidSect="005A0397">
          <w:pgSz w:w="11909" w:h="16838"/>
          <w:pgMar w:top="1418" w:right="914" w:bottom="1276" w:left="915" w:header="720" w:footer="720" w:gutter="0"/>
          <w:cols w:space="720"/>
        </w:sectPr>
      </w:pPr>
    </w:p>
    <w:p w14:paraId="0AFBE0C9" w14:textId="61E51AC5" w:rsidR="008247C3" w:rsidRPr="00D14C81" w:rsidRDefault="008247C3" w:rsidP="005345B2"/>
    <w:sectPr w:rsidR="008247C3" w:rsidRPr="00D14C81">
      <w:type w:val="continuous"/>
      <w:pgSz w:w="11909" w:h="16838"/>
      <w:pgMar w:top="1960" w:right="5343" w:bottom="109" w:left="5746"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B3C01E" w16cex:dateUtc="2025-06-24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980E8B" w16cid:durableId="75B3C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437CB" w14:textId="77777777" w:rsidR="00F228C0" w:rsidRDefault="00F228C0" w:rsidP="005345B2">
      <w:r>
        <w:separator/>
      </w:r>
    </w:p>
  </w:endnote>
  <w:endnote w:type="continuationSeparator" w:id="0">
    <w:p w14:paraId="5B8BFA1D" w14:textId="77777777" w:rsidR="00F228C0" w:rsidRDefault="00F228C0" w:rsidP="0053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2FDC" w14:textId="77777777" w:rsidR="00F228C0" w:rsidRDefault="00F228C0" w:rsidP="005345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0D2F" w14:textId="77777777" w:rsidR="00F228C0" w:rsidRDefault="00F228C0" w:rsidP="005345B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F6FF" w14:textId="77777777" w:rsidR="00F228C0" w:rsidRDefault="00F228C0" w:rsidP="005345B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808431"/>
      <w:docPartObj>
        <w:docPartGallery w:val="Page Numbers (Bottom of Page)"/>
        <w:docPartUnique/>
      </w:docPartObj>
    </w:sdtPr>
    <w:sdtContent>
      <w:tbl>
        <w:tblPr>
          <w:tblW w:w="10147" w:type="dxa"/>
          <w:tblLayout w:type="fixed"/>
          <w:tblCellMar>
            <w:left w:w="10" w:type="dxa"/>
            <w:right w:w="10" w:type="dxa"/>
          </w:tblCellMar>
          <w:tblLook w:val="0000" w:firstRow="0" w:lastRow="0" w:firstColumn="0" w:lastColumn="0" w:noHBand="0" w:noVBand="0"/>
        </w:tblPr>
        <w:tblGrid>
          <w:gridCol w:w="5032"/>
          <w:gridCol w:w="3476"/>
          <w:gridCol w:w="1639"/>
        </w:tblGrid>
        <w:tr w:rsidR="00F228C0" w:rsidRPr="005A0397" w14:paraId="56BFDA74" w14:textId="77777777" w:rsidTr="00792050">
          <w:tc>
            <w:tcPr>
              <w:tcW w:w="5032" w:type="dxa"/>
              <w:tcBorders>
                <w:top w:val="single" w:sz="4" w:space="0" w:color="000000"/>
              </w:tcBorders>
              <w:tcMar>
                <w:top w:w="0" w:type="dxa"/>
                <w:left w:w="70" w:type="dxa"/>
                <w:bottom w:w="0" w:type="dxa"/>
                <w:right w:w="70" w:type="dxa"/>
              </w:tcMar>
            </w:tcPr>
            <w:p w14:paraId="05DE5051" w14:textId="4EF60471" w:rsidR="00F228C0" w:rsidRPr="005A0397" w:rsidRDefault="00F228C0" w:rsidP="005345B2">
              <w:pPr>
                <w:pStyle w:val="Pieddepage"/>
              </w:pPr>
              <w:r w:rsidRPr="00792050">
                <w:t>Règlement de consultation (RC)</w:t>
              </w:r>
            </w:p>
          </w:tc>
          <w:tc>
            <w:tcPr>
              <w:tcW w:w="3476" w:type="dxa"/>
              <w:tcBorders>
                <w:top w:val="single" w:sz="4" w:space="0" w:color="000000"/>
              </w:tcBorders>
              <w:tcMar>
                <w:top w:w="0" w:type="dxa"/>
                <w:left w:w="70" w:type="dxa"/>
                <w:bottom w:w="0" w:type="dxa"/>
                <w:right w:w="70" w:type="dxa"/>
              </w:tcMar>
            </w:tcPr>
            <w:p w14:paraId="3CBBEEF5" w14:textId="77777777" w:rsidR="00F228C0" w:rsidRPr="005A0397" w:rsidRDefault="00F228C0" w:rsidP="005345B2">
              <w:pPr>
                <w:pStyle w:val="Pieddepage"/>
              </w:pPr>
            </w:p>
          </w:tc>
          <w:tc>
            <w:tcPr>
              <w:tcW w:w="1639" w:type="dxa"/>
              <w:tcBorders>
                <w:top w:val="single" w:sz="4" w:space="0" w:color="000000"/>
              </w:tcBorders>
              <w:tcMar>
                <w:top w:w="0" w:type="dxa"/>
                <w:left w:w="70" w:type="dxa"/>
                <w:bottom w:w="0" w:type="dxa"/>
                <w:right w:w="70" w:type="dxa"/>
              </w:tcMar>
            </w:tcPr>
            <w:p w14:paraId="10CAFFB1" w14:textId="618B6A81" w:rsidR="00F228C0" w:rsidRPr="005A0397" w:rsidRDefault="00F228C0" w:rsidP="005345B2">
              <w:pPr>
                <w:pStyle w:val="Pieddepage"/>
              </w:pPr>
              <w:r w:rsidRPr="005A0397">
                <w:t xml:space="preserve">Page </w:t>
              </w:r>
              <w:r w:rsidRPr="005A0397">
                <w:fldChar w:fldCharType="begin"/>
              </w:r>
              <w:r w:rsidRPr="005A0397">
                <w:instrText xml:space="preserve"> PAGE </w:instrText>
              </w:r>
              <w:r w:rsidRPr="005A0397">
                <w:fldChar w:fldCharType="separate"/>
              </w:r>
              <w:r w:rsidR="00306DD2">
                <w:rPr>
                  <w:noProof/>
                </w:rPr>
                <w:t>14</w:t>
              </w:r>
              <w:r w:rsidRPr="005A0397">
                <w:fldChar w:fldCharType="end"/>
              </w:r>
              <w:r w:rsidRPr="005A0397">
                <w:t xml:space="preserve"> sur </w:t>
              </w:r>
              <w:r>
                <w:fldChar w:fldCharType="begin"/>
              </w:r>
              <w:r>
                <w:instrText xml:space="preserve"> NUMPAGES </w:instrText>
              </w:r>
              <w:r>
                <w:fldChar w:fldCharType="separate"/>
              </w:r>
              <w:r w:rsidR="00306DD2">
                <w:rPr>
                  <w:noProof/>
                </w:rPr>
                <w:t>14</w:t>
              </w:r>
              <w:r>
                <w:rPr>
                  <w:noProof/>
                </w:rPr>
                <w:fldChar w:fldCharType="end"/>
              </w:r>
            </w:p>
          </w:tc>
        </w:tr>
      </w:tbl>
      <w:p w14:paraId="427BF777" w14:textId="32659C1E" w:rsidR="00F228C0" w:rsidRDefault="00F228C0" w:rsidP="005345B2">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43BF3" w14:textId="77777777" w:rsidR="00F228C0" w:rsidRDefault="00F228C0" w:rsidP="005345B2"/>
  </w:footnote>
  <w:footnote w:type="continuationSeparator" w:id="0">
    <w:p w14:paraId="6BC1FC77" w14:textId="77777777" w:rsidR="00F228C0" w:rsidRDefault="00F228C0" w:rsidP="0053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2489" w14:textId="77777777" w:rsidR="00F228C0" w:rsidRDefault="00F228C0" w:rsidP="005345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0B96" w14:textId="77777777" w:rsidR="00F228C0" w:rsidRDefault="00F228C0" w:rsidP="005345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0694" w14:textId="77777777" w:rsidR="00F228C0" w:rsidRDefault="00F228C0" w:rsidP="005345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40C"/>
    <w:multiLevelType w:val="hybridMultilevel"/>
    <w:tmpl w:val="8116C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D3C20"/>
    <w:multiLevelType w:val="hybridMultilevel"/>
    <w:tmpl w:val="203AAA0A"/>
    <w:lvl w:ilvl="0" w:tplc="1338942E">
      <w:start w:val="1"/>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2" w15:restartNumberingAfterBreak="0">
    <w:nsid w:val="07487AE1"/>
    <w:multiLevelType w:val="multilevel"/>
    <w:tmpl w:val="AE86E456"/>
    <w:lvl w:ilvl="0">
      <w:numFmt w:val="bullet"/>
      <w:lvlText w:val="·"/>
      <w:lvlJc w:val="left"/>
      <w:pPr>
        <w:tabs>
          <w:tab w:val="left" w:pos="432"/>
        </w:tabs>
      </w:pPr>
      <w:rPr>
        <w:rFonts w:ascii="Symbol" w:eastAsia="Symbol" w:hAnsi="Symbol"/>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B7965"/>
    <w:multiLevelType w:val="hybridMultilevel"/>
    <w:tmpl w:val="E8EAE7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B31C32"/>
    <w:multiLevelType w:val="hybridMultilevel"/>
    <w:tmpl w:val="DAB4AAC8"/>
    <w:lvl w:ilvl="0" w:tplc="4BD82FEC">
      <w:start w:val="3"/>
      <w:numFmt w:val="bullet"/>
      <w:lvlText w:val="-"/>
      <w:lvlJc w:val="left"/>
      <w:pPr>
        <w:ind w:left="720" w:hanging="360"/>
      </w:pPr>
      <w:rPr>
        <w:rFonts w:ascii="Arial" w:eastAsia="PMingLiU"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E283D"/>
    <w:multiLevelType w:val="hybridMultilevel"/>
    <w:tmpl w:val="D57A392C"/>
    <w:lvl w:ilvl="0" w:tplc="040C000B">
      <w:start w:val="1"/>
      <w:numFmt w:val="bullet"/>
      <w:lvlText w:val=""/>
      <w:lvlJc w:val="left"/>
      <w:pPr>
        <w:ind w:left="1269" w:hanging="360"/>
      </w:pPr>
      <w:rPr>
        <w:rFonts w:ascii="Wingdings" w:hAnsi="Wingdings" w:hint="default"/>
      </w:rPr>
    </w:lvl>
    <w:lvl w:ilvl="1" w:tplc="FFFFFFFF" w:tentative="1">
      <w:start w:val="1"/>
      <w:numFmt w:val="bullet"/>
      <w:lvlText w:val="o"/>
      <w:lvlJc w:val="left"/>
      <w:pPr>
        <w:ind w:left="1989" w:hanging="360"/>
      </w:pPr>
      <w:rPr>
        <w:rFonts w:ascii="Courier New" w:hAnsi="Courier New" w:cs="Courier New" w:hint="default"/>
      </w:rPr>
    </w:lvl>
    <w:lvl w:ilvl="2" w:tplc="FFFFFFFF" w:tentative="1">
      <w:start w:val="1"/>
      <w:numFmt w:val="bullet"/>
      <w:lvlText w:val=""/>
      <w:lvlJc w:val="left"/>
      <w:pPr>
        <w:ind w:left="2709" w:hanging="360"/>
      </w:pPr>
      <w:rPr>
        <w:rFonts w:ascii="Wingdings" w:hAnsi="Wingdings" w:hint="default"/>
      </w:rPr>
    </w:lvl>
    <w:lvl w:ilvl="3" w:tplc="FFFFFFFF" w:tentative="1">
      <w:start w:val="1"/>
      <w:numFmt w:val="bullet"/>
      <w:lvlText w:val=""/>
      <w:lvlJc w:val="left"/>
      <w:pPr>
        <w:ind w:left="3429" w:hanging="360"/>
      </w:pPr>
      <w:rPr>
        <w:rFonts w:ascii="Symbol" w:hAnsi="Symbol" w:hint="default"/>
      </w:rPr>
    </w:lvl>
    <w:lvl w:ilvl="4" w:tplc="FFFFFFFF" w:tentative="1">
      <w:start w:val="1"/>
      <w:numFmt w:val="bullet"/>
      <w:lvlText w:val="o"/>
      <w:lvlJc w:val="left"/>
      <w:pPr>
        <w:ind w:left="4149" w:hanging="360"/>
      </w:pPr>
      <w:rPr>
        <w:rFonts w:ascii="Courier New" w:hAnsi="Courier New" w:cs="Courier New" w:hint="default"/>
      </w:rPr>
    </w:lvl>
    <w:lvl w:ilvl="5" w:tplc="FFFFFFFF" w:tentative="1">
      <w:start w:val="1"/>
      <w:numFmt w:val="bullet"/>
      <w:lvlText w:val=""/>
      <w:lvlJc w:val="left"/>
      <w:pPr>
        <w:ind w:left="4869" w:hanging="360"/>
      </w:pPr>
      <w:rPr>
        <w:rFonts w:ascii="Wingdings" w:hAnsi="Wingdings" w:hint="default"/>
      </w:rPr>
    </w:lvl>
    <w:lvl w:ilvl="6" w:tplc="FFFFFFFF" w:tentative="1">
      <w:start w:val="1"/>
      <w:numFmt w:val="bullet"/>
      <w:lvlText w:val=""/>
      <w:lvlJc w:val="left"/>
      <w:pPr>
        <w:ind w:left="5589" w:hanging="360"/>
      </w:pPr>
      <w:rPr>
        <w:rFonts w:ascii="Symbol" w:hAnsi="Symbol" w:hint="default"/>
      </w:rPr>
    </w:lvl>
    <w:lvl w:ilvl="7" w:tplc="FFFFFFFF" w:tentative="1">
      <w:start w:val="1"/>
      <w:numFmt w:val="bullet"/>
      <w:lvlText w:val="o"/>
      <w:lvlJc w:val="left"/>
      <w:pPr>
        <w:ind w:left="6309" w:hanging="360"/>
      </w:pPr>
      <w:rPr>
        <w:rFonts w:ascii="Courier New" w:hAnsi="Courier New" w:cs="Courier New" w:hint="default"/>
      </w:rPr>
    </w:lvl>
    <w:lvl w:ilvl="8" w:tplc="FFFFFFFF" w:tentative="1">
      <w:start w:val="1"/>
      <w:numFmt w:val="bullet"/>
      <w:lvlText w:val=""/>
      <w:lvlJc w:val="left"/>
      <w:pPr>
        <w:ind w:left="7029" w:hanging="360"/>
      </w:pPr>
      <w:rPr>
        <w:rFonts w:ascii="Wingdings" w:hAnsi="Wingdings" w:hint="default"/>
      </w:rPr>
    </w:lvl>
  </w:abstractNum>
  <w:abstractNum w:abstractNumId="6" w15:restartNumberingAfterBreak="0">
    <w:nsid w:val="0DD02905"/>
    <w:multiLevelType w:val="hybridMultilevel"/>
    <w:tmpl w:val="9BAA3CF0"/>
    <w:lvl w:ilvl="0" w:tplc="040C000B">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7" w15:restartNumberingAfterBreak="0">
    <w:nsid w:val="0F531E59"/>
    <w:multiLevelType w:val="hybridMultilevel"/>
    <w:tmpl w:val="DF6832DA"/>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8" w15:restartNumberingAfterBreak="0">
    <w:nsid w:val="0FB26123"/>
    <w:multiLevelType w:val="hybridMultilevel"/>
    <w:tmpl w:val="737E2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F31996"/>
    <w:multiLevelType w:val="hybridMultilevel"/>
    <w:tmpl w:val="38DE1D6E"/>
    <w:lvl w:ilvl="0" w:tplc="1F1A9DF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2A63C5"/>
    <w:multiLevelType w:val="hybridMultilevel"/>
    <w:tmpl w:val="C85AC93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AA56CA"/>
    <w:multiLevelType w:val="multilevel"/>
    <w:tmpl w:val="84DA1E36"/>
    <w:lvl w:ilvl="0">
      <w:numFmt w:val="bullet"/>
      <w:lvlText w:val="·"/>
      <w:lvlJc w:val="left"/>
      <w:pPr>
        <w:tabs>
          <w:tab w:val="left" w:pos="432"/>
        </w:tabs>
      </w:pPr>
      <w:rPr>
        <w:rFonts w:ascii="Symbol" w:eastAsia="Symbol" w:hAnsi="Symbol"/>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222164"/>
    <w:multiLevelType w:val="hybridMultilevel"/>
    <w:tmpl w:val="56D0F302"/>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46325A"/>
    <w:multiLevelType w:val="hybridMultilevel"/>
    <w:tmpl w:val="73DE80A2"/>
    <w:lvl w:ilvl="0" w:tplc="040C000B">
      <w:start w:val="1"/>
      <w:numFmt w:val="bullet"/>
      <w:lvlText w:val=""/>
      <w:lvlJc w:val="left"/>
      <w:pPr>
        <w:ind w:left="1269" w:hanging="360"/>
      </w:pPr>
      <w:rPr>
        <w:rFonts w:ascii="Wingdings" w:hAnsi="Wingdings" w:hint="default"/>
      </w:rPr>
    </w:lvl>
    <w:lvl w:ilvl="1" w:tplc="FFFFFFFF" w:tentative="1">
      <w:start w:val="1"/>
      <w:numFmt w:val="lowerLetter"/>
      <w:lvlText w:val="%2."/>
      <w:lvlJc w:val="left"/>
      <w:pPr>
        <w:ind w:left="1989" w:hanging="360"/>
      </w:pPr>
    </w:lvl>
    <w:lvl w:ilvl="2" w:tplc="FFFFFFFF" w:tentative="1">
      <w:start w:val="1"/>
      <w:numFmt w:val="lowerRoman"/>
      <w:lvlText w:val="%3."/>
      <w:lvlJc w:val="right"/>
      <w:pPr>
        <w:ind w:left="2709" w:hanging="180"/>
      </w:pPr>
    </w:lvl>
    <w:lvl w:ilvl="3" w:tplc="FFFFFFFF" w:tentative="1">
      <w:start w:val="1"/>
      <w:numFmt w:val="decimal"/>
      <w:lvlText w:val="%4."/>
      <w:lvlJc w:val="left"/>
      <w:pPr>
        <w:ind w:left="3429" w:hanging="360"/>
      </w:pPr>
    </w:lvl>
    <w:lvl w:ilvl="4" w:tplc="FFFFFFFF" w:tentative="1">
      <w:start w:val="1"/>
      <w:numFmt w:val="lowerLetter"/>
      <w:lvlText w:val="%5."/>
      <w:lvlJc w:val="left"/>
      <w:pPr>
        <w:ind w:left="4149" w:hanging="360"/>
      </w:pPr>
    </w:lvl>
    <w:lvl w:ilvl="5" w:tplc="FFFFFFFF" w:tentative="1">
      <w:start w:val="1"/>
      <w:numFmt w:val="lowerRoman"/>
      <w:lvlText w:val="%6."/>
      <w:lvlJc w:val="right"/>
      <w:pPr>
        <w:ind w:left="4869" w:hanging="180"/>
      </w:pPr>
    </w:lvl>
    <w:lvl w:ilvl="6" w:tplc="FFFFFFFF" w:tentative="1">
      <w:start w:val="1"/>
      <w:numFmt w:val="decimal"/>
      <w:lvlText w:val="%7."/>
      <w:lvlJc w:val="left"/>
      <w:pPr>
        <w:ind w:left="5589" w:hanging="360"/>
      </w:pPr>
    </w:lvl>
    <w:lvl w:ilvl="7" w:tplc="FFFFFFFF" w:tentative="1">
      <w:start w:val="1"/>
      <w:numFmt w:val="lowerLetter"/>
      <w:lvlText w:val="%8."/>
      <w:lvlJc w:val="left"/>
      <w:pPr>
        <w:ind w:left="6309" w:hanging="360"/>
      </w:pPr>
    </w:lvl>
    <w:lvl w:ilvl="8" w:tplc="FFFFFFFF" w:tentative="1">
      <w:start w:val="1"/>
      <w:numFmt w:val="lowerRoman"/>
      <w:lvlText w:val="%9."/>
      <w:lvlJc w:val="right"/>
      <w:pPr>
        <w:ind w:left="7029" w:hanging="180"/>
      </w:pPr>
    </w:lvl>
  </w:abstractNum>
  <w:abstractNum w:abstractNumId="14" w15:restartNumberingAfterBreak="0">
    <w:nsid w:val="26537CE8"/>
    <w:multiLevelType w:val="multilevel"/>
    <w:tmpl w:val="6D50F2A6"/>
    <w:lvl w:ilvl="0">
      <w:numFmt w:val="bullet"/>
      <w:lvlText w:val="o"/>
      <w:lvlJc w:val="left"/>
      <w:pPr>
        <w:tabs>
          <w:tab w:val="left" w:pos="360"/>
        </w:tabs>
      </w:pPr>
      <w:rPr>
        <w:rFonts w:ascii="Courier New" w:eastAsia="Courier New" w:hAnsi="Courier New"/>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A41DC"/>
    <w:multiLevelType w:val="hybridMultilevel"/>
    <w:tmpl w:val="3484FD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613EA6"/>
    <w:multiLevelType w:val="hybridMultilevel"/>
    <w:tmpl w:val="34227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9D59E8"/>
    <w:multiLevelType w:val="multilevel"/>
    <w:tmpl w:val="6D50F2A6"/>
    <w:lvl w:ilvl="0">
      <w:numFmt w:val="bullet"/>
      <w:lvlText w:val="o"/>
      <w:lvlJc w:val="left"/>
      <w:pPr>
        <w:tabs>
          <w:tab w:val="left" w:pos="360"/>
        </w:tabs>
      </w:pPr>
      <w:rPr>
        <w:rFonts w:ascii="Courier New" w:eastAsia="Courier New" w:hAnsi="Courier New"/>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945751"/>
    <w:multiLevelType w:val="hybridMultilevel"/>
    <w:tmpl w:val="F2426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B72D37"/>
    <w:multiLevelType w:val="hybridMultilevel"/>
    <w:tmpl w:val="CAFC9B0E"/>
    <w:lvl w:ilvl="0" w:tplc="040C000B">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20" w15:restartNumberingAfterBreak="0">
    <w:nsid w:val="331974D0"/>
    <w:multiLevelType w:val="hybridMultilevel"/>
    <w:tmpl w:val="B88EB988"/>
    <w:lvl w:ilvl="0" w:tplc="0C30DF36">
      <w:numFmt w:val="bullet"/>
      <w:lvlText w:val="-"/>
      <w:lvlJc w:val="left"/>
      <w:pPr>
        <w:ind w:left="549" w:hanging="360"/>
      </w:pPr>
      <w:rPr>
        <w:rFonts w:ascii="Calibri" w:eastAsia="Verdana" w:hAnsi="Calibri" w:cs="Calibri" w:hint="default"/>
      </w:rPr>
    </w:lvl>
    <w:lvl w:ilvl="1" w:tplc="040C0003" w:tentative="1">
      <w:start w:val="1"/>
      <w:numFmt w:val="bullet"/>
      <w:lvlText w:val="o"/>
      <w:lvlJc w:val="left"/>
      <w:pPr>
        <w:ind w:left="1269" w:hanging="360"/>
      </w:pPr>
      <w:rPr>
        <w:rFonts w:ascii="Courier New" w:hAnsi="Courier New" w:cs="Courier New" w:hint="default"/>
      </w:rPr>
    </w:lvl>
    <w:lvl w:ilvl="2" w:tplc="040C0005" w:tentative="1">
      <w:start w:val="1"/>
      <w:numFmt w:val="bullet"/>
      <w:lvlText w:val=""/>
      <w:lvlJc w:val="left"/>
      <w:pPr>
        <w:ind w:left="1989" w:hanging="360"/>
      </w:pPr>
      <w:rPr>
        <w:rFonts w:ascii="Wingdings" w:hAnsi="Wingdings" w:hint="default"/>
      </w:rPr>
    </w:lvl>
    <w:lvl w:ilvl="3" w:tplc="040C0001" w:tentative="1">
      <w:start w:val="1"/>
      <w:numFmt w:val="bullet"/>
      <w:lvlText w:val=""/>
      <w:lvlJc w:val="left"/>
      <w:pPr>
        <w:ind w:left="2709" w:hanging="360"/>
      </w:pPr>
      <w:rPr>
        <w:rFonts w:ascii="Symbol" w:hAnsi="Symbol" w:hint="default"/>
      </w:rPr>
    </w:lvl>
    <w:lvl w:ilvl="4" w:tplc="040C0003" w:tentative="1">
      <w:start w:val="1"/>
      <w:numFmt w:val="bullet"/>
      <w:lvlText w:val="o"/>
      <w:lvlJc w:val="left"/>
      <w:pPr>
        <w:ind w:left="3429" w:hanging="360"/>
      </w:pPr>
      <w:rPr>
        <w:rFonts w:ascii="Courier New" w:hAnsi="Courier New" w:cs="Courier New" w:hint="default"/>
      </w:rPr>
    </w:lvl>
    <w:lvl w:ilvl="5" w:tplc="040C0005" w:tentative="1">
      <w:start w:val="1"/>
      <w:numFmt w:val="bullet"/>
      <w:lvlText w:val=""/>
      <w:lvlJc w:val="left"/>
      <w:pPr>
        <w:ind w:left="4149" w:hanging="360"/>
      </w:pPr>
      <w:rPr>
        <w:rFonts w:ascii="Wingdings" w:hAnsi="Wingdings" w:hint="default"/>
      </w:rPr>
    </w:lvl>
    <w:lvl w:ilvl="6" w:tplc="040C0001" w:tentative="1">
      <w:start w:val="1"/>
      <w:numFmt w:val="bullet"/>
      <w:lvlText w:val=""/>
      <w:lvlJc w:val="left"/>
      <w:pPr>
        <w:ind w:left="4869" w:hanging="360"/>
      </w:pPr>
      <w:rPr>
        <w:rFonts w:ascii="Symbol" w:hAnsi="Symbol" w:hint="default"/>
      </w:rPr>
    </w:lvl>
    <w:lvl w:ilvl="7" w:tplc="040C0003" w:tentative="1">
      <w:start w:val="1"/>
      <w:numFmt w:val="bullet"/>
      <w:lvlText w:val="o"/>
      <w:lvlJc w:val="left"/>
      <w:pPr>
        <w:ind w:left="5589" w:hanging="360"/>
      </w:pPr>
      <w:rPr>
        <w:rFonts w:ascii="Courier New" w:hAnsi="Courier New" w:cs="Courier New" w:hint="default"/>
      </w:rPr>
    </w:lvl>
    <w:lvl w:ilvl="8" w:tplc="040C0005" w:tentative="1">
      <w:start w:val="1"/>
      <w:numFmt w:val="bullet"/>
      <w:lvlText w:val=""/>
      <w:lvlJc w:val="left"/>
      <w:pPr>
        <w:ind w:left="6309" w:hanging="360"/>
      </w:pPr>
      <w:rPr>
        <w:rFonts w:ascii="Wingdings" w:hAnsi="Wingdings" w:hint="default"/>
      </w:rPr>
    </w:lvl>
  </w:abstractNum>
  <w:abstractNum w:abstractNumId="21" w15:restartNumberingAfterBreak="0">
    <w:nsid w:val="333112C7"/>
    <w:multiLevelType w:val="hybridMultilevel"/>
    <w:tmpl w:val="8D80CB60"/>
    <w:lvl w:ilvl="0" w:tplc="040C0001">
      <w:start w:val="1"/>
      <w:numFmt w:val="bullet"/>
      <w:lvlText w:val=""/>
      <w:lvlJc w:val="left"/>
      <w:pPr>
        <w:ind w:left="2016" w:hanging="360"/>
      </w:pPr>
      <w:rPr>
        <w:rFonts w:ascii="Symbol" w:hAnsi="Symbol"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abstractNum w:abstractNumId="22" w15:restartNumberingAfterBreak="0">
    <w:nsid w:val="3A5C0CD4"/>
    <w:multiLevelType w:val="multilevel"/>
    <w:tmpl w:val="6D50F2A6"/>
    <w:lvl w:ilvl="0">
      <w:numFmt w:val="bullet"/>
      <w:lvlText w:val="o"/>
      <w:lvlJc w:val="left"/>
      <w:pPr>
        <w:tabs>
          <w:tab w:val="left" w:pos="360"/>
        </w:tabs>
      </w:pPr>
      <w:rPr>
        <w:rFonts w:ascii="Courier New" w:eastAsia="Courier New" w:hAnsi="Courier New"/>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254990"/>
    <w:multiLevelType w:val="multilevel"/>
    <w:tmpl w:val="683A000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48A06E8D"/>
    <w:multiLevelType w:val="hybridMultilevel"/>
    <w:tmpl w:val="D53604D6"/>
    <w:lvl w:ilvl="0" w:tplc="040C0001">
      <w:start w:val="1"/>
      <w:numFmt w:val="bullet"/>
      <w:lvlText w:val=""/>
      <w:lvlJc w:val="left"/>
      <w:pPr>
        <w:ind w:left="1269" w:hanging="360"/>
      </w:pPr>
      <w:rPr>
        <w:rFonts w:ascii="Symbol" w:hAnsi="Symbol" w:hint="default"/>
      </w:rPr>
    </w:lvl>
    <w:lvl w:ilvl="1" w:tplc="040C0003" w:tentative="1">
      <w:start w:val="1"/>
      <w:numFmt w:val="bullet"/>
      <w:lvlText w:val="o"/>
      <w:lvlJc w:val="left"/>
      <w:pPr>
        <w:ind w:left="1989" w:hanging="360"/>
      </w:pPr>
      <w:rPr>
        <w:rFonts w:ascii="Courier New" w:hAnsi="Courier New" w:cs="Courier New" w:hint="default"/>
      </w:rPr>
    </w:lvl>
    <w:lvl w:ilvl="2" w:tplc="040C0005" w:tentative="1">
      <w:start w:val="1"/>
      <w:numFmt w:val="bullet"/>
      <w:lvlText w:val=""/>
      <w:lvlJc w:val="left"/>
      <w:pPr>
        <w:ind w:left="2709" w:hanging="360"/>
      </w:pPr>
      <w:rPr>
        <w:rFonts w:ascii="Wingdings" w:hAnsi="Wingdings" w:hint="default"/>
      </w:rPr>
    </w:lvl>
    <w:lvl w:ilvl="3" w:tplc="040C0001" w:tentative="1">
      <w:start w:val="1"/>
      <w:numFmt w:val="bullet"/>
      <w:lvlText w:val=""/>
      <w:lvlJc w:val="left"/>
      <w:pPr>
        <w:ind w:left="3429" w:hanging="360"/>
      </w:pPr>
      <w:rPr>
        <w:rFonts w:ascii="Symbol" w:hAnsi="Symbol" w:hint="default"/>
      </w:rPr>
    </w:lvl>
    <w:lvl w:ilvl="4" w:tplc="040C0003" w:tentative="1">
      <w:start w:val="1"/>
      <w:numFmt w:val="bullet"/>
      <w:lvlText w:val="o"/>
      <w:lvlJc w:val="left"/>
      <w:pPr>
        <w:ind w:left="4149" w:hanging="360"/>
      </w:pPr>
      <w:rPr>
        <w:rFonts w:ascii="Courier New" w:hAnsi="Courier New" w:cs="Courier New" w:hint="default"/>
      </w:rPr>
    </w:lvl>
    <w:lvl w:ilvl="5" w:tplc="040C0005" w:tentative="1">
      <w:start w:val="1"/>
      <w:numFmt w:val="bullet"/>
      <w:lvlText w:val=""/>
      <w:lvlJc w:val="left"/>
      <w:pPr>
        <w:ind w:left="4869" w:hanging="360"/>
      </w:pPr>
      <w:rPr>
        <w:rFonts w:ascii="Wingdings" w:hAnsi="Wingdings" w:hint="default"/>
      </w:rPr>
    </w:lvl>
    <w:lvl w:ilvl="6" w:tplc="040C0001" w:tentative="1">
      <w:start w:val="1"/>
      <w:numFmt w:val="bullet"/>
      <w:lvlText w:val=""/>
      <w:lvlJc w:val="left"/>
      <w:pPr>
        <w:ind w:left="5589" w:hanging="360"/>
      </w:pPr>
      <w:rPr>
        <w:rFonts w:ascii="Symbol" w:hAnsi="Symbol" w:hint="default"/>
      </w:rPr>
    </w:lvl>
    <w:lvl w:ilvl="7" w:tplc="040C0003" w:tentative="1">
      <w:start w:val="1"/>
      <w:numFmt w:val="bullet"/>
      <w:lvlText w:val="o"/>
      <w:lvlJc w:val="left"/>
      <w:pPr>
        <w:ind w:left="6309" w:hanging="360"/>
      </w:pPr>
      <w:rPr>
        <w:rFonts w:ascii="Courier New" w:hAnsi="Courier New" w:cs="Courier New" w:hint="default"/>
      </w:rPr>
    </w:lvl>
    <w:lvl w:ilvl="8" w:tplc="040C0005" w:tentative="1">
      <w:start w:val="1"/>
      <w:numFmt w:val="bullet"/>
      <w:lvlText w:val=""/>
      <w:lvlJc w:val="left"/>
      <w:pPr>
        <w:ind w:left="7029" w:hanging="360"/>
      </w:pPr>
      <w:rPr>
        <w:rFonts w:ascii="Wingdings" w:hAnsi="Wingdings" w:hint="default"/>
      </w:rPr>
    </w:lvl>
  </w:abstractNum>
  <w:abstractNum w:abstractNumId="25" w15:restartNumberingAfterBreak="0">
    <w:nsid w:val="547E36F4"/>
    <w:multiLevelType w:val="hybridMultilevel"/>
    <w:tmpl w:val="EC006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8370A9"/>
    <w:multiLevelType w:val="hybridMultilevel"/>
    <w:tmpl w:val="843A2756"/>
    <w:lvl w:ilvl="0" w:tplc="040C000B">
      <w:start w:val="1"/>
      <w:numFmt w:val="bullet"/>
      <w:lvlText w:val=""/>
      <w:lvlJc w:val="left"/>
      <w:pPr>
        <w:ind w:left="1341" w:hanging="360"/>
      </w:pPr>
      <w:rPr>
        <w:rFonts w:ascii="Wingdings" w:hAnsi="Wingdings" w:hint="default"/>
      </w:rPr>
    </w:lvl>
    <w:lvl w:ilvl="1" w:tplc="040C0003" w:tentative="1">
      <w:start w:val="1"/>
      <w:numFmt w:val="bullet"/>
      <w:lvlText w:val="o"/>
      <w:lvlJc w:val="left"/>
      <w:pPr>
        <w:ind w:left="2061" w:hanging="360"/>
      </w:pPr>
      <w:rPr>
        <w:rFonts w:ascii="Courier New" w:hAnsi="Courier New" w:cs="Courier New" w:hint="default"/>
      </w:rPr>
    </w:lvl>
    <w:lvl w:ilvl="2" w:tplc="040C0005" w:tentative="1">
      <w:start w:val="1"/>
      <w:numFmt w:val="bullet"/>
      <w:lvlText w:val=""/>
      <w:lvlJc w:val="left"/>
      <w:pPr>
        <w:ind w:left="2781" w:hanging="360"/>
      </w:pPr>
      <w:rPr>
        <w:rFonts w:ascii="Wingdings" w:hAnsi="Wingdings" w:hint="default"/>
      </w:rPr>
    </w:lvl>
    <w:lvl w:ilvl="3" w:tplc="040C0001" w:tentative="1">
      <w:start w:val="1"/>
      <w:numFmt w:val="bullet"/>
      <w:lvlText w:val=""/>
      <w:lvlJc w:val="left"/>
      <w:pPr>
        <w:ind w:left="3501" w:hanging="360"/>
      </w:pPr>
      <w:rPr>
        <w:rFonts w:ascii="Symbol" w:hAnsi="Symbol" w:hint="default"/>
      </w:rPr>
    </w:lvl>
    <w:lvl w:ilvl="4" w:tplc="040C0003" w:tentative="1">
      <w:start w:val="1"/>
      <w:numFmt w:val="bullet"/>
      <w:lvlText w:val="o"/>
      <w:lvlJc w:val="left"/>
      <w:pPr>
        <w:ind w:left="4221" w:hanging="360"/>
      </w:pPr>
      <w:rPr>
        <w:rFonts w:ascii="Courier New" w:hAnsi="Courier New" w:cs="Courier New" w:hint="default"/>
      </w:rPr>
    </w:lvl>
    <w:lvl w:ilvl="5" w:tplc="040C0005" w:tentative="1">
      <w:start w:val="1"/>
      <w:numFmt w:val="bullet"/>
      <w:lvlText w:val=""/>
      <w:lvlJc w:val="left"/>
      <w:pPr>
        <w:ind w:left="4941" w:hanging="360"/>
      </w:pPr>
      <w:rPr>
        <w:rFonts w:ascii="Wingdings" w:hAnsi="Wingdings" w:hint="default"/>
      </w:rPr>
    </w:lvl>
    <w:lvl w:ilvl="6" w:tplc="040C0001" w:tentative="1">
      <w:start w:val="1"/>
      <w:numFmt w:val="bullet"/>
      <w:lvlText w:val=""/>
      <w:lvlJc w:val="left"/>
      <w:pPr>
        <w:ind w:left="5661" w:hanging="360"/>
      </w:pPr>
      <w:rPr>
        <w:rFonts w:ascii="Symbol" w:hAnsi="Symbol" w:hint="default"/>
      </w:rPr>
    </w:lvl>
    <w:lvl w:ilvl="7" w:tplc="040C0003" w:tentative="1">
      <w:start w:val="1"/>
      <w:numFmt w:val="bullet"/>
      <w:lvlText w:val="o"/>
      <w:lvlJc w:val="left"/>
      <w:pPr>
        <w:ind w:left="6381" w:hanging="360"/>
      </w:pPr>
      <w:rPr>
        <w:rFonts w:ascii="Courier New" w:hAnsi="Courier New" w:cs="Courier New" w:hint="default"/>
      </w:rPr>
    </w:lvl>
    <w:lvl w:ilvl="8" w:tplc="040C0005" w:tentative="1">
      <w:start w:val="1"/>
      <w:numFmt w:val="bullet"/>
      <w:lvlText w:val=""/>
      <w:lvlJc w:val="left"/>
      <w:pPr>
        <w:ind w:left="7101" w:hanging="360"/>
      </w:pPr>
      <w:rPr>
        <w:rFonts w:ascii="Wingdings" w:hAnsi="Wingdings" w:hint="default"/>
      </w:rPr>
    </w:lvl>
  </w:abstractNum>
  <w:abstractNum w:abstractNumId="27" w15:restartNumberingAfterBreak="0">
    <w:nsid w:val="64EE3B0C"/>
    <w:multiLevelType w:val="hybridMultilevel"/>
    <w:tmpl w:val="ECA05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F65B09"/>
    <w:multiLevelType w:val="hybridMultilevel"/>
    <w:tmpl w:val="594C47C4"/>
    <w:lvl w:ilvl="0" w:tplc="040C000B">
      <w:start w:val="1"/>
      <w:numFmt w:val="bullet"/>
      <w:lvlText w:val=""/>
      <w:lvlJc w:val="left"/>
      <w:pPr>
        <w:ind w:left="909" w:hanging="360"/>
      </w:pPr>
      <w:rPr>
        <w:rFonts w:ascii="Wingdings" w:hAnsi="Wingdings" w:hint="default"/>
      </w:rPr>
    </w:lvl>
    <w:lvl w:ilvl="1" w:tplc="040C0003" w:tentative="1">
      <w:start w:val="1"/>
      <w:numFmt w:val="bullet"/>
      <w:lvlText w:val="o"/>
      <w:lvlJc w:val="left"/>
      <w:pPr>
        <w:ind w:left="1629" w:hanging="360"/>
      </w:pPr>
      <w:rPr>
        <w:rFonts w:ascii="Courier New" w:hAnsi="Courier New" w:cs="Courier New" w:hint="default"/>
      </w:rPr>
    </w:lvl>
    <w:lvl w:ilvl="2" w:tplc="040C0005" w:tentative="1">
      <w:start w:val="1"/>
      <w:numFmt w:val="bullet"/>
      <w:lvlText w:val=""/>
      <w:lvlJc w:val="left"/>
      <w:pPr>
        <w:ind w:left="2349" w:hanging="360"/>
      </w:pPr>
      <w:rPr>
        <w:rFonts w:ascii="Wingdings" w:hAnsi="Wingdings" w:hint="default"/>
      </w:rPr>
    </w:lvl>
    <w:lvl w:ilvl="3" w:tplc="040C0001" w:tentative="1">
      <w:start w:val="1"/>
      <w:numFmt w:val="bullet"/>
      <w:lvlText w:val=""/>
      <w:lvlJc w:val="left"/>
      <w:pPr>
        <w:ind w:left="3069" w:hanging="360"/>
      </w:pPr>
      <w:rPr>
        <w:rFonts w:ascii="Symbol" w:hAnsi="Symbol" w:hint="default"/>
      </w:rPr>
    </w:lvl>
    <w:lvl w:ilvl="4" w:tplc="040C0003" w:tentative="1">
      <w:start w:val="1"/>
      <w:numFmt w:val="bullet"/>
      <w:lvlText w:val="o"/>
      <w:lvlJc w:val="left"/>
      <w:pPr>
        <w:ind w:left="3789" w:hanging="360"/>
      </w:pPr>
      <w:rPr>
        <w:rFonts w:ascii="Courier New" w:hAnsi="Courier New" w:cs="Courier New" w:hint="default"/>
      </w:rPr>
    </w:lvl>
    <w:lvl w:ilvl="5" w:tplc="040C0005" w:tentative="1">
      <w:start w:val="1"/>
      <w:numFmt w:val="bullet"/>
      <w:lvlText w:val=""/>
      <w:lvlJc w:val="left"/>
      <w:pPr>
        <w:ind w:left="4509" w:hanging="360"/>
      </w:pPr>
      <w:rPr>
        <w:rFonts w:ascii="Wingdings" w:hAnsi="Wingdings" w:hint="default"/>
      </w:rPr>
    </w:lvl>
    <w:lvl w:ilvl="6" w:tplc="040C0001" w:tentative="1">
      <w:start w:val="1"/>
      <w:numFmt w:val="bullet"/>
      <w:lvlText w:val=""/>
      <w:lvlJc w:val="left"/>
      <w:pPr>
        <w:ind w:left="5229" w:hanging="360"/>
      </w:pPr>
      <w:rPr>
        <w:rFonts w:ascii="Symbol" w:hAnsi="Symbol" w:hint="default"/>
      </w:rPr>
    </w:lvl>
    <w:lvl w:ilvl="7" w:tplc="040C0003" w:tentative="1">
      <w:start w:val="1"/>
      <w:numFmt w:val="bullet"/>
      <w:lvlText w:val="o"/>
      <w:lvlJc w:val="left"/>
      <w:pPr>
        <w:ind w:left="5949" w:hanging="360"/>
      </w:pPr>
      <w:rPr>
        <w:rFonts w:ascii="Courier New" w:hAnsi="Courier New" w:cs="Courier New" w:hint="default"/>
      </w:rPr>
    </w:lvl>
    <w:lvl w:ilvl="8" w:tplc="040C0005" w:tentative="1">
      <w:start w:val="1"/>
      <w:numFmt w:val="bullet"/>
      <w:lvlText w:val=""/>
      <w:lvlJc w:val="left"/>
      <w:pPr>
        <w:ind w:left="6669" w:hanging="360"/>
      </w:pPr>
      <w:rPr>
        <w:rFonts w:ascii="Wingdings" w:hAnsi="Wingdings" w:hint="default"/>
      </w:rPr>
    </w:lvl>
  </w:abstractNum>
  <w:abstractNum w:abstractNumId="29" w15:restartNumberingAfterBreak="0">
    <w:nsid w:val="68752681"/>
    <w:multiLevelType w:val="hybridMultilevel"/>
    <w:tmpl w:val="93940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B52490"/>
    <w:multiLevelType w:val="hybridMultilevel"/>
    <w:tmpl w:val="DE667566"/>
    <w:lvl w:ilvl="0" w:tplc="040C000B">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31" w15:restartNumberingAfterBreak="0">
    <w:nsid w:val="6D62120B"/>
    <w:multiLevelType w:val="hybridMultilevel"/>
    <w:tmpl w:val="EB941118"/>
    <w:lvl w:ilvl="0" w:tplc="040C000F">
      <w:start w:val="1"/>
      <w:numFmt w:val="decimal"/>
      <w:lvlText w:val="%1."/>
      <w:lvlJc w:val="left"/>
      <w:pPr>
        <w:ind w:left="1269" w:hanging="360"/>
      </w:pPr>
    </w:lvl>
    <w:lvl w:ilvl="1" w:tplc="040C0019" w:tentative="1">
      <w:start w:val="1"/>
      <w:numFmt w:val="lowerLetter"/>
      <w:lvlText w:val="%2."/>
      <w:lvlJc w:val="left"/>
      <w:pPr>
        <w:ind w:left="1989" w:hanging="360"/>
      </w:pPr>
    </w:lvl>
    <w:lvl w:ilvl="2" w:tplc="040C001B" w:tentative="1">
      <w:start w:val="1"/>
      <w:numFmt w:val="lowerRoman"/>
      <w:lvlText w:val="%3."/>
      <w:lvlJc w:val="right"/>
      <w:pPr>
        <w:ind w:left="2709" w:hanging="180"/>
      </w:pPr>
    </w:lvl>
    <w:lvl w:ilvl="3" w:tplc="040C000F" w:tentative="1">
      <w:start w:val="1"/>
      <w:numFmt w:val="decimal"/>
      <w:lvlText w:val="%4."/>
      <w:lvlJc w:val="left"/>
      <w:pPr>
        <w:ind w:left="3429" w:hanging="360"/>
      </w:pPr>
    </w:lvl>
    <w:lvl w:ilvl="4" w:tplc="040C0019" w:tentative="1">
      <w:start w:val="1"/>
      <w:numFmt w:val="lowerLetter"/>
      <w:lvlText w:val="%5."/>
      <w:lvlJc w:val="left"/>
      <w:pPr>
        <w:ind w:left="4149" w:hanging="360"/>
      </w:pPr>
    </w:lvl>
    <w:lvl w:ilvl="5" w:tplc="040C001B" w:tentative="1">
      <w:start w:val="1"/>
      <w:numFmt w:val="lowerRoman"/>
      <w:lvlText w:val="%6."/>
      <w:lvlJc w:val="right"/>
      <w:pPr>
        <w:ind w:left="4869" w:hanging="180"/>
      </w:pPr>
    </w:lvl>
    <w:lvl w:ilvl="6" w:tplc="040C000F" w:tentative="1">
      <w:start w:val="1"/>
      <w:numFmt w:val="decimal"/>
      <w:lvlText w:val="%7."/>
      <w:lvlJc w:val="left"/>
      <w:pPr>
        <w:ind w:left="5589" w:hanging="360"/>
      </w:pPr>
    </w:lvl>
    <w:lvl w:ilvl="7" w:tplc="040C0019" w:tentative="1">
      <w:start w:val="1"/>
      <w:numFmt w:val="lowerLetter"/>
      <w:lvlText w:val="%8."/>
      <w:lvlJc w:val="left"/>
      <w:pPr>
        <w:ind w:left="6309" w:hanging="360"/>
      </w:pPr>
    </w:lvl>
    <w:lvl w:ilvl="8" w:tplc="040C001B" w:tentative="1">
      <w:start w:val="1"/>
      <w:numFmt w:val="lowerRoman"/>
      <w:lvlText w:val="%9."/>
      <w:lvlJc w:val="right"/>
      <w:pPr>
        <w:ind w:left="7029" w:hanging="180"/>
      </w:pPr>
    </w:lvl>
  </w:abstractNum>
  <w:abstractNum w:abstractNumId="32" w15:restartNumberingAfterBreak="0">
    <w:nsid w:val="71ED5531"/>
    <w:multiLevelType w:val="hybridMultilevel"/>
    <w:tmpl w:val="95DE0A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6630AF2"/>
    <w:multiLevelType w:val="hybridMultilevel"/>
    <w:tmpl w:val="CB40CB0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B8A2CE60">
      <w:numFmt w:val="bullet"/>
      <w:lvlText w:val="-"/>
      <w:lvlJc w:val="left"/>
      <w:pPr>
        <w:ind w:left="2856" w:hanging="708"/>
      </w:pPr>
      <w:rPr>
        <w:rFonts w:ascii="Calibri" w:eastAsia="PMingLiU" w:hAnsi="Calibri" w:cs="Calibr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76E871B6"/>
    <w:multiLevelType w:val="hybridMultilevel"/>
    <w:tmpl w:val="38881924"/>
    <w:lvl w:ilvl="0" w:tplc="040C000B">
      <w:start w:val="1"/>
      <w:numFmt w:val="bullet"/>
      <w:lvlText w:val=""/>
      <w:lvlJc w:val="left"/>
      <w:pPr>
        <w:ind w:left="2016" w:hanging="360"/>
      </w:pPr>
      <w:rPr>
        <w:rFonts w:ascii="Wingdings" w:hAnsi="Wingdings" w:hint="default"/>
      </w:rPr>
    </w:lvl>
    <w:lvl w:ilvl="1" w:tplc="040C0003" w:tentative="1">
      <w:start w:val="1"/>
      <w:numFmt w:val="bullet"/>
      <w:lvlText w:val="o"/>
      <w:lvlJc w:val="left"/>
      <w:pPr>
        <w:ind w:left="2736" w:hanging="360"/>
      </w:pPr>
      <w:rPr>
        <w:rFonts w:ascii="Courier New" w:hAnsi="Courier New" w:cs="Courier New" w:hint="default"/>
      </w:rPr>
    </w:lvl>
    <w:lvl w:ilvl="2" w:tplc="040C0005" w:tentative="1">
      <w:start w:val="1"/>
      <w:numFmt w:val="bullet"/>
      <w:lvlText w:val=""/>
      <w:lvlJc w:val="left"/>
      <w:pPr>
        <w:ind w:left="3456" w:hanging="360"/>
      </w:pPr>
      <w:rPr>
        <w:rFonts w:ascii="Wingdings" w:hAnsi="Wingdings" w:hint="default"/>
      </w:rPr>
    </w:lvl>
    <w:lvl w:ilvl="3" w:tplc="040C0001" w:tentative="1">
      <w:start w:val="1"/>
      <w:numFmt w:val="bullet"/>
      <w:lvlText w:val=""/>
      <w:lvlJc w:val="left"/>
      <w:pPr>
        <w:ind w:left="4176" w:hanging="360"/>
      </w:pPr>
      <w:rPr>
        <w:rFonts w:ascii="Symbol" w:hAnsi="Symbol" w:hint="default"/>
      </w:rPr>
    </w:lvl>
    <w:lvl w:ilvl="4" w:tplc="040C0003" w:tentative="1">
      <w:start w:val="1"/>
      <w:numFmt w:val="bullet"/>
      <w:lvlText w:val="o"/>
      <w:lvlJc w:val="left"/>
      <w:pPr>
        <w:ind w:left="4896" w:hanging="360"/>
      </w:pPr>
      <w:rPr>
        <w:rFonts w:ascii="Courier New" w:hAnsi="Courier New" w:cs="Courier New" w:hint="default"/>
      </w:rPr>
    </w:lvl>
    <w:lvl w:ilvl="5" w:tplc="040C0005" w:tentative="1">
      <w:start w:val="1"/>
      <w:numFmt w:val="bullet"/>
      <w:lvlText w:val=""/>
      <w:lvlJc w:val="left"/>
      <w:pPr>
        <w:ind w:left="5616" w:hanging="360"/>
      </w:pPr>
      <w:rPr>
        <w:rFonts w:ascii="Wingdings" w:hAnsi="Wingdings" w:hint="default"/>
      </w:rPr>
    </w:lvl>
    <w:lvl w:ilvl="6" w:tplc="040C0001" w:tentative="1">
      <w:start w:val="1"/>
      <w:numFmt w:val="bullet"/>
      <w:lvlText w:val=""/>
      <w:lvlJc w:val="left"/>
      <w:pPr>
        <w:ind w:left="6336" w:hanging="360"/>
      </w:pPr>
      <w:rPr>
        <w:rFonts w:ascii="Symbol" w:hAnsi="Symbol" w:hint="default"/>
      </w:rPr>
    </w:lvl>
    <w:lvl w:ilvl="7" w:tplc="040C0003" w:tentative="1">
      <w:start w:val="1"/>
      <w:numFmt w:val="bullet"/>
      <w:lvlText w:val="o"/>
      <w:lvlJc w:val="left"/>
      <w:pPr>
        <w:ind w:left="7056" w:hanging="360"/>
      </w:pPr>
      <w:rPr>
        <w:rFonts w:ascii="Courier New" w:hAnsi="Courier New" w:cs="Courier New" w:hint="default"/>
      </w:rPr>
    </w:lvl>
    <w:lvl w:ilvl="8" w:tplc="040C0005" w:tentative="1">
      <w:start w:val="1"/>
      <w:numFmt w:val="bullet"/>
      <w:lvlText w:val=""/>
      <w:lvlJc w:val="left"/>
      <w:pPr>
        <w:ind w:left="7776" w:hanging="360"/>
      </w:pPr>
      <w:rPr>
        <w:rFonts w:ascii="Wingdings" w:hAnsi="Wingdings" w:hint="default"/>
      </w:rPr>
    </w:lvl>
  </w:abstractNum>
  <w:abstractNum w:abstractNumId="35" w15:restartNumberingAfterBreak="0">
    <w:nsid w:val="7BB7611B"/>
    <w:multiLevelType w:val="multilevel"/>
    <w:tmpl w:val="2CB6C27E"/>
    <w:lvl w:ilvl="0">
      <w:numFmt w:val="bullet"/>
      <w:lvlText w:val="·"/>
      <w:lvlJc w:val="left"/>
      <w:pPr>
        <w:tabs>
          <w:tab w:val="left" w:pos="288"/>
        </w:tabs>
      </w:pPr>
      <w:rPr>
        <w:rFonts w:ascii="Symbol" w:eastAsia="Symbol" w:hAnsi="Symbol"/>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667D1F"/>
    <w:multiLevelType w:val="hybridMultilevel"/>
    <w:tmpl w:val="E3387ED6"/>
    <w:lvl w:ilvl="0" w:tplc="040C000B">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37" w15:restartNumberingAfterBreak="0">
    <w:nsid w:val="7E4B4614"/>
    <w:multiLevelType w:val="multilevel"/>
    <w:tmpl w:val="59CEC484"/>
    <w:lvl w:ilvl="0">
      <w:start w:val="1"/>
      <w:numFmt w:val="lowerLetter"/>
      <w:lvlText w:val="%1)"/>
      <w:lvlJc w:val="left"/>
      <w:pPr>
        <w:tabs>
          <w:tab w:val="left" w:pos="216"/>
        </w:tabs>
      </w:pPr>
      <w:rPr>
        <w:rFonts w:ascii="Verdana" w:eastAsia="Verdana" w:hAnsi="Verdana"/>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4"/>
  </w:num>
  <w:num w:numId="3">
    <w:abstractNumId w:val="37"/>
  </w:num>
  <w:num w:numId="4">
    <w:abstractNumId w:val="2"/>
  </w:num>
  <w:num w:numId="5">
    <w:abstractNumId w:val="24"/>
  </w:num>
  <w:num w:numId="6">
    <w:abstractNumId w:val="5"/>
  </w:num>
  <w:num w:numId="7">
    <w:abstractNumId w:val="31"/>
  </w:num>
  <w:num w:numId="8">
    <w:abstractNumId w:val="13"/>
  </w:num>
  <w:num w:numId="9">
    <w:abstractNumId w:val="26"/>
  </w:num>
  <w:num w:numId="10">
    <w:abstractNumId w:val="19"/>
  </w:num>
  <w:num w:numId="11">
    <w:abstractNumId w:val="6"/>
  </w:num>
  <w:num w:numId="12">
    <w:abstractNumId w:val="30"/>
  </w:num>
  <w:num w:numId="13">
    <w:abstractNumId w:val="36"/>
  </w:num>
  <w:num w:numId="14">
    <w:abstractNumId w:val="3"/>
  </w:num>
  <w:num w:numId="15">
    <w:abstractNumId w:val="10"/>
  </w:num>
  <w:num w:numId="16">
    <w:abstractNumId w:val="34"/>
  </w:num>
  <w:num w:numId="17">
    <w:abstractNumId w:val="21"/>
  </w:num>
  <w:num w:numId="18">
    <w:abstractNumId w:val="15"/>
  </w:num>
  <w:num w:numId="19">
    <w:abstractNumId w:val="33"/>
  </w:num>
  <w:num w:numId="20">
    <w:abstractNumId w:val="17"/>
  </w:num>
  <w:num w:numId="21">
    <w:abstractNumId w:val="22"/>
  </w:num>
  <w:num w:numId="22">
    <w:abstractNumId w:val="28"/>
  </w:num>
  <w:num w:numId="23">
    <w:abstractNumId w:val="20"/>
  </w:num>
  <w:num w:numId="24">
    <w:abstractNumId w:val="32"/>
  </w:num>
  <w:num w:numId="25">
    <w:abstractNumId w:val="27"/>
  </w:num>
  <w:num w:numId="26">
    <w:abstractNumId w:val="11"/>
  </w:num>
  <w:num w:numId="27">
    <w:abstractNumId w:val="8"/>
  </w:num>
  <w:num w:numId="28">
    <w:abstractNumId w:val="18"/>
  </w:num>
  <w:num w:numId="29">
    <w:abstractNumId w:val="16"/>
  </w:num>
  <w:num w:numId="30">
    <w:abstractNumId w:val="9"/>
  </w:num>
  <w:num w:numId="31">
    <w:abstractNumId w:val="23"/>
  </w:num>
  <w:num w:numId="32">
    <w:abstractNumId w:val="12"/>
  </w:num>
  <w:num w:numId="33">
    <w:abstractNumId w:val="23"/>
    <w:lvlOverride w:ilvl="0">
      <w:lvl w:ilvl="0">
        <w:start w:val="1"/>
        <w:numFmt w:val="decimal"/>
        <w:pStyle w:val="Titre1"/>
        <w:lvlText w:val="%1."/>
        <w:lvlJc w:val="left"/>
        <w:pPr>
          <w:ind w:left="360" w:hanging="360"/>
        </w:pPr>
        <w:rPr>
          <w:rFonts w:hint="default"/>
        </w:rPr>
      </w:lvl>
    </w:lvlOverride>
    <w:lvlOverride w:ilvl="1">
      <w:lvl w:ilvl="1">
        <w:start w:val="1"/>
        <w:numFmt w:val="decimal"/>
        <w:pStyle w:val="Titre2"/>
        <w:lvlText w:val="%1.%2."/>
        <w:lvlJc w:val="left"/>
        <w:pPr>
          <w:ind w:left="792" w:hanging="432"/>
        </w:pPr>
        <w:rPr>
          <w:rFonts w:hint="default"/>
        </w:rPr>
      </w:lvl>
    </w:lvlOverride>
    <w:lvlOverride w:ilvl="2">
      <w:lvl w:ilvl="2">
        <w:start w:val="1"/>
        <w:numFmt w:val="decimal"/>
        <w:pStyle w:val="Titre3"/>
        <w:lvlText w:val="%1.%2.%3."/>
        <w:lvlJc w:val="left"/>
        <w:pPr>
          <w:ind w:left="1224" w:hanging="504"/>
        </w:pPr>
        <w:rPr>
          <w:rFonts w:hint="default"/>
        </w:rPr>
      </w:lvl>
    </w:lvlOverride>
    <w:lvlOverride w:ilvl="3">
      <w:lvl w:ilvl="3">
        <w:start w:val="1"/>
        <w:numFmt w:val="decimal"/>
        <w:pStyle w:val="Titre4"/>
        <w:lvlText w:val="%1.%2.%3.%4."/>
        <w:lvlJc w:val="left"/>
        <w:pPr>
          <w:ind w:left="1728" w:hanging="648"/>
        </w:pPr>
        <w:rPr>
          <w:rFonts w:hint="default"/>
        </w:rPr>
      </w:lvl>
    </w:lvlOverride>
    <w:lvlOverride w:ilvl="4">
      <w:lvl w:ilvl="4">
        <w:start w:val="1"/>
        <w:numFmt w:val="decimal"/>
        <w:pStyle w:val="Titre5"/>
        <w:lvlText w:val="%1.%2.%3.%4.%5."/>
        <w:lvlJc w:val="left"/>
        <w:pPr>
          <w:ind w:left="2232" w:hanging="792"/>
        </w:pPr>
        <w:rPr>
          <w:rFonts w:hint="default"/>
        </w:rPr>
      </w:lvl>
    </w:lvlOverride>
    <w:lvlOverride w:ilvl="5">
      <w:lvl w:ilvl="5">
        <w:start w:val="1"/>
        <w:numFmt w:val="decimal"/>
        <w:pStyle w:val="Titre6"/>
        <w:lvlText w:val="%1.%2.%3.%4.%5.%6."/>
        <w:lvlJc w:val="left"/>
        <w:pPr>
          <w:ind w:left="2736" w:hanging="936"/>
        </w:pPr>
        <w:rPr>
          <w:rFonts w:hint="default"/>
        </w:rPr>
      </w:lvl>
    </w:lvlOverride>
    <w:lvlOverride w:ilvl="6">
      <w:lvl w:ilvl="6">
        <w:start w:val="1"/>
        <w:numFmt w:val="decimal"/>
        <w:pStyle w:val="Titre7"/>
        <w:lvlText w:val="%1.%2.%3.%4.%5.%6.%7."/>
        <w:lvlJc w:val="left"/>
        <w:pPr>
          <w:ind w:left="3240" w:hanging="1080"/>
        </w:pPr>
        <w:rPr>
          <w:rFonts w:hint="default"/>
        </w:rPr>
      </w:lvl>
    </w:lvlOverride>
    <w:lvlOverride w:ilvl="7">
      <w:lvl w:ilvl="7">
        <w:start w:val="1"/>
        <w:numFmt w:val="decimal"/>
        <w:pStyle w:val="Titre8"/>
        <w:lvlText w:val="%1.%2.%3.%4.%5.%6.%7.%8."/>
        <w:lvlJc w:val="left"/>
        <w:pPr>
          <w:ind w:left="3744" w:hanging="1224"/>
        </w:pPr>
        <w:rPr>
          <w:rFonts w:hint="default"/>
        </w:rPr>
      </w:lvl>
    </w:lvlOverride>
    <w:lvlOverride w:ilvl="8">
      <w:lvl w:ilvl="8">
        <w:start w:val="1"/>
        <w:numFmt w:val="decimal"/>
        <w:pStyle w:val="Titre9"/>
        <w:lvlText w:val="%1.%2.%3.%4.%5.%6.%7.%8.%9."/>
        <w:lvlJc w:val="left"/>
        <w:pPr>
          <w:ind w:left="4320" w:hanging="1440"/>
        </w:pPr>
        <w:rPr>
          <w:rFonts w:hint="default"/>
        </w:rPr>
      </w:lvl>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5"/>
  </w:num>
  <w:num w:numId="37">
    <w:abstractNumId w:val="7"/>
  </w:num>
  <w:num w:numId="38">
    <w:abstractNumId w:val="0"/>
  </w:num>
  <w:num w:numId="39">
    <w:abstractNumId w:val="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C3"/>
    <w:rsid w:val="00007CF7"/>
    <w:rsid w:val="000137EB"/>
    <w:rsid w:val="00014113"/>
    <w:rsid w:val="000259EC"/>
    <w:rsid w:val="00035066"/>
    <w:rsid w:val="00071BAB"/>
    <w:rsid w:val="00077076"/>
    <w:rsid w:val="000A4D84"/>
    <w:rsid w:val="000B5F85"/>
    <w:rsid w:val="000E06A7"/>
    <w:rsid w:val="000F0F77"/>
    <w:rsid w:val="00111992"/>
    <w:rsid w:val="00112C8A"/>
    <w:rsid w:val="00122832"/>
    <w:rsid w:val="00126506"/>
    <w:rsid w:val="0013241B"/>
    <w:rsid w:val="00136880"/>
    <w:rsid w:val="00145DF0"/>
    <w:rsid w:val="00146654"/>
    <w:rsid w:val="00152CF6"/>
    <w:rsid w:val="00177985"/>
    <w:rsid w:val="00184A41"/>
    <w:rsid w:val="00193C5C"/>
    <w:rsid w:val="001E4986"/>
    <w:rsid w:val="001E6B83"/>
    <w:rsid w:val="00231179"/>
    <w:rsid w:val="00251030"/>
    <w:rsid w:val="002563B7"/>
    <w:rsid w:val="00291FB3"/>
    <w:rsid w:val="002A20D1"/>
    <w:rsid w:val="002C2EA8"/>
    <w:rsid w:val="002E6A71"/>
    <w:rsid w:val="002F4FB6"/>
    <w:rsid w:val="003037DF"/>
    <w:rsid w:val="00306DD2"/>
    <w:rsid w:val="00320CC9"/>
    <w:rsid w:val="00321BF1"/>
    <w:rsid w:val="003325F7"/>
    <w:rsid w:val="00346292"/>
    <w:rsid w:val="0035269B"/>
    <w:rsid w:val="003A4032"/>
    <w:rsid w:val="003B090B"/>
    <w:rsid w:val="003D2495"/>
    <w:rsid w:val="003D6609"/>
    <w:rsid w:val="003E4F29"/>
    <w:rsid w:val="003F633E"/>
    <w:rsid w:val="0044073F"/>
    <w:rsid w:val="00465A68"/>
    <w:rsid w:val="00484222"/>
    <w:rsid w:val="004860FC"/>
    <w:rsid w:val="004B17FE"/>
    <w:rsid w:val="004C15F2"/>
    <w:rsid w:val="004C40B5"/>
    <w:rsid w:val="004E5553"/>
    <w:rsid w:val="004E71C0"/>
    <w:rsid w:val="004E72D2"/>
    <w:rsid w:val="004F5E17"/>
    <w:rsid w:val="004F6AD0"/>
    <w:rsid w:val="005119D1"/>
    <w:rsid w:val="00521EA3"/>
    <w:rsid w:val="005345B2"/>
    <w:rsid w:val="005631D2"/>
    <w:rsid w:val="00566C90"/>
    <w:rsid w:val="00585663"/>
    <w:rsid w:val="00593815"/>
    <w:rsid w:val="005A0397"/>
    <w:rsid w:val="005C3713"/>
    <w:rsid w:val="005C4DBC"/>
    <w:rsid w:val="005E5591"/>
    <w:rsid w:val="006148E9"/>
    <w:rsid w:val="00636141"/>
    <w:rsid w:val="006455B6"/>
    <w:rsid w:val="00686D06"/>
    <w:rsid w:val="006C416D"/>
    <w:rsid w:val="006E5208"/>
    <w:rsid w:val="006F7FF1"/>
    <w:rsid w:val="00731706"/>
    <w:rsid w:val="00782B36"/>
    <w:rsid w:val="0078604B"/>
    <w:rsid w:val="00792050"/>
    <w:rsid w:val="00797A8A"/>
    <w:rsid w:val="007A517B"/>
    <w:rsid w:val="007A77CB"/>
    <w:rsid w:val="007C5D41"/>
    <w:rsid w:val="007C663C"/>
    <w:rsid w:val="00804400"/>
    <w:rsid w:val="00815336"/>
    <w:rsid w:val="00817A1F"/>
    <w:rsid w:val="008247C3"/>
    <w:rsid w:val="00832BEB"/>
    <w:rsid w:val="00855F84"/>
    <w:rsid w:val="00863C41"/>
    <w:rsid w:val="00885413"/>
    <w:rsid w:val="00890F53"/>
    <w:rsid w:val="0089251E"/>
    <w:rsid w:val="00894A6E"/>
    <w:rsid w:val="008A28CD"/>
    <w:rsid w:val="008A54B9"/>
    <w:rsid w:val="008C2E36"/>
    <w:rsid w:val="008D7AFB"/>
    <w:rsid w:val="00904B29"/>
    <w:rsid w:val="009449AA"/>
    <w:rsid w:val="009521B4"/>
    <w:rsid w:val="00956356"/>
    <w:rsid w:val="00961398"/>
    <w:rsid w:val="00974670"/>
    <w:rsid w:val="00981BD9"/>
    <w:rsid w:val="009F388B"/>
    <w:rsid w:val="009F4DFB"/>
    <w:rsid w:val="00A25FA1"/>
    <w:rsid w:val="00A433AB"/>
    <w:rsid w:val="00A82020"/>
    <w:rsid w:val="00A91B14"/>
    <w:rsid w:val="00AB25E3"/>
    <w:rsid w:val="00AE007E"/>
    <w:rsid w:val="00AF3109"/>
    <w:rsid w:val="00B17398"/>
    <w:rsid w:val="00B36CA2"/>
    <w:rsid w:val="00B541B7"/>
    <w:rsid w:val="00B616B1"/>
    <w:rsid w:val="00B71ECC"/>
    <w:rsid w:val="00B77DBB"/>
    <w:rsid w:val="00BD6306"/>
    <w:rsid w:val="00BE51DB"/>
    <w:rsid w:val="00BE73A8"/>
    <w:rsid w:val="00C029F9"/>
    <w:rsid w:val="00C306A4"/>
    <w:rsid w:val="00C35B70"/>
    <w:rsid w:val="00C51038"/>
    <w:rsid w:val="00C65848"/>
    <w:rsid w:val="00C73F77"/>
    <w:rsid w:val="00C77002"/>
    <w:rsid w:val="00C80E66"/>
    <w:rsid w:val="00C964F2"/>
    <w:rsid w:val="00CC22F4"/>
    <w:rsid w:val="00CC4CF8"/>
    <w:rsid w:val="00CD31A2"/>
    <w:rsid w:val="00CE40E4"/>
    <w:rsid w:val="00D136DA"/>
    <w:rsid w:val="00D14C81"/>
    <w:rsid w:val="00D52324"/>
    <w:rsid w:val="00D6154E"/>
    <w:rsid w:val="00D80151"/>
    <w:rsid w:val="00D93B3F"/>
    <w:rsid w:val="00DB122C"/>
    <w:rsid w:val="00DC02CC"/>
    <w:rsid w:val="00DD66FF"/>
    <w:rsid w:val="00DE24CD"/>
    <w:rsid w:val="00DF6CD5"/>
    <w:rsid w:val="00E032C4"/>
    <w:rsid w:val="00E13F2C"/>
    <w:rsid w:val="00E20A8D"/>
    <w:rsid w:val="00E34D6B"/>
    <w:rsid w:val="00E42082"/>
    <w:rsid w:val="00E44751"/>
    <w:rsid w:val="00E51381"/>
    <w:rsid w:val="00E560E9"/>
    <w:rsid w:val="00E56A25"/>
    <w:rsid w:val="00E57932"/>
    <w:rsid w:val="00E638DC"/>
    <w:rsid w:val="00E833DD"/>
    <w:rsid w:val="00EC4F8F"/>
    <w:rsid w:val="00ED3071"/>
    <w:rsid w:val="00ED4F72"/>
    <w:rsid w:val="00ED5309"/>
    <w:rsid w:val="00EE5691"/>
    <w:rsid w:val="00EE5DDB"/>
    <w:rsid w:val="00F01F3E"/>
    <w:rsid w:val="00F228C0"/>
    <w:rsid w:val="00F37642"/>
    <w:rsid w:val="00F7234B"/>
    <w:rsid w:val="00F774D1"/>
    <w:rsid w:val="00FC3C00"/>
    <w:rsid w:val="00FD3CC4"/>
    <w:rsid w:val="00FE305F"/>
    <w:rsid w:val="00FF698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BDF74"/>
  <w15:docId w15:val="{214819D2-0F66-49E9-997C-7125836C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5B2"/>
    <w:rPr>
      <w:rFonts w:ascii="Arial" w:hAnsi="Arial" w:cs="Arial"/>
      <w:lang w:val="fr-FR"/>
    </w:rPr>
  </w:style>
  <w:style w:type="paragraph" w:styleId="Titre1">
    <w:name w:val="heading 1"/>
    <w:basedOn w:val="Normal"/>
    <w:next w:val="Normal"/>
    <w:link w:val="Titre1Car"/>
    <w:uiPriority w:val="9"/>
    <w:qFormat/>
    <w:rsid w:val="00F7234B"/>
    <w:pPr>
      <w:keepNext/>
      <w:keepLines/>
      <w:numPr>
        <w:numId w:val="31"/>
      </w:numPr>
      <w:spacing w:after="120"/>
      <w:outlineLvl w:val="0"/>
    </w:pPr>
    <w:rPr>
      <w:rFonts w:eastAsiaTheme="majorEastAsia"/>
      <w:b/>
      <w:bCs/>
      <w:sz w:val="24"/>
      <w:szCs w:val="24"/>
    </w:rPr>
  </w:style>
  <w:style w:type="paragraph" w:styleId="Titre2">
    <w:name w:val="heading 2"/>
    <w:basedOn w:val="Normal"/>
    <w:next w:val="Normal"/>
    <w:link w:val="Titre2Car"/>
    <w:uiPriority w:val="9"/>
    <w:unhideWhenUsed/>
    <w:qFormat/>
    <w:rsid w:val="00F7234B"/>
    <w:pPr>
      <w:keepNext/>
      <w:keepLines/>
      <w:numPr>
        <w:ilvl w:val="1"/>
        <w:numId w:val="31"/>
      </w:numPr>
      <w:spacing w:before="40"/>
      <w:outlineLvl w:val="1"/>
    </w:pPr>
    <w:rPr>
      <w:rFonts w:eastAsiaTheme="majorEastAsia"/>
      <w:b/>
      <w:bCs/>
      <w:sz w:val="24"/>
      <w:szCs w:val="24"/>
    </w:rPr>
  </w:style>
  <w:style w:type="paragraph" w:styleId="Titre3">
    <w:name w:val="heading 3"/>
    <w:basedOn w:val="Normal"/>
    <w:next w:val="Normal"/>
    <w:link w:val="Titre3Car"/>
    <w:uiPriority w:val="9"/>
    <w:unhideWhenUsed/>
    <w:qFormat/>
    <w:rsid w:val="00CE40E4"/>
    <w:pPr>
      <w:keepNext/>
      <w:keepLines/>
      <w:numPr>
        <w:ilvl w:val="2"/>
        <w:numId w:val="31"/>
      </w:numPr>
      <w:spacing w:before="4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unhideWhenUsed/>
    <w:qFormat/>
    <w:rsid w:val="00CE40E4"/>
    <w:pPr>
      <w:keepNext/>
      <w:keepLines/>
      <w:numPr>
        <w:ilvl w:val="3"/>
        <w:numId w:val="31"/>
      </w:numPr>
      <w:spacing w:before="40"/>
      <w:outlineLvl w:val="3"/>
    </w:pPr>
    <w:rPr>
      <w:rFonts w:asciiTheme="majorHAnsi" w:eastAsiaTheme="majorEastAsia" w:hAnsiTheme="majorHAnsi" w:cstheme="majorBidi"/>
      <w:i/>
      <w:iCs/>
      <w:color w:val="0F4761" w:themeColor="accent1" w:themeShade="BF"/>
    </w:rPr>
  </w:style>
  <w:style w:type="paragraph" w:styleId="Titre5">
    <w:name w:val="heading 5"/>
    <w:basedOn w:val="Normal"/>
    <w:next w:val="Normal"/>
    <w:link w:val="Titre5Car"/>
    <w:uiPriority w:val="9"/>
    <w:unhideWhenUsed/>
    <w:qFormat/>
    <w:rsid w:val="00E57932"/>
    <w:pPr>
      <w:keepNext/>
      <w:keepLines/>
      <w:numPr>
        <w:ilvl w:val="4"/>
        <w:numId w:val="31"/>
      </w:numPr>
      <w:spacing w:before="40"/>
      <w:outlineLvl w:val="4"/>
    </w:pPr>
    <w:rPr>
      <w:rFonts w:asciiTheme="majorHAnsi" w:eastAsiaTheme="majorEastAsia" w:hAnsiTheme="majorHAnsi" w:cstheme="majorBidi"/>
      <w:color w:val="0F4761" w:themeColor="accent1" w:themeShade="BF"/>
    </w:rPr>
  </w:style>
  <w:style w:type="paragraph" w:styleId="Titre6">
    <w:name w:val="heading 6"/>
    <w:basedOn w:val="Normal"/>
    <w:next w:val="Normal"/>
    <w:link w:val="Titre6Car"/>
    <w:uiPriority w:val="9"/>
    <w:unhideWhenUsed/>
    <w:qFormat/>
    <w:rsid w:val="00E57932"/>
    <w:pPr>
      <w:keepNext/>
      <w:keepLines/>
      <w:numPr>
        <w:ilvl w:val="5"/>
        <w:numId w:val="31"/>
      </w:numPr>
      <w:spacing w:before="40"/>
      <w:outlineLvl w:val="5"/>
    </w:pPr>
    <w:rPr>
      <w:rFonts w:asciiTheme="majorHAnsi" w:eastAsiaTheme="majorEastAsia" w:hAnsiTheme="majorHAnsi" w:cstheme="majorBidi"/>
      <w:color w:val="0A2F40" w:themeColor="accent1" w:themeShade="7F"/>
    </w:rPr>
  </w:style>
  <w:style w:type="paragraph" w:styleId="Titre7">
    <w:name w:val="heading 7"/>
    <w:basedOn w:val="Normal"/>
    <w:next w:val="Normal"/>
    <w:link w:val="Titre7Car"/>
    <w:uiPriority w:val="9"/>
    <w:semiHidden/>
    <w:unhideWhenUsed/>
    <w:qFormat/>
    <w:rsid w:val="003D6609"/>
    <w:pPr>
      <w:keepNext/>
      <w:keepLines/>
      <w:numPr>
        <w:ilvl w:val="6"/>
        <w:numId w:val="31"/>
      </w:numPr>
      <w:spacing w:before="40"/>
      <w:outlineLvl w:val="6"/>
    </w:pPr>
    <w:rPr>
      <w:rFonts w:asciiTheme="majorHAnsi" w:eastAsiaTheme="majorEastAsia" w:hAnsiTheme="majorHAnsi" w:cstheme="majorBidi"/>
      <w:i/>
      <w:iCs/>
      <w:color w:val="0A2F40" w:themeColor="accent1" w:themeShade="7F"/>
    </w:rPr>
  </w:style>
  <w:style w:type="paragraph" w:styleId="Titre8">
    <w:name w:val="heading 8"/>
    <w:basedOn w:val="Normal"/>
    <w:next w:val="Normal"/>
    <w:link w:val="Titre8Car"/>
    <w:uiPriority w:val="9"/>
    <w:semiHidden/>
    <w:unhideWhenUsed/>
    <w:qFormat/>
    <w:rsid w:val="003D6609"/>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D6609"/>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56356"/>
    <w:pPr>
      <w:tabs>
        <w:tab w:val="center" w:pos="4536"/>
        <w:tab w:val="right" w:pos="9072"/>
      </w:tabs>
    </w:pPr>
  </w:style>
  <w:style w:type="character" w:customStyle="1" w:styleId="En-tteCar">
    <w:name w:val="En-tête Car"/>
    <w:basedOn w:val="Policepardfaut"/>
    <w:link w:val="En-tte"/>
    <w:rsid w:val="00956356"/>
  </w:style>
  <w:style w:type="paragraph" w:styleId="Pieddepage">
    <w:name w:val="footer"/>
    <w:basedOn w:val="Normal"/>
    <w:link w:val="PieddepageCar"/>
    <w:unhideWhenUsed/>
    <w:rsid w:val="00956356"/>
    <w:pPr>
      <w:tabs>
        <w:tab w:val="center" w:pos="4536"/>
        <w:tab w:val="right" w:pos="9072"/>
      </w:tabs>
    </w:pPr>
  </w:style>
  <w:style w:type="character" w:customStyle="1" w:styleId="PieddepageCar">
    <w:name w:val="Pied de page Car"/>
    <w:basedOn w:val="Policepardfaut"/>
    <w:link w:val="Pieddepage"/>
    <w:rsid w:val="00956356"/>
  </w:style>
  <w:style w:type="character" w:styleId="Lienhypertexte">
    <w:name w:val="Hyperlink"/>
    <w:basedOn w:val="Policepardfaut"/>
    <w:uiPriority w:val="99"/>
    <w:unhideWhenUsed/>
    <w:rsid w:val="00804400"/>
    <w:rPr>
      <w:color w:val="467886" w:themeColor="hyperlink"/>
      <w:u w:val="single"/>
    </w:rPr>
  </w:style>
  <w:style w:type="character" w:customStyle="1" w:styleId="Mentionnonrsolue1">
    <w:name w:val="Mention non résolue1"/>
    <w:basedOn w:val="Policepardfaut"/>
    <w:uiPriority w:val="99"/>
    <w:semiHidden/>
    <w:unhideWhenUsed/>
    <w:rsid w:val="00804400"/>
    <w:rPr>
      <w:color w:val="605E5C"/>
      <w:shd w:val="clear" w:color="auto" w:fill="E1DFDD"/>
    </w:rPr>
  </w:style>
  <w:style w:type="paragraph" w:styleId="Paragraphedeliste">
    <w:name w:val="List Paragraph"/>
    <w:basedOn w:val="Normal"/>
    <w:uiPriority w:val="34"/>
    <w:qFormat/>
    <w:rsid w:val="00C35B70"/>
    <w:pPr>
      <w:ind w:left="720"/>
      <w:contextualSpacing/>
    </w:pPr>
  </w:style>
  <w:style w:type="character" w:customStyle="1" w:styleId="Titre1Car">
    <w:name w:val="Titre 1 Car"/>
    <w:basedOn w:val="Policepardfaut"/>
    <w:link w:val="Titre1"/>
    <w:uiPriority w:val="9"/>
    <w:rsid w:val="00F7234B"/>
    <w:rPr>
      <w:rFonts w:ascii="Arial" w:eastAsiaTheme="majorEastAsia" w:hAnsi="Arial" w:cs="Arial"/>
      <w:b/>
      <w:bCs/>
      <w:sz w:val="24"/>
      <w:szCs w:val="24"/>
      <w:lang w:val="fr-FR"/>
    </w:rPr>
  </w:style>
  <w:style w:type="paragraph" w:styleId="En-ttedetabledesmatires">
    <w:name w:val="TOC Heading"/>
    <w:basedOn w:val="Titre1"/>
    <w:next w:val="Normal"/>
    <w:uiPriority w:val="39"/>
    <w:unhideWhenUsed/>
    <w:qFormat/>
    <w:rsid w:val="00CE40E4"/>
    <w:pPr>
      <w:spacing w:line="259" w:lineRule="auto"/>
      <w:outlineLvl w:val="9"/>
    </w:pPr>
    <w:rPr>
      <w:lang w:eastAsia="fr-FR"/>
    </w:rPr>
  </w:style>
  <w:style w:type="paragraph" w:styleId="TM1">
    <w:name w:val="toc 1"/>
    <w:basedOn w:val="Normal"/>
    <w:next w:val="Normal"/>
    <w:autoRedefine/>
    <w:uiPriority w:val="39"/>
    <w:unhideWhenUsed/>
    <w:rsid w:val="00CE40E4"/>
    <w:pPr>
      <w:spacing w:before="120"/>
    </w:pPr>
    <w:rPr>
      <w:rFonts w:asciiTheme="minorHAnsi" w:hAnsiTheme="minorHAnsi"/>
      <w:b/>
      <w:bCs/>
      <w:i/>
      <w:iCs/>
      <w:sz w:val="24"/>
      <w:szCs w:val="24"/>
    </w:rPr>
  </w:style>
  <w:style w:type="character" w:customStyle="1" w:styleId="Titre2Car">
    <w:name w:val="Titre 2 Car"/>
    <w:basedOn w:val="Policepardfaut"/>
    <w:link w:val="Titre2"/>
    <w:uiPriority w:val="9"/>
    <w:rsid w:val="00F7234B"/>
    <w:rPr>
      <w:rFonts w:ascii="Arial" w:eastAsiaTheme="majorEastAsia" w:hAnsi="Arial" w:cs="Arial"/>
      <w:b/>
      <w:bCs/>
      <w:sz w:val="24"/>
      <w:szCs w:val="24"/>
      <w:lang w:val="fr-FR"/>
    </w:rPr>
  </w:style>
  <w:style w:type="character" w:customStyle="1" w:styleId="Titre3Car">
    <w:name w:val="Titre 3 Car"/>
    <w:basedOn w:val="Policepardfaut"/>
    <w:link w:val="Titre3"/>
    <w:uiPriority w:val="9"/>
    <w:rsid w:val="00CE40E4"/>
    <w:rPr>
      <w:rFonts w:asciiTheme="majorHAnsi" w:eastAsiaTheme="majorEastAsia" w:hAnsiTheme="majorHAnsi" w:cstheme="majorBidi"/>
      <w:color w:val="0A2F40" w:themeColor="accent1" w:themeShade="7F"/>
      <w:sz w:val="24"/>
      <w:szCs w:val="24"/>
    </w:rPr>
  </w:style>
  <w:style w:type="character" w:customStyle="1" w:styleId="Titre4Car">
    <w:name w:val="Titre 4 Car"/>
    <w:basedOn w:val="Policepardfaut"/>
    <w:link w:val="Titre4"/>
    <w:uiPriority w:val="9"/>
    <w:rsid w:val="00CE40E4"/>
    <w:rPr>
      <w:rFonts w:asciiTheme="majorHAnsi" w:eastAsiaTheme="majorEastAsia" w:hAnsiTheme="majorHAnsi" w:cstheme="majorBidi"/>
      <w:i/>
      <w:iCs/>
      <w:color w:val="0F4761" w:themeColor="accent1" w:themeShade="BF"/>
    </w:rPr>
  </w:style>
  <w:style w:type="paragraph" w:styleId="TM2">
    <w:name w:val="toc 2"/>
    <w:basedOn w:val="Normal"/>
    <w:next w:val="Normal"/>
    <w:autoRedefine/>
    <w:uiPriority w:val="39"/>
    <w:unhideWhenUsed/>
    <w:rsid w:val="00CE40E4"/>
    <w:pPr>
      <w:spacing w:before="120"/>
      <w:ind w:left="220"/>
    </w:pPr>
    <w:rPr>
      <w:rFonts w:asciiTheme="minorHAnsi" w:hAnsiTheme="minorHAnsi"/>
      <w:b/>
      <w:bCs/>
    </w:rPr>
  </w:style>
  <w:style w:type="paragraph" w:styleId="TM3">
    <w:name w:val="toc 3"/>
    <w:basedOn w:val="Normal"/>
    <w:next w:val="Normal"/>
    <w:autoRedefine/>
    <w:uiPriority w:val="39"/>
    <w:unhideWhenUsed/>
    <w:rsid w:val="00CE40E4"/>
    <w:pPr>
      <w:ind w:left="440"/>
    </w:pPr>
    <w:rPr>
      <w:rFonts w:asciiTheme="minorHAnsi" w:hAnsiTheme="minorHAnsi"/>
      <w:sz w:val="20"/>
      <w:szCs w:val="20"/>
    </w:rPr>
  </w:style>
  <w:style w:type="paragraph" w:styleId="Sansinterligne">
    <w:name w:val="No Spacing"/>
    <w:uiPriority w:val="1"/>
    <w:qFormat/>
    <w:rsid w:val="004B17FE"/>
    <w:rPr>
      <w:rFonts w:ascii="Calibri" w:hAnsi="Calibri"/>
    </w:rPr>
  </w:style>
  <w:style w:type="character" w:customStyle="1" w:styleId="Titre5Car">
    <w:name w:val="Titre 5 Car"/>
    <w:basedOn w:val="Policepardfaut"/>
    <w:link w:val="Titre5"/>
    <w:uiPriority w:val="9"/>
    <w:rsid w:val="00E57932"/>
    <w:rPr>
      <w:rFonts w:asciiTheme="majorHAnsi" w:eastAsiaTheme="majorEastAsia" w:hAnsiTheme="majorHAnsi" w:cstheme="majorBidi"/>
      <w:color w:val="0F4761" w:themeColor="accent1" w:themeShade="BF"/>
    </w:rPr>
  </w:style>
  <w:style w:type="character" w:customStyle="1" w:styleId="Titre6Car">
    <w:name w:val="Titre 6 Car"/>
    <w:basedOn w:val="Policepardfaut"/>
    <w:link w:val="Titre6"/>
    <w:uiPriority w:val="9"/>
    <w:rsid w:val="00E57932"/>
    <w:rPr>
      <w:rFonts w:asciiTheme="majorHAnsi" w:eastAsiaTheme="majorEastAsia" w:hAnsiTheme="majorHAnsi" w:cstheme="majorBidi"/>
      <w:color w:val="0A2F40" w:themeColor="accent1" w:themeShade="7F"/>
    </w:rPr>
  </w:style>
  <w:style w:type="character" w:styleId="Marquedecommentaire">
    <w:name w:val="annotation reference"/>
    <w:basedOn w:val="Policepardfaut"/>
    <w:uiPriority w:val="99"/>
    <w:semiHidden/>
    <w:unhideWhenUsed/>
    <w:rsid w:val="00E34D6B"/>
    <w:rPr>
      <w:sz w:val="16"/>
      <w:szCs w:val="16"/>
    </w:rPr>
  </w:style>
  <w:style w:type="paragraph" w:styleId="Commentaire">
    <w:name w:val="annotation text"/>
    <w:basedOn w:val="Normal"/>
    <w:link w:val="CommentaireCar"/>
    <w:uiPriority w:val="99"/>
    <w:unhideWhenUsed/>
    <w:rsid w:val="00E34D6B"/>
    <w:rPr>
      <w:sz w:val="20"/>
      <w:szCs w:val="20"/>
    </w:rPr>
  </w:style>
  <w:style w:type="character" w:customStyle="1" w:styleId="CommentaireCar">
    <w:name w:val="Commentaire Car"/>
    <w:basedOn w:val="Policepardfaut"/>
    <w:link w:val="Commentaire"/>
    <w:uiPriority w:val="99"/>
    <w:rsid w:val="00E34D6B"/>
    <w:rPr>
      <w:sz w:val="20"/>
      <w:szCs w:val="20"/>
    </w:rPr>
  </w:style>
  <w:style w:type="paragraph" w:styleId="Objetducommentaire">
    <w:name w:val="annotation subject"/>
    <w:basedOn w:val="Commentaire"/>
    <w:next w:val="Commentaire"/>
    <w:link w:val="ObjetducommentaireCar"/>
    <w:uiPriority w:val="99"/>
    <w:semiHidden/>
    <w:unhideWhenUsed/>
    <w:rsid w:val="00E34D6B"/>
    <w:rPr>
      <w:b/>
      <w:bCs/>
    </w:rPr>
  </w:style>
  <w:style w:type="character" w:customStyle="1" w:styleId="ObjetducommentaireCar">
    <w:name w:val="Objet du commentaire Car"/>
    <w:basedOn w:val="CommentaireCar"/>
    <w:link w:val="Objetducommentaire"/>
    <w:uiPriority w:val="99"/>
    <w:semiHidden/>
    <w:rsid w:val="00E34D6B"/>
    <w:rPr>
      <w:b/>
      <w:bCs/>
      <w:sz w:val="20"/>
      <w:szCs w:val="20"/>
    </w:rPr>
  </w:style>
  <w:style w:type="paragraph" w:styleId="Textedebulles">
    <w:name w:val="Balloon Text"/>
    <w:basedOn w:val="Normal"/>
    <w:link w:val="TextedebullesCar"/>
    <w:uiPriority w:val="99"/>
    <w:semiHidden/>
    <w:unhideWhenUsed/>
    <w:rsid w:val="00E34D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D6B"/>
    <w:rPr>
      <w:rFonts w:ascii="Segoe UI" w:hAnsi="Segoe UI" w:cs="Segoe UI"/>
      <w:sz w:val="18"/>
      <w:szCs w:val="18"/>
    </w:rPr>
  </w:style>
  <w:style w:type="table" w:styleId="Grilledutableau">
    <w:name w:val="Table Grid"/>
    <w:basedOn w:val="TableauNormal"/>
    <w:uiPriority w:val="39"/>
    <w:rsid w:val="0089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Indent2">
    <w:name w:val="ParagrapheIndent2"/>
    <w:basedOn w:val="Normal"/>
    <w:next w:val="Normal"/>
    <w:qFormat/>
    <w:rsid w:val="005345B2"/>
    <w:rPr>
      <w:rFonts w:eastAsia="Arial"/>
      <w:szCs w:val="24"/>
    </w:rPr>
  </w:style>
  <w:style w:type="character" w:customStyle="1" w:styleId="Titre7Car">
    <w:name w:val="Titre 7 Car"/>
    <w:basedOn w:val="Policepardfaut"/>
    <w:link w:val="Titre7"/>
    <w:uiPriority w:val="9"/>
    <w:semiHidden/>
    <w:rsid w:val="003D6609"/>
    <w:rPr>
      <w:rFonts w:asciiTheme="majorHAnsi" w:eastAsiaTheme="majorEastAsia" w:hAnsiTheme="majorHAnsi" w:cstheme="majorBidi"/>
      <w:i/>
      <w:iCs/>
      <w:color w:val="0A2F40" w:themeColor="accent1" w:themeShade="7F"/>
      <w:lang w:val="fr-FR"/>
    </w:rPr>
  </w:style>
  <w:style w:type="character" w:customStyle="1" w:styleId="Titre8Car">
    <w:name w:val="Titre 8 Car"/>
    <w:basedOn w:val="Policepardfaut"/>
    <w:link w:val="Titre8"/>
    <w:uiPriority w:val="9"/>
    <w:semiHidden/>
    <w:rsid w:val="003D6609"/>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3D6609"/>
    <w:rPr>
      <w:rFonts w:asciiTheme="majorHAnsi" w:eastAsiaTheme="majorEastAsia" w:hAnsiTheme="majorHAnsi" w:cstheme="majorBidi"/>
      <w:i/>
      <w:iCs/>
      <w:color w:val="272727" w:themeColor="text1" w:themeTint="D8"/>
      <w:sz w:val="21"/>
      <w:szCs w:val="21"/>
      <w:lang w:val="fr-FR"/>
    </w:rPr>
  </w:style>
  <w:style w:type="paragraph" w:customStyle="1" w:styleId="ParagrapheIndent1">
    <w:name w:val="ParagrapheIndent1"/>
    <w:basedOn w:val="Normal"/>
    <w:next w:val="Normal"/>
    <w:qFormat/>
    <w:rsid w:val="00EC4F8F"/>
    <w:rPr>
      <w:rFonts w:eastAsia="Arial"/>
      <w:szCs w:val="24"/>
      <w:lang w:val="en-US"/>
    </w:rPr>
  </w:style>
  <w:style w:type="paragraph" w:styleId="TM4">
    <w:name w:val="toc 4"/>
    <w:basedOn w:val="Normal"/>
    <w:next w:val="Normal"/>
    <w:autoRedefine/>
    <w:uiPriority w:val="39"/>
    <w:unhideWhenUsed/>
    <w:rsid w:val="009449AA"/>
    <w:pPr>
      <w:ind w:left="660"/>
    </w:pPr>
    <w:rPr>
      <w:rFonts w:asciiTheme="minorHAnsi" w:hAnsiTheme="minorHAnsi"/>
      <w:sz w:val="20"/>
      <w:szCs w:val="20"/>
    </w:rPr>
  </w:style>
  <w:style w:type="paragraph" w:styleId="TM5">
    <w:name w:val="toc 5"/>
    <w:basedOn w:val="Normal"/>
    <w:next w:val="Normal"/>
    <w:autoRedefine/>
    <w:uiPriority w:val="39"/>
    <w:unhideWhenUsed/>
    <w:rsid w:val="009449AA"/>
    <w:pPr>
      <w:ind w:left="880"/>
    </w:pPr>
    <w:rPr>
      <w:rFonts w:asciiTheme="minorHAnsi" w:hAnsiTheme="minorHAnsi"/>
      <w:sz w:val="20"/>
      <w:szCs w:val="20"/>
    </w:rPr>
  </w:style>
  <w:style w:type="paragraph" w:styleId="TM6">
    <w:name w:val="toc 6"/>
    <w:basedOn w:val="Normal"/>
    <w:next w:val="Normal"/>
    <w:autoRedefine/>
    <w:uiPriority w:val="39"/>
    <w:unhideWhenUsed/>
    <w:rsid w:val="009449AA"/>
    <w:pPr>
      <w:ind w:left="1100"/>
    </w:pPr>
    <w:rPr>
      <w:rFonts w:asciiTheme="minorHAnsi" w:hAnsiTheme="minorHAnsi"/>
      <w:sz w:val="20"/>
      <w:szCs w:val="20"/>
    </w:rPr>
  </w:style>
  <w:style w:type="paragraph" w:styleId="TM7">
    <w:name w:val="toc 7"/>
    <w:basedOn w:val="Normal"/>
    <w:next w:val="Normal"/>
    <w:autoRedefine/>
    <w:uiPriority w:val="39"/>
    <w:unhideWhenUsed/>
    <w:rsid w:val="009449AA"/>
    <w:pPr>
      <w:ind w:left="1320"/>
    </w:pPr>
    <w:rPr>
      <w:rFonts w:asciiTheme="minorHAnsi" w:hAnsiTheme="minorHAnsi"/>
      <w:sz w:val="20"/>
      <w:szCs w:val="20"/>
    </w:rPr>
  </w:style>
  <w:style w:type="paragraph" w:styleId="TM8">
    <w:name w:val="toc 8"/>
    <w:basedOn w:val="Normal"/>
    <w:next w:val="Normal"/>
    <w:autoRedefine/>
    <w:uiPriority w:val="39"/>
    <w:unhideWhenUsed/>
    <w:rsid w:val="009449AA"/>
    <w:pPr>
      <w:ind w:left="1540"/>
    </w:pPr>
    <w:rPr>
      <w:rFonts w:asciiTheme="minorHAnsi" w:hAnsiTheme="minorHAnsi"/>
      <w:sz w:val="20"/>
      <w:szCs w:val="20"/>
    </w:rPr>
  </w:style>
  <w:style w:type="paragraph" w:styleId="TM9">
    <w:name w:val="toc 9"/>
    <w:basedOn w:val="Normal"/>
    <w:next w:val="Normal"/>
    <w:autoRedefine/>
    <w:uiPriority w:val="39"/>
    <w:unhideWhenUsed/>
    <w:rsid w:val="009449AA"/>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85293">
      <w:bodyDiv w:val="1"/>
      <w:marLeft w:val="0"/>
      <w:marRight w:val="0"/>
      <w:marTop w:val="0"/>
      <w:marBottom w:val="0"/>
      <w:divBdr>
        <w:top w:val="none" w:sz="0" w:space="0" w:color="auto"/>
        <w:left w:val="none" w:sz="0" w:space="0" w:color="auto"/>
        <w:bottom w:val="none" w:sz="0" w:space="0" w:color="auto"/>
        <w:right w:val="none" w:sz="0" w:space="0" w:color="auto"/>
      </w:divBdr>
    </w:div>
    <w:div w:id="381827427">
      <w:bodyDiv w:val="1"/>
      <w:marLeft w:val="0"/>
      <w:marRight w:val="0"/>
      <w:marTop w:val="0"/>
      <w:marBottom w:val="0"/>
      <w:divBdr>
        <w:top w:val="none" w:sz="0" w:space="0" w:color="auto"/>
        <w:left w:val="none" w:sz="0" w:space="0" w:color="auto"/>
        <w:bottom w:val="none" w:sz="0" w:space="0" w:color="auto"/>
        <w:right w:val="none" w:sz="0" w:space="0" w:color="auto"/>
      </w:divBdr>
    </w:div>
    <w:div w:id="491793387">
      <w:bodyDiv w:val="1"/>
      <w:marLeft w:val="0"/>
      <w:marRight w:val="0"/>
      <w:marTop w:val="0"/>
      <w:marBottom w:val="0"/>
      <w:divBdr>
        <w:top w:val="none" w:sz="0" w:space="0" w:color="auto"/>
        <w:left w:val="none" w:sz="0" w:space="0" w:color="auto"/>
        <w:bottom w:val="none" w:sz="0" w:space="0" w:color="auto"/>
        <w:right w:val="none" w:sz="0" w:space="0" w:color="auto"/>
      </w:divBdr>
    </w:div>
    <w:div w:id="749040072">
      <w:bodyDiv w:val="1"/>
      <w:marLeft w:val="0"/>
      <w:marRight w:val="0"/>
      <w:marTop w:val="0"/>
      <w:marBottom w:val="0"/>
      <w:divBdr>
        <w:top w:val="none" w:sz="0" w:space="0" w:color="auto"/>
        <w:left w:val="none" w:sz="0" w:space="0" w:color="auto"/>
        <w:bottom w:val="none" w:sz="0" w:space="0" w:color="auto"/>
        <w:right w:val="none" w:sz="0" w:space="0" w:color="auto"/>
      </w:divBdr>
    </w:div>
    <w:div w:id="818545527">
      <w:bodyDiv w:val="1"/>
      <w:marLeft w:val="0"/>
      <w:marRight w:val="0"/>
      <w:marTop w:val="0"/>
      <w:marBottom w:val="0"/>
      <w:divBdr>
        <w:top w:val="none" w:sz="0" w:space="0" w:color="auto"/>
        <w:left w:val="none" w:sz="0" w:space="0" w:color="auto"/>
        <w:bottom w:val="none" w:sz="0" w:space="0" w:color="auto"/>
        <w:right w:val="none" w:sz="0" w:space="0" w:color="auto"/>
      </w:divBdr>
    </w:div>
    <w:div w:id="1255675984">
      <w:bodyDiv w:val="1"/>
      <w:marLeft w:val="0"/>
      <w:marRight w:val="0"/>
      <w:marTop w:val="0"/>
      <w:marBottom w:val="0"/>
      <w:divBdr>
        <w:top w:val="none" w:sz="0" w:space="0" w:color="auto"/>
        <w:left w:val="none" w:sz="0" w:space="0" w:color="auto"/>
        <w:bottom w:val="none" w:sz="0" w:space="0" w:color="auto"/>
        <w:right w:val="none" w:sz="0" w:space="0" w:color="auto"/>
      </w:divBdr>
    </w:div>
    <w:div w:id="1469669229">
      <w:bodyDiv w:val="1"/>
      <w:marLeft w:val="0"/>
      <w:marRight w:val="0"/>
      <w:marTop w:val="0"/>
      <w:marBottom w:val="0"/>
      <w:divBdr>
        <w:top w:val="none" w:sz="0" w:space="0" w:color="auto"/>
        <w:left w:val="none" w:sz="0" w:space="0" w:color="auto"/>
        <w:bottom w:val="none" w:sz="0" w:space="0" w:color="auto"/>
        <w:right w:val="none" w:sz="0" w:space="0" w:color="auto"/>
      </w:divBdr>
    </w:div>
    <w:div w:id="188652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C175-E7DC-44BD-88E9-E20071E0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3515</Words>
  <Characters>29882</Characters>
  <Application>Microsoft Office Word</Application>
  <DocSecurity>0</DocSecurity>
  <Lines>996</Lines>
  <Paragraphs>457</Paragraphs>
  <ScaleCrop>false</ScaleCrop>
  <HeadingPairs>
    <vt:vector size="2" baseType="variant">
      <vt:variant>
        <vt:lpstr>Titre</vt:lpstr>
      </vt:variant>
      <vt:variant>
        <vt:i4>1</vt:i4>
      </vt:variant>
    </vt:vector>
  </HeadingPairs>
  <TitlesOfParts>
    <vt:vector size="1" baseType="lpstr">
      <vt:lpstr>Microsoft Word - AOO_22088_RC_Eqts de blanchisserie_V1.docx</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AOO_22088_RC_Eqts de blanchisserie_V1.docx</dc:title>
  <dc:creator>EGIS</dc:creator>
  <cp:lastModifiedBy>Poudenx Rodolphe</cp:lastModifiedBy>
  <cp:revision>5</cp:revision>
  <cp:lastPrinted>2025-06-24T16:13:00Z</cp:lastPrinted>
  <dcterms:created xsi:type="dcterms:W3CDTF">2025-06-30T12:13:00Z</dcterms:created>
  <dcterms:modified xsi:type="dcterms:W3CDTF">2025-06-30T12:35:00Z</dcterms:modified>
</cp:coreProperties>
</file>