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5BCB9" w14:textId="77777777" w:rsidR="005910AB" w:rsidRPr="00303325" w:rsidRDefault="005910AB">
      <w:pPr>
        <w:pStyle w:val="Textbody"/>
        <w:rPr>
          <w:rFonts w:cs="Arial"/>
        </w:rPr>
      </w:pPr>
    </w:p>
    <w:p w14:paraId="2855BBAF" w14:textId="77777777" w:rsidR="00303325" w:rsidRPr="00303325" w:rsidRDefault="00303325">
      <w:pPr>
        <w:pStyle w:val="Textbody"/>
        <w:rPr>
          <w:rFonts w:cs="Arial"/>
        </w:rPr>
      </w:pPr>
    </w:p>
    <w:p w14:paraId="7C0DDE12" w14:textId="77777777" w:rsidR="00303325" w:rsidRPr="00303325" w:rsidRDefault="00303325">
      <w:pPr>
        <w:pStyle w:val="Textbody"/>
        <w:rPr>
          <w:rFonts w:cs="Arial"/>
        </w:rPr>
      </w:pPr>
    </w:p>
    <w:tbl>
      <w:tblPr>
        <w:tblW w:w="909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35"/>
        <w:gridCol w:w="6535"/>
        <w:gridCol w:w="26"/>
      </w:tblGrid>
      <w:tr w:rsidR="00820141" w:rsidRPr="00940294" w14:paraId="62C91585" w14:textId="77777777" w:rsidTr="008845AB">
        <w:tc>
          <w:tcPr>
            <w:tcW w:w="9096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0D63E8" w14:textId="77777777" w:rsidR="00820141" w:rsidRPr="00940294" w:rsidRDefault="00820141" w:rsidP="00875B32">
            <w:pPr>
              <w:snapToGrid w:val="0"/>
              <w:jc w:val="center"/>
              <w:rPr>
                <w:rFonts w:ascii="Marianne" w:eastAsia="Times New Roman" w:hAnsi="Marianne" w:cs="Arial"/>
                <w:kern w:val="0"/>
                <w:sz w:val="20"/>
                <w:szCs w:val="20"/>
                <w:lang w:eastAsia="ar-SA"/>
              </w:rPr>
            </w:pPr>
          </w:p>
          <w:p w14:paraId="0BBE8F6E" w14:textId="63736F2E" w:rsidR="00820141" w:rsidRPr="00940294" w:rsidRDefault="00820141" w:rsidP="00875B32">
            <w:pPr>
              <w:jc w:val="center"/>
              <w:rPr>
                <w:rFonts w:ascii="Marianne" w:eastAsia="Times New Roman" w:hAnsi="Marianne" w:cs="Arial"/>
                <w:b/>
                <w:bCs/>
                <w:kern w:val="0"/>
                <w:szCs w:val="20"/>
                <w:lang w:eastAsia="ar-SA"/>
              </w:rPr>
            </w:pPr>
            <w:r w:rsidRPr="00940294">
              <w:rPr>
                <w:rFonts w:ascii="Marianne" w:eastAsia="Times New Roman" w:hAnsi="Marianne" w:cs="Arial"/>
                <w:b/>
                <w:bCs/>
                <w:kern w:val="0"/>
                <w:szCs w:val="20"/>
                <w:lang w:eastAsia="ar-SA"/>
              </w:rPr>
              <w:t>CADRE DE REPONSE TECHNIQUE</w:t>
            </w:r>
            <w:r w:rsidR="0036686B" w:rsidRPr="00940294">
              <w:rPr>
                <w:rFonts w:ascii="Marianne" w:eastAsia="Times New Roman" w:hAnsi="Marianne" w:cs="Arial"/>
                <w:b/>
                <w:bCs/>
                <w:kern w:val="0"/>
                <w:szCs w:val="20"/>
                <w:lang w:eastAsia="ar-SA"/>
              </w:rPr>
              <w:t xml:space="preserve"> </w:t>
            </w:r>
          </w:p>
          <w:p w14:paraId="289121C4" w14:textId="77777777" w:rsidR="00820141" w:rsidRPr="00940294" w:rsidRDefault="00820141" w:rsidP="00875B32">
            <w:pPr>
              <w:jc w:val="center"/>
              <w:rPr>
                <w:rFonts w:ascii="Marianne" w:eastAsia="Times New Roman" w:hAnsi="Marianne" w:cs="Arial"/>
                <w:b/>
                <w:bCs/>
                <w:kern w:val="0"/>
                <w:sz w:val="20"/>
                <w:szCs w:val="20"/>
                <w:lang w:eastAsia="ar-SA"/>
              </w:rPr>
            </w:pPr>
          </w:p>
        </w:tc>
      </w:tr>
      <w:tr w:rsidR="00820141" w:rsidRPr="00940294" w14:paraId="6E04E9D0" w14:textId="77777777" w:rsidTr="008845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70" w:type="dxa"/>
            <w:gridSpan w:val="2"/>
            <w:tcBorders>
              <w:top w:val="single" w:sz="1" w:space="0" w:color="000000"/>
              <w:bottom w:val="single" w:sz="1" w:space="0" w:color="000000"/>
            </w:tcBorders>
            <w:shd w:val="clear" w:color="auto" w:fill="auto"/>
          </w:tcPr>
          <w:p w14:paraId="574B8DCB" w14:textId="77777777" w:rsidR="00820141" w:rsidRPr="00940294" w:rsidRDefault="00820141" w:rsidP="00875B32">
            <w:pPr>
              <w:snapToGrid w:val="0"/>
              <w:jc w:val="center"/>
              <w:rPr>
                <w:rFonts w:ascii="Marianne" w:eastAsia="Times New Roman" w:hAnsi="Marianne" w:cs="Arial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26" w:type="dxa"/>
            <w:shd w:val="clear" w:color="auto" w:fill="auto"/>
          </w:tcPr>
          <w:p w14:paraId="088B95F7" w14:textId="77777777" w:rsidR="00820141" w:rsidRPr="00940294" w:rsidRDefault="00820141" w:rsidP="00875B32">
            <w:pPr>
              <w:snapToGrid w:val="0"/>
              <w:jc w:val="center"/>
              <w:rPr>
                <w:rFonts w:ascii="Marianne" w:eastAsia="Times New Roman" w:hAnsi="Marianne" w:cs="Arial"/>
                <w:b/>
                <w:bCs/>
                <w:kern w:val="0"/>
                <w:sz w:val="20"/>
                <w:szCs w:val="20"/>
                <w:u w:val="single"/>
                <w:lang w:eastAsia="ar-SA"/>
              </w:rPr>
            </w:pPr>
          </w:p>
        </w:tc>
      </w:tr>
      <w:tr w:rsidR="00820141" w:rsidRPr="00940294" w14:paraId="00C89302" w14:textId="77777777" w:rsidTr="008845AB">
        <w:tc>
          <w:tcPr>
            <w:tcW w:w="2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8ABC89" w14:textId="3066588A" w:rsidR="00820141" w:rsidRPr="00940294" w:rsidRDefault="00820141" w:rsidP="00875B32">
            <w:pPr>
              <w:snapToGrid w:val="0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20"/>
                <w:szCs w:val="20"/>
                <w:u w:val="single"/>
                <w:lang w:eastAsia="ar-SA"/>
              </w:rPr>
            </w:pPr>
            <w:r w:rsidRPr="00940294">
              <w:rPr>
                <w:rFonts w:ascii="Marianne" w:eastAsia="Times New Roman" w:hAnsi="Marianne" w:cs="Arial"/>
                <w:b/>
                <w:bCs/>
                <w:kern w:val="0"/>
                <w:sz w:val="20"/>
                <w:szCs w:val="20"/>
                <w:u w:val="single"/>
                <w:lang w:eastAsia="ar-SA"/>
              </w:rPr>
              <w:t xml:space="preserve">Objet </w:t>
            </w:r>
            <w:r w:rsidR="006F4EFF" w:rsidRPr="00940294">
              <w:rPr>
                <w:rFonts w:ascii="Marianne" w:eastAsia="Times New Roman" w:hAnsi="Marianne" w:cs="Arial"/>
                <w:b/>
                <w:bCs/>
                <w:kern w:val="0"/>
                <w:sz w:val="20"/>
                <w:szCs w:val="20"/>
                <w:u w:val="single"/>
                <w:lang w:eastAsia="ar-SA"/>
              </w:rPr>
              <w:t>de l’accord-cadre</w:t>
            </w:r>
            <w:r w:rsidRPr="00940294">
              <w:rPr>
                <w:rFonts w:ascii="Marianne" w:eastAsia="Times New Roman" w:hAnsi="Marianne" w:cs="Arial"/>
                <w:b/>
                <w:bCs/>
                <w:kern w:val="0"/>
                <w:sz w:val="20"/>
                <w:szCs w:val="20"/>
                <w:lang w:eastAsia="ar-SA"/>
              </w:rPr>
              <w:t xml:space="preserve"> :</w:t>
            </w:r>
          </w:p>
          <w:p w14:paraId="5E6FA3DE" w14:textId="77777777" w:rsidR="00820141" w:rsidRPr="00940294" w:rsidRDefault="00820141" w:rsidP="00875B32">
            <w:pPr>
              <w:snapToGrid w:val="0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20"/>
                <w:szCs w:val="20"/>
                <w:u w:val="single"/>
                <w:lang w:eastAsia="ar-SA"/>
              </w:rPr>
            </w:pPr>
          </w:p>
          <w:p w14:paraId="62A0BEEB" w14:textId="77777777" w:rsidR="002D7399" w:rsidRPr="00940294" w:rsidRDefault="002D7399" w:rsidP="00875B32">
            <w:pPr>
              <w:snapToGrid w:val="0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20"/>
                <w:szCs w:val="20"/>
                <w:u w:val="single"/>
                <w:lang w:eastAsia="ar-SA"/>
              </w:rPr>
            </w:pPr>
          </w:p>
          <w:p w14:paraId="2E7D982C" w14:textId="77777777" w:rsidR="00063DA2" w:rsidRPr="00940294" w:rsidRDefault="00063DA2" w:rsidP="00875B32">
            <w:pPr>
              <w:snapToGrid w:val="0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20"/>
                <w:szCs w:val="20"/>
                <w:u w:val="single"/>
                <w:lang w:eastAsia="ar-SA"/>
              </w:rPr>
            </w:pPr>
          </w:p>
          <w:p w14:paraId="745E4643" w14:textId="77777777" w:rsidR="00063DA2" w:rsidRPr="00940294" w:rsidRDefault="00063DA2" w:rsidP="00875B32">
            <w:pPr>
              <w:snapToGrid w:val="0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20"/>
                <w:szCs w:val="20"/>
                <w:u w:val="single"/>
                <w:lang w:eastAsia="ar-SA"/>
              </w:rPr>
            </w:pPr>
          </w:p>
          <w:p w14:paraId="59644CFE" w14:textId="77777777" w:rsidR="008B3920" w:rsidRPr="00940294" w:rsidRDefault="008B3920" w:rsidP="00875B32">
            <w:pPr>
              <w:snapToGrid w:val="0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20"/>
                <w:szCs w:val="20"/>
                <w:u w:val="single"/>
                <w:lang w:eastAsia="ar-SA"/>
              </w:rPr>
            </w:pPr>
          </w:p>
          <w:p w14:paraId="627580D6" w14:textId="77777777" w:rsidR="002C4328" w:rsidRPr="00940294" w:rsidRDefault="002C4328" w:rsidP="00875B32">
            <w:pPr>
              <w:snapToGrid w:val="0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20"/>
                <w:szCs w:val="20"/>
                <w:u w:val="single"/>
                <w:lang w:eastAsia="ar-SA"/>
              </w:rPr>
            </w:pPr>
          </w:p>
          <w:p w14:paraId="3601E324" w14:textId="77777777" w:rsidR="002C4328" w:rsidRPr="00940294" w:rsidRDefault="002C4328" w:rsidP="00875B32">
            <w:pPr>
              <w:snapToGrid w:val="0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20"/>
                <w:szCs w:val="20"/>
                <w:u w:val="single"/>
                <w:lang w:eastAsia="ar-SA"/>
              </w:rPr>
            </w:pPr>
          </w:p>
          <w:p w14:paraId="7BEE5C27" w14:textId="3CA58C3D" w:rsidR="00820141" w:rsidRPr="00940294" w:rsidRDefault="00820141" w:rsidP="00875B32">
            <w:pPr>
              <w:snapToGrid w:val="0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20"/>
                <w:szCs w:val="20"/>
                <w:u w:val="single"/>
                <w:lang w:eastAsia="ar-SA"/>
              </w:rPr>
            </w:pPr>
            <w:r w:rsidRPr="00940294">
              <w:rPr>
                <w:rFonts w:ascii="Marianne" w:eastAsia="Times New Roman" w:hAnsi="Marianne" w:cs="Arial"/>
                <w:b/>
                <w:bCs/>
                <w:kern w:val="0"/>
                <w:sz w:val="20"/>
                <w:szCs w:val="20"/>
                <w:u w:val="single"/>
                <w:lang w:eastAsia="ar-SA"/>
              </w:rPr>
              <w:t>N° de la consultation</w:t>
            </w:r>
            <w:r w:rsidRPr="00940294">
              <w:rPr>
                <w:rFonts w:ascii="Marianne" w:eastAsia="Times New Roman" w:hAnsi="Marianne" w:cs="Arial"/>
                <w:b/>
                <w:bCs/>
                <w:kern w:val="0"/>
                <w:sz w:val="20"/>
                <w:szCs w:val="20"/>
                <w:lang w:eastAsia="ar-SA"/>
              </w:rPr>
              <w:t> :</w:t>
            </w:r>
          </w:p>
          <w:p w14:paraId="3175CB96" w14:textId="77777777" w:rsidR="002D7399" w:rsidRPr="00940294" w:rsidRDefault="002D7399" w:rsidP="00820141">
            <w:pPr>
              <w:snapToGrid w:val="0"/>
              <w:jc w:val="both"/>
              <w:rPr>
                <w:rFonts w:ascii="Marianne" w:eastAsia="Times New Roman" w:hAnsi="Marianne" w:cs="Arial"/>
                <w:b/>
                <w:bCs/>
                <w:kern w:val="0"/>
                <w:sz w:val="20"/>
                <w:szCs w:val="20"/>
                <w:u w:val="single"/>
                <w:lang w:eastAsia="ar-SA"/>
              </w:rPr>
            </w:pPr>
          </w:p>
          <w:p w14:paraId="02524293" w14:textId="6F0DF58A" w:rsidR="00820141" w:rsidRPr="00940294" w:rsidRDefault="00820141" w:rsidP="00820141">
            <w:pPr>
              <w:snapToGrid w:val="0"/>
              <w:jc w:val="both"/>
              <w:rPr>
                <w:rFonts w:ascii="Marianne" w:eastAsia="Times New Roman" w:hAnsi="Marianne" w:cs="Arial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6561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DF168CC" w14:textId="203189E8" w:rsidR="00B4454F" w:rsidRPr="00934573" w:rsidRDefault="00934573" w:rsidP="00063DA2">
            <w:pPr>
              <w:snapToGrid w:val="0"/>
              <w:jc w:val="both"/>
              <w:rPr>
                <w:rFonts w:ascii="Marianne" w:eastAsia="Times New Roman" w:hAnsi="Marianne" w:cs="Arial"/>
                <w:kern w:val="0"/>
                <w:sz w:val="20"/>
                <w:szCs w:val="20"/>
                <w:lang w:eastAsia="ar-SA"/>
              </w:rPr>
            </w:pPr>
            <w:r w:rsidRPr="00934573">
              <w:rPr>
                <w:rFonts w:ascii="Marianne" w:eastAsia="Times New Roman" w:hAnsi="Marianne" w:cs="Arial"/>
                <w:kern w:val="0"/>
                <w:sz w:val="20"/>
                <w:szCs w:val="20"/>
                <w:lang w:val="fr" w:eastAsia="ar-SA"/>
              </w:rPr>
              <w:t>Production d’un bar</w:t>
            </w:r>
            <w:r>
              <w:rPr>
                <w:rFonts w:ascii="Marianne" w:eastAsia="Times New Roman" w:hAnsi="Marianne" w:cs="Arial"/>
                <w:kern w:val="0"/>
                <w:sz w:val="20"/>
                <w:szCs w:val="20"/>
                <w:lang w:val="fr" w:eastAsia="ar-SA"/>
              </w:rPr>
              <w:t>o</w:t>
            </w:r>
            <w:r w:rsidRPr="00934573">
              <w:rPr>
                <w:rFonts w:ascii="Marianne" w:eastAsia="Times New Roman" w:hAnsi="Marianne" w:cs="Arial"/>
                <w:kern w:val="0"/>
                <w:sz w:val="20"/>
                <w:szCs w:val="20"/>
                <w:lang w:val="fr" w:eastAsia="ar-SA"/>
              </w:rPr>
              <w:t>m</w:t>
            </w:r>
            <w:r>
              <w:rPr>
                <w:rFonts w:ascii="Marianne" w:eastAsia="Times New Roman" w:hAnsi="Marianne" w:cs="Arial"/>
                <w:kern w:val="0"/>
                <w:sz w:val="20"/>
                <w:szCs w:val="20"/>
                <w:lang w:val="fr" w:eastAsia="ar-SA"/>
              </w:rPr>
              <w:t>è</w:t>
            </w:r>
            <w:r w:rsidRPr="00934573">
              <w:rPr>
                <w:rFonts w:ascii="Marianne" w:eastAsia="Times New Roman" w:hAnsi="Marianne" w:cs="Arial"/>
                <w:kern w:val="0"/>
                <w:sz w:val="20"/>
                <w:szCs w:val="20"/>
                <w:lang w:val="fr" w:eastAsia="ar-SA"/>
              </w:rPr>
              <w:t>tre annuel des discriminations dans l’acc</w:t>
            </w:r>
            <w:r>
              <w:rPr>
                <w:rFonts w:ascii="Marianne" w:eastAsia="Times New Roman" w:hAnsi="Marianne" w:cs="Arial"/>
                <w:kern w:val="0"/>
                <w:sz w:val="20"/>
                <w:szCs w:val="20"/>
                <w:lang w:val="fr" w:eastAsia="ar-SA"/>
              </w:rPr>
              <w:t>è</w:t>
            </w:r>
            <w:r w:rsidRPr="00934573">
              <w:rPr>
                <w:rFonts w:ascii="Marianne" w:eastAsia="Times New Roman" w:hAnsi="Marianne" w:cs="Arial"/>
                <w:kern w:val="0"/>
                <w:sz w:val="20"/>
                <w:szCs w:val="20"/>
                <w:lang w:val="fr" w:eastAsia="ar-SA"/>
              </w:rPr>
              <w:t xml:space="preserve">s </w:t>
            </w:r>
            <w:r>
              <w:rPr>
                <w:rFonts w:ascii="Marianne" w:eastAsia="Times New Roman" w:hAnsi="Marianne" w:cs="Arial"/>
                <w:kern w:val="0"/>
                <w:sz w:val="20"/>
                <w:szCs w:val="20"/>
                <w:lang w:val="fr" w:eastAsia="ar-SA"/>
              </w:rPr>
              <w:t>à</w:t>
            </w:r>
            <w:r w:rsidRPr="00934573">
              <w:rPr>
                <w:rFonts w:ascii="Marianne" w:eastAsia="Times New Roman" w:hAnsi="Marianne" w:cs="Arial"/>
                <w:kern w:val="0"/>
                <w:sz w:val="20"/>
                <w:szCs w:val="20"/>
                <w:lang w:val="fr" w:eastAsia="ar-SA"/>
              </w:rPr>
              <w:t xml:space="preserve"> l’emploi pour la </w:t>
            </w:r>
            <w:r>
              <w:rPr>
                <w:rFonts w:ascii="Marianne" w:eastAsia="Times New Roman" w:hAnsi="Marianne" w:cs="Arial"/>
                <w:kern w:val="0"/>
                <w:sz w:val="20"/>
                <w:szCs w:val="20"/>
                <w:lang w:val="fr" w:eastAsia="ar-SA"/>
              </w:rPr>
              <w:t>DILCRAH</w:t>
            </w:r>
          </w:p>
          <w:p w14:paraId="68B29BA4" w14:textId="61328BD7" w:rsidR="00B4454F" w:rsidRPr="00940294" w:rsidRDefault="00B4454F" w:rsidP="00063DA2">
            <w:pPr>
              <w:snapToGrid w:val="0"/>
              <w:jc w:val="both"/>
              <w:rPr>
                <w:rFonts w:ascii="Marianne" w:eastAsia="Times New Roman" w:hAnsi="Marianne" w:cs="Arial"/>
                <w:kern w:val="0"/>
                <w:sz w:val="20"/>
                <w:szCs w:val="20"/>
                <w:lang w:eastAsia="ar-SA"/>
              </w:rPr>
            </w:pPr>
          </w:p>
          <w:p w14:paraId="6B2BAA45" w14:textId="326AEFD7" w:rsidR="00B4454F" w:rsidRPr="00940294" w:rsidRDefault="00B4454F" w:rsidP="00063DA2">
            <w:pPr>
              <w:snapToGrid w:val="0"/>
              <w:jc w:val="both"/>
              <w:rPr>
                <w:rFonts w:ascii="Marianne" w:eastAsia="Times New Roman" w:hAnsi="Marianne" w:cs="Arial"/>
                <w:kern w:val="0"/>
                <w:sz w:val="20"/>
                <w:szCs w:val="20"/>
                <w:lang w:eastAsia="ar-SA"/>
              </w:rPr>
            </w:pPr>
          </w:p>
          <w:p w14:paraId="4B7FE2FF" w14:textId="77777777" w:rsidR="00B4454F" w:rsidRPr="00940294" w:rsidRDefault="00B4454F" w:rsidP="00063DA2">
            <w:pPr>
              <w:snapToGrid w:val="0"/>
              <w:jc w:val="both"/>
              <w:rPr>
                <w:rFonts w:ascii="Marianne" w:eastAsia="Times New Roman" w:hAnsi="Marianne" w:cs="Arial"/>
                <w:kern w:val="0"/>
                <w:sz w:val="20"/>
                <w:szCs w:val="20"/>
                <w:lang w:eastAsia="ar-SA"/>
              </w:rPr>
            </w:pPr>
          </w:p>
          <w:p w14:paraId="1CB060F7" w14:textId="77777777" w:rsidR="00940294" w:rsidRDefault="00940294" w:rsidP="005B1F24">
            <w:pPr>
              <w:snapToGrid w:val="0"/>
              <w:rPr>
                <w:rFonts w:ascii="Marianne" w:eastAsia="Times New Roman" w:hAnsi="Marianne" w:cs="Arial"/>
                <w:kern w:val="0"/>
                <w:sz w:val="20"/>
                <w:szCs w:val="20"/>
                <w:lang w:eastAsia="ar-SA"/>
              </w:rPr>
            </w:pPr>
          </w:p>
          <w:p w14:paraId="6B2C40F0" w14:textId="77777777" w:rsidR="00940294" w:rsidRDefault="00940294" w:rsidP="005B1F24">
            <w:pPr>
              <w:snapToGrid w:val="0"/>
              <w:rPr>
                <w:rFonts w:ascii="Marianne" w:eastAsia="Times New Roman" w:hAnsi="Marianne" w:cs="Arial"/>
                <w:kern w:val="0"/>
                <w:sz w:val="20"/>
                <w:szCs w:val="20"/>
                <w:lang w:eastAsia="ar-SA"/>
              </w:rPr>
            </w:pPr>
          </w:p>
          <w:p w14:paraId="1885DFDB" w14:textId="77777777" w:rsidR="00934573" w:rsidRDefault="00934573" w:rsidP="005B1F24">
            <w:pPr>
              <w:snapToGrid w:val="0"/>
              <w:rPr>
                <w:rFonts w:ascii="Marianne" w:eastAsia="Times New Roman" w:hAnsi="Marianne" w:cs="Arial"/>
                <w:kern w:val="0"/>
                <w:sz w:val="20"/>
                <w:szCs w:val="20"/>
                <w:lang w:eastAsia="ar-SA"/>
              </w:rPr>
            </w:pPr>
          </w:p>
          <w:p w14:paraId="2A0AF0E7" w14:textId="3F979AD1" w:rsidR="00820141" w:rsidRPr="00940294" w:rsidRDefault="00940294" w:rsidP="005B1F24">
            <w:pPr>
              <w:snapToGrid w:val="0"/>
              <w:rPr>
                <w:rFonts w:ascii="Marianne" w:eastAsia="Times New Roman" w:hAnsi="Marianne" w:cs="Arial"/>
                <w:kern w:val="0"/>
                <w:sz w:val="20"/>
                <w:szCs w:val="20"/>
                <w:lang w:eastAsia="ar-SA"/>
              </w:rPr>
            </w:pPr>
            <w:r>
              <w:rPr>
                <w:rFonts w:ascii="Marianne" w:eastAsia="Times New Roman" w:hAnsi="Marianne" w:cs="Arial"/>
                <w:kern w:val="0"/>
                <w:sz w:val="20"/>
                <w:szCs w:val="20"/>
                <w:lang w:eastAsia="ar-SA"/>
              </w:rPr>
              <w:t>24</w:t>
            </w:r>
            <w:r w:rsidR="005B1F24" w:rsidRPr="00940294">
              <w:rPr>
                <w:rFonts w:ascii="Marianne" w:eastAsia="Times New Roman" w:hAnsi="Marianne" w:cs="Arial"/>
                <w:kern w:val="0"/>
                <w:sz w:val="20"/>
                <w:szCs w:val="20"/>
                <w:lang w:eastAsia="ar-SA"/>
              </w:rPr>
              <w:t>_BAM_7</w:t>
            </w:r>
            <w:r w:rsidR="00934573">
              <w:rPr>
                <w:rFonts w:ascii="Marianne" w:eastAsia="Times New Roman" w:hAnsi="Marianne" w:cs="Arial"/>
                <w:kern w:val="0"/>
                <w:sz w:val="20"/>
                <w:szCs w:val="20"/>
                <w:lang w:eastAsia="ar-SA"/>
              </w:rPr>
              <w:t>19</w:t>
            </w:r>
          </w:p>
        </w:tc>
      </w:tr>
      <w:tr w:rsidR="00820141" w:rsidRPr="00940294" w14:paraId="687B55B9" w14:textId="77777777" w:rsidTr="008845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70" w:type="dxa"/>
            <w:gridSpan w:val="2"/>
            <w:tcBorders>
              <w:top w:val="single" w:sz="1" w:space="0" w:color="000000"/>
              <w:bottom w:val="single" w:sz="1" w:space="0" w:color="000000"/>
            </w:tcBorders>
            <w:shd w:val="clear" w:color="auto" w:fill="auto"/>
          </w:tcPr>
          <w:p w14:paraId="29BC52F9" w14:textId="77777777" w:rsidR="00820141" w:rsidRPr="00940294" w:rsidRDefault="00820141" w:rsidP="00875B32">
            <w:pPr>
              <w:snapToGrid w:val="0"/>
              <w:jc w:val="center"/>
              <w:rPr>
                <w:rFonts w:ascii="Marianne" w:eastAsia="Times New Roman" w:hAnsi="Marianne" w:cs="Arial"/>
                <w:kern w:val="0"/>
                <w:sz w:val="20"/>
                <w:szCs w:val="20"/>
                <w:lang w:eastAsia="ar-SA"/>
              </w:rPr>
            </w:pPr>
          </w:p>
        </w:tc>
        <w:tc>
          <w:tcPr>
            <w:tcW w:w="26" w:type="dxa"/>
            <w:shd w:val="clear" w:color="auto" w:fill="auto"/>
          </w:tcPr>
          <w:p w14:paraId="38C7EA7B" w14:textId="77777777" w:rsidR="00820141" w:rsidRPr="00940294" w:rsidRDefault="00820141" w:rsidP="00875B32">
            <w:pPr>
              <w:snapToGrid w:val="0"/>
              <w:jc w:val="center"/>
              <w:rPr>
                <w:rFonts w:ascii="Marianne" w:eastAsia="Times New Roman" w:hAnsi="Marianne" w:cs="Arial"/>
                <w:b/>
                <w:kern w:val="0"/>
                <w:sz w:val="20"/>
                <w:szCs w:val="20"/>
                <w:u w:val="single"/>
                <w:lang w:eastAsia="ar-SA"/>
              </w:rPr>
            </w:pPr>
          </w:p>
        </w:tc>
      </w:tr>
      <w:tr w:rsidR="00820141" w:rsidRPr="00940294" w14:paraId="1A56F043" w14:textId="77777777" w:rsidTr="008845AB">
        <w:tc>
          <w:tcPr>
            <w:tcW w:w="2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94850E" w14:textId="77777777" w:rsidR="00820141" w:rsidRPr="00940294" w:rsidRDefault="00820141" w:rsidP="00875B32">
            <w:pPr>
              <w:snapToGrid w:val="0"/>
              <w:rPr>
                <w:rFonts w:ascii="Marianne" w:eastAsia="Times New Roman" w:hAnsi="Marianne" w:cs="Arial"/>
                <w:b/>
                <w:kern w:val="0"/>
                <w:sz w:val="20"/>
                <w:szCs w:val="20"/>
                <w:u w:val="single"/>
                <w:lang w:eastAsia="ar-SA"/>
              </w:rPr>
            </w:pPr>
            <w:r w:rsidRPr="00940294">
              <w:rPr>
                <w:rFonts w:ascii="Marianne" w:eastAsia="Times New Roman" w:hAnsi="Marianne" w:cs="Arial"/>
                <w:b/>
                <w:kern w:val="0"/>
                <w:sz w:val="20"/>
                <w:szCs w:val="20"/>
                <w:u w:val="single"/>
                <w:lang w:eastAsia="ar-SA"/>
              </w:rPr>
              <w:t>Personne Publique contractante</w:t>
            </w:r>
            <w:r w:rsidRPr="00940294">
              <w:rPr>
                <w:rFonts w:ascii="Marianne" w:eastAsia="Times New Roman" w:hAnsi="Marianne" w:cs="Arial"/>
                <w:b/>
                <w:kern w:val="0"/>
                <w:sz w:val="20"/>
                <w:szCs w:val="20"/>
                <w:lang w:eastAsia="ar-SA"/>
              </w:rPr>
              <w:t xml:space="preserve"> :</w:t>
            </w:r>
          </w:p>
        </w:tc>
        <w:tc>
          <w:tcPr>
            <w:tcW w:w="6561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99795D" w14:textId="77777777" w:rsidR="008845AB" w:rsidRPr="00940294" w:rsidRDefault="008845AB" w:rsidP="008845AB">
            <w:pPr>
              <w:snapToGrid w:val="0"/>
              <w:rPr>
                <w:rFonts w:ascii="Marianne" w:eastAsia="Times New Roman" w:hAnsi="Marianne" w:cs="Arial"/>
                <w:kern w:val="0"/>
                <w:sz w:val="20"/>
                <w:szCs w:val="20"/>
                <w:lang w:eastAsia="ar-SA"/>
              </w:rPr>
            </w:pPr>
            <w:r w:rsidRPr="00940294">
              <w:rPr>
                <w:rFonts w:ascii="Marianne" w:eastAsia="Times New Roman" w:hAnsi="Marianne" w:cs="Arial"/>
                <w:kern w:val="0"/>
                <w:sz w:val="20"/>
                <w:szCs w:val="20"/>
                <w:lang w:eastAsia="ar-SA"/>
              </w:rPr>
              <w:t xml:space="preserve">L’Etat représenté par : </w:t>
            </w:r>
          </w:p>
          <w:p w14:paraId="47D19650" w14:textId="77777777" w:rsidR="008845AB" w:rsidRPr="00940294" w:rsidRDefault="008845AB" w:rsidP="008845AB">
            <w:pPr>
              <w:snapToGrid w:val="0"/>
              <w:rPr>
                <w:rFonts w:ascii="Marianne" w:eastAsia="Times New Roman" w:hAnsi="Marianne" w:cs="Arial"/>
                <w:kern w:val="0"/>
                <w:sz w:val="20"/>
                <w:szCs w:val="20"/>
                <w:lang w:eastAsia="ar-SA"/>
              </w:rPr>
            </w:pPr>
            <w:r w:rsidRPr="00940294">
              <w:rPr>
                <w:rFonts w:ascii="Marianne" w:eastAsia="Times New Roman" w:hAnsi="Marianne" w:cs="Arial"/>
                <w:kern w:val="0"/>
                <w:sz w:val="20"/>
                <w:szCs w:val="20"/>
                <w:lang w:eastAsia="ar-SA"/>
              </w:rPr>
              <w:t>La Direction des services administratifs et financiers (DSAF) du Secrétariat Général du Gouvernement</w:t>
            </w:r>
          </w:p>
          <w:p w14:paraId="4C4BFDDD" w14:textId="7517EA7D" w:rsidR="00820141" w:rsidRPr="00940294" w:rsidRDefault="008845AB" w:rsidP="008845AB">
            <w:pPr>
              <w:snapToGrid w:val="0"/>
              <w:rPr>
                <w:rFonts w:ascii="Marianne" w:eastAsia="Times New Roman" w:hAnsi="Marianne" w:cs="Arial"/>
                <w:kern w:val="0"/>
                <w:sz w:val="20"/>
                <w:szCs w:val="20"/>
                <w:lang w:eastAsia="ar-SA"/>
              </w:rPr>
            </w:pPr>
            <w:r w:rsidRPr="00940294">
              <w:rPr>
                <w:rFonts w:ascii="Marianne" w:eastAsia="Times New Roman" w:hAnsi="Marianne" w:cs="Arial"/>
                <w:kern w:val="0"/>
                <w:sz w:val="20"/>
                <w:szCs w:val="20"/>
                <w:lang w:eastAsia="ar-SA"/>
              </w:rPr>
              <w:t>20 avenue de Ségur – TSA 70723 – 75334 PARIS CEDEX 07</w:t>
            </w:r>
          </w:p>
        </w:tc>
      </w:tr>
    </w:tbl>
    <w:p w14:paraId="1B7B3C34" w14:textId="5FF07C8E" w:rsidR="00820141" w:rsidRPr="00940294" w:rsidRDefault="00820141" w:rsidP="00D5106D">
      <w:pPr>
        <w:rPr>
          <w:rFonts w:ascii="Marianne" w:eastAsia="Times New Roman" w:hAnsi="Marianne" w:cs="Arial"/>
          <w:b/>
          <w:kern w:val="0"/>
          <w:sz w:val="20"/>
          <w:szCs w:val="20"/>
          <w:lang w:eastAsia="fr-FR" w:bidi="ar-SA"/>
        </w:rPr>
      </w:pPr>
    </w:p>
    <w:p w14:paraId="27E748B3" w14:textId="0D03F888" w:rsidR="008845AB" w:rsidRPr="00940294" w:rsidRDefault="008845AB" w:rsidP="00D5106D">
      <w:pPr>
        <w:rPr>
          <w:rFonts w:ascii="Marianne" w:eastAsia="Times New Roman" w:hAnsi="Marianne" w:cs="Arial"/>
          <w:b/>
          <w:kern w:val="0"/>
          <w:sz w:val="20"/>
          <w:szCs w:val="20"/>
          <w:lang w:eastAsia="fr-FR" w:bidi="ar-SA"/>
        </w:rPr>
      </w:pPr>
    </w:p>
    <w:p w14:paraId="6C62253D" w14:textId="77777777" w:rsidR="008845AB" w:rsidRPr="00940294" w:rsidRDefault="008845AB" w:rsidP="00D5106D">
      <w:pPr>
        <w:rPr>
          <w:rFonts w:ascii="Marianne" w:eastAsia="Times New Roman" w:hAnsi="Marianne" w:cs="Arial"/>
          <w:b/>
          <w:kern w:val="0"/>
          <w:sz w:val="20"/>
          <w:szCs w:val="20"/>
          <w:lang w:eastAsia="fr-FR" w:bidi="ar-SA"/>
        </w:rPr>
      </w:pPr>
    </w:p>
    <w:p w14:paraId="61C16710" w14:textId="77777777" w:rsidR="00820141" w:rsidRPr="00940294" w:rsidRDefault="00820141" w:rsidP="00D5106D">
      <w:pPr>
        <w:rPr>
          <w:rFonts w:ascii="Marianne" w:eastAsia="Times New Roman" w:hAnsi="Marianne" w:cs="Arial"/>
          <w:b/>
          <w:kern w:val="0"/>
          <w:sz w:val="20"/>
          <w:szCs w:val="20"/>
          <w:lang w:eastAsia="fr-FR" w:bidi="ar-SA"/>
        </w:rPr>
      </w:pPr>
    </w:p>
    <w:p w14:paraId="539BB84A" w14:textId="0EE17537" w:rsidR="00820141" w:rsidRPr="00940294" w:rsidRDefault="00820141" w:rsidP="00C4314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center" w:pos="1701"/>
        </w:tabs>
        <w:jc w:val="center"/>
        <w:rPr>
          <w:rFonts w:ascii="Marianne" w:eastAsia="Times New Roman" w:hAnsi="Marianne" w:cs="Arial"/>
          <w:i/>
          <w:kern w:val="0"/>
          <w:sz w:val="20"/>
          <w:szCs w:val="20"/>
          <w:lang w:eastAsia="fr-FR"/>
        </w:rPr>
      </w:pPr>
      <w:r w:rsidRPr="00940294">
        <w:rPr>
          <w:rFonts w:ascii="Marianne" w:eastAsia="Times New Roman" w:hAnsi="Marianne" w:cs="Arial"/>
          <w:i/>
          <w:kern w:val="0"/>
          <w:sz w:val="20"/>
          <w:szCs w:val="20"/>
          <w:lang w:eastAsia="fr-FR"/>
        </w:rPr>
        <w:t>Le présent document co</w:t>
      </w:r>
      <w:r w:rsidR="00940294">
        <w:rPr>
          <w:rFonts w:ascii="Marianne" w:eastAsia="Times New Roman" w:hAnsi="Marianne" w:cs="Arial"/>
          <w:i/>
          <w:kern w:val="0"/>
          <w:sz w:val="20"/>
          <w:szCs w:val="20"/>
          <w:lang w:eastAsia="fr-FR"/>
        </w:rPr>
        <w:t>nstitue la trame que le soumissionnaire</w:t>
      </w:r>
      <w:r w:rsidRPr="00940294">
        <w:rPr>
          <w:rFonts w:ascii="Marianne" w:eastAsia="Times New Roman" w:hAnsi="Marianne" w:cs="Arial"/>
          <w:i/>
          <w:kern w:val="0"/>
          <w:sz w:val="20"/>
          <w:szCs w:val="20"/>
          <w:lang w:eastAsia="fr-FR"/>
        </w:rPr>
        <w:t xml:space="preserve"> doit respecter pour la rédaction de son offre technique.</w:t>
      </w:r>
    </w:p>
    <w:p w14:paraId="17F9C2CE" w14:textId="77777777" w:rsidR="00820141" w:rsidRPr="00940294" w:rsidRDefault="00820141" w:rsidP="00C4314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60" w:after="60"/>
        <w:jc w:val="center"/>
        <w:rPr>
          <w:rFonts w:ascii="Marianne" w:eastAsia="Times New Roman" w:hAnsi="Marianne" w:cs="Arial"/>
          <w:i/>
          <w:kern w:val="0"/>
          <w:sz w:val="20"/>
          <w:szCs w:val="20"/>
          <w:lang w:eastAsia="fr-FR"/>
        </w:rPr>
      </w:pPr>
      <w:r w:rsidRPr="00940294">
        <w:rPr>
          <w:rFonts w:ascii="Marianne" w:eastAsia="Times New Roman" w:hAnsi="Marianne" w:cs="Arial"/>
          <w:i/>
          <w:kern w:val="0"/>
          <w:sz w:val="20"/>
          <w:szCs w:val="20"/>
          <w:lang w:eastAsia="fr-FR"/>
        </w:rPr>
        <w:t>Les différentes rubriques doivent être complétées en respectant l'ordre et la numérotation. Aucune rubrique ne peut être modifiée, ajoutée ou supprimée.</w:t>
      </w:r>
    </w:p>
    <w:p w14:paraId="63B31D18" w14:textId="214E0B6F" w:rsidR="00820141" w:rsidRPr="00940294" w:rsidRDefault="00820141" w:rsidP="00C4314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60" w:after="60"/>
        <w:jc w:val="center"/>
        <w:rPr>
          <w:rFonts w:ascii="Marianne" w:eastAsia="Times New Roman" w:hAnsi="Marianne" w:cs="Arial"/>
          <w:i/>
          <w:kern w:val="0"/>
          <w:sz w:val="20"/>
          <w:szCs w:val="20"/>
          <w:lang w:eastAsia="fr-FR"/>
        </w:rPr>
      </w:pPr>
      <w:r w:rsidRPr="00940294">
        <w:rPr>
          <w:rFonts w:ascii="Marianne" w:eastAsia="Times New Roman" w:hAnsi="Marianne" w:cs="Arial"/>
          <w:i/>
          <w:kern w:val="0"/>
          <w:sz w:val="20"/>
          <w:szCs w:val="20"/>
          <w:lang w:eastAsia="fr-FR"/>
        </w:rPr>
        <w:t>Les différents items peuvent être complétés par toutes les pièces que le</w:t>
      </w:r>
      <w:r w:rsidR="00940294">
        <w:rPr>
          <w:rFonts w:ascii="Marianne" w:eastAsia="Times New Roman" w:hAnsi="Marianne" w:cs="Arial"/>
          <w:i/>
          <w:kern w:val="0"/>
          <w:sz w:val="20"/>
          <w:szCs w:val="20"/>
          <w:lang w:eastAsia="fr-FR"/>
        </w:rPr>
        <w:t xml:space="preserve"> soumissionnaire </w:t>
      </w:r>
      <w:r w:rsidRPr="00940294">
        <w:rPr>
          <w:rFonts w:ascii="Marianne" w:eastAsia="Times New Roman" w:hAnsi="Marianne" w:cs="Arial"/>
          <w:i/>
          <w:kern w:val="0"/>
          <w:sz w:val="20"/>
          <w:szCs w:val="20"/>
          <w:lang w:eastAsia="fr-FR"/>
        </w:rPr>
        <w:t>juge utile de joindre et pouvant aider à la compréhension de l’offre.</w:t>
      </w:r>
    </w:p>
    <w:p w14:paraId="69700DC3" w14:textId="7C106AB6" w:rsidR="00820141" w:rsidRPr="00940294" w:rsidRDefault="00820141" w:rsidP="00C4314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60" w:after="60"/>
        <w:jc w:val="center"/>
        <w:rPr>
          <w:rFonts w:ascii="Marianne" w:eastAsia="Times New Roman" w:hAnsi="Marianne" w:cs="Arial"/>
          <w:i/>
          <w:kern w:val="0"/>
          <w:sz w:val="20"/>
          <w:szCs w:val="20"/>
          <w:lang w:eastAsia="fr-FR"/>
        </w:rPr>
      </w:pPr>
      <w:r w:rsidRPr="00940294">
        <w:rPr>
          <w:rFonts w:ascii="Marianne" w:eastAsia="Times New Roman" w:hAnsi="Marianne" w:cs="Arial"/>
          <w:i/>
          <w:kern w:val="0"/>
          <w:sz w:val="20"/>
          <w:szCs w:val="20"/>
          <w:lang w:eastAsia="fr-FR"/>
        </w:rPr>
        <w:t xml:space="preserve">Ce cadre de réponse constitue un engagement du </w:t>
      </w:r>
      <w:r w:rsidR="00940294">
        <w:rPr>
          <w:rFonts w:ascii="Marianne" w:eastAsia="Times New Roman" w:hAnsi="Marianne" w:cs="Arial"/>
          <w:i/>
          <w:kern w:val="0"/>
          <w:sz w:val="20"/>
          <w:szCs w:val="20"/>
          <w:lang w:eastAsia="fr-FR"/>
        </w:rPr>
        <w:t>soumissionnaire.</w:t>
      </w:r>
    </w:p>
    <w:p w14:paraId="0ACCEF33" w14:textId="77777777" w:rsidR="00820141" w:rsidRPr="00940294" w:rsidRDefault="00820141" w:rsidP="00D5106D">
      <w:pPr>
        <w:rPr>
          <w:rFonts w:ascii="Marianne" w:hAnsi="Marianne" w:cs="Arial"/>
          <w:b/>
          <w:bCs/>
          <w:sz w:val="20"/>
          <w:szCs w:val="20"/>
        </w:rPr>
      </w:pPr>
    </w:p>
    <w:p w14:paraId="08CEE70C" w14:textId="77777777" w:rsidR="000D325C" w:rsidRPr="00940294" w:rsidRDefault="000D325C">
      <w:pPr>
        <w:rPr>
          <w:rFonts w:ascii="Marianne" w:hAnsi="Marianne" w:cs="Arial"/>
          <w:b/>
          <w:sz w:val="20"/>
          <w:szCs w:val="20"/>
        </w:rPr>
      </w:pPr>
      <w:r w:rsidRPr="00940294">
        <w:rPr>
          <w:rFonts w:ascii="Marianne" w:hAnsi="Marianne"/>
        </w:rPr>
        <w:br w:type="page"/>
      </w:r>
    </w:p>
    <w:p w14:paraId="12F0FD1B" w14:textId="504AEF59" w:rsidR="00D451E4" w:rsidRPr="00EF15AE" w:rsidRDefault="005B1F24" w:rsidP="00D451E4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rFonts w:ascii="Marianne" w:hAnsi="Marianne"/>
          <w:sz w:val="28"/>
          <w:szCs w:val="28"/>
        </w:rPr>
      </w:pPr>
      <w:r w:rsidRPr="00EF15AE">
        <w:rPr>
          <w:rFonts w:ascii="Marianne" w:hAnsi="Marianne"/>
          <w:sz w:val="28"/>
          <w:szCs w:val="28"/>
        </w:rPr>
        <w:lastRenderedPageBreak/>
        <w:t>Sous-c</w:t>
      </w:r>
      <w:r w:rsidR="00D451E4" w:rsidRPr="00EF15AE">
        <w:rPr>
          <w:rFonts w:ascii="Marianne" w:hAnsi="Marianne"/>
          <w:sz w:val="28"/>
          <w:szCs w:val="28"/>
        </w:rPr>
        <w:t xml:space="preserve">ritère 1 : </w:t>
      </w:r>
      <w:r w:rsidR="00934573" w:rsidRPr="00EF15AE">
        <w:rPr>
          <w:rFonts w:ascii="Marianne" w:hAnsi="Marianne"/>
          <w:sz w:val="28"/>
          <w:szCs w:val="28"/>
        </w:rPr>
        <w:t xml:space="preserve">Valeur des moyens humains dédiés </w:t>
      </w:r>
      <w:r w:rsidR="002C507B" w:rsidRPr="00EF15AE">
        <w:rPr>
          <w:rFonts w:ascii="Marianne" w:hAnsi="Marianne"/>
          <w:sz w:val="28"/>
          <w:szCs w:val="28"/>
        </w:rPr>
        <w:t>(2</w:t>
      </w:r>
      <w:r w:rsidR="00934573" w:rsidRPr="00EF15AE">
        <w:rPr>
          <w:rFonts w:ascii="Marianne" w:hAnsi="Marianne"/>
          <w:sz w:val="28"/>
          <w:szCs w:val="28"/>
        </w:rPr>
        <w:t>0</w:t>
      </w:r>
      <w:r w:rsidR="00404EE0" w:rsidRPr="00EF15AE">
        <w:rPr>
          <w:rFonts w:ascii="Marianne" w:hAnsi="Marianne"/>
          <w:sz w:val="28"/>
          <w:szCs w:val="28"/>
        </w:rPr>
        <w:t> </w:t>
      </w:r>
      <w:r w:rsidR="002C7DA4" w:rsidRPr="00EF15AE">
        <w:rPr>
          <w:rFonts w:ascii="Marianne" w:hAnsi="Marianne"/>
          <w:sz w:val="28"/>
          <w:szCs w:val="28"/>
        </w:rPr>
        <w:t>points)</w:t>
      </w:r>
    </w:p>
    <w:p w14:paraId="6DE1BA9B" w14:textId="77777777" w:rsidR="00E51513" w:rsidRPr="00940294" w:rsidRDefault="00E51513" w:rsidP="00E51513">
      <w:pPr>
        <w:pStyle w:val="Standard"/>
        <w:rPr>
          <w:rFonts w:ascii="Marianne" w:hAnsi="Marianne"/>
        </w:rPr>
      </w:pPr>
    </w:p>
    <w:p w14:paraId="36AA46AB" w14:textId="322966CD" w:rsidR="00D451E4" w:rsidRPr="00940294" w:rsidRDefault="002C7DA4" w:rsidP="00D451E4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rFonts w:ascii="Marianne" w:hAnsi="Marianne"/>
        </w:rPr>
      </w:pPr>
      <w:r w:rsidRPr="00940294">
        <w:rPr>
          <w:rFonts w:ascii="Marianne" w:hAnsi="Marianne"/>
        </w:rPr>
        <w:t>Item</w:t>
      </w:r>
      <w:r w:rsidR="00D451E4" w:rsidRPr="00940294">
        <w:rPr>
          <w:rFonts w:ascii="Marianne" w:hAnsi="Marianne"/>
        </w:rPr>
        <w:t xml:space="preserve"> 1.1 </w:t>
      </w:r>
      <w:r w:rsidR="00B25647">
        <w:rPr>
          <w:rFonts w:ascii="Marianne" w:hAnsi="Marianne"/>
        </w:rPr>
        <w:t>Equipe dédiée</w:t>
      </w:r>
      <w:r w:rsidR="00D451E4" w:rsidRPr="00940294">
        <w:rPr>
          <w:rFonts w:ascii="Marianne" w:hAnsi="Marianne"/>
        </w:rPr>
        <w:t xml:space="preserve"> </w:t>
      </w:r>
      <w:r w:rsidR="00876E97">
        <w:rPr>
          <w:rFonts w:ascii="Marianne" w:hAnsi="Marianne"/>
        </w:rPr>
        <w:t>pour les prestations d’études (U0 phases 1, 3 et 4)</w:t>
      </w:r>
    </w:p>
    <w:p w14:paraId="3D65DD05" w14:textId="3C53FD62" w:rsidR="00D451E4" w:rsidRPr="00940294" w:rsidRDefault="00D451E4" w:rsidP="00D451E4">
      <w:pPr>
        <w:autoSpaceDE w:val="0"/>
        <w:adjustRightInd w:val="0"/>
        <w:spacing w:line="276" w:lineRule="auto"/>
        <w:jc w:val="both"/>
        <w:rPr>
          <w:rFonts w:ascii="Marianne" w:hAnsi="Marianne" w:cs="Arial"/>
          <w:sz w:val="20"/>
          <w:szCs w:val="20"/>
        </w:rPr>
      </w:pPr>
      <w:r w:rsidRPr="00940294">
        <w:rPr>
          <w:rFonts w:ascii="Marianne" w:hAnsi="Marianne" w:cs="Arial"/>
          <w:sz w:val="20"/>
          <w:szCs w:val="20"/>
        </w:rPr>
        <w:t xml:space="preserve">Pour chaque type de prestation, le </w:t>
      </w:r>
      <w:r w:rsidR="00876E97">
        <w:rPr>
          <w:rFonts w:ascii="Marianne" w:hAnsi="Marianne" w:cs="Arial"/>
          <w:sz w:val="20"/>
          <w:szCs w:val="20"/>
        </w:rPr>
        <w:t>soumissionnaire</w:t>
      </w:r>
      <w:r w:rsidRPr="00940294">
        <w:rPr>
          <w:rFonts w:ascii="Marianne" w:hAnsi="Marianne" w:cs="Arial"/>
          <w:sz w:val="20"/>
          <w:szCs w:val="20"/>
        </w:rPr>
        <w:t xml:space="preserve"> présente la </w:t>
      </w:r>
      <w:r w:rsidR="00C96999">
        <w:rPr>
          <w:rFonts w:ascii="Marianne" w:hAnsi="Marianne" w:cs="Arial"/>
          <w:sz w:val="20"/>
          <w:szCs w:val="20"/>
        </w:rPr>
        <w:t>volumétrie,</w:t>
      </w:r>
      <w:r w:rsidR="00B25647">
        <w:rPr>
          <w:rFonts w:ascii="Marianne" w:hAnsi="Marianne" w:cs="Arial"/>
          <w:sz w:val="20"/>
          <w:szCs w:val="20"/>
        </w:rPr>
        <w:t xml:space="preserve"> la composition,</w:t>
      </w:r>
      <w:r w:rsidR="00C96999">
        <w:rPr>
          <w:rFonts w:ascii="Marianne" w:hAnsi="Marianne" w:cs="Arial"/>
          <w:sz w:val="20"/>
          <w:szCs w:val="20"/>
        </w:rPr>
        <w:t xml:space="preserve"> l’</w:t>
      </w:r>
      <w:r w:rsidR="00B25647">
        <w:rPr>
          <w:rFonts w:ascii="Marianne" w:hAnsi="Marianne" w:cs="Arial"/>
          <w:bCs/>
          <w:sz w:val="20"/>
          <w:szCs w:val="20"/>
        </w:rPr>
        <w:t>o</w:t>
      </w:r>
      <w:r w:rsidR="00C96999" w:rsidRPr="00C96999">
        <w:rPr>
          <w:rFonts w:ascii="Marianne" w:hAnsi="Marianne" w:cs="Arial"/>
          <w:bCs/>
          <w:sz w:val="20"/>
          <w:szCs w:val="20"/>
        </w:rPr>
        <w:t xml:space="preserve">rganisation et processus de travail </w:t>
      </w:r>
      <w:r w:rsidR="00C96999">
        <w:rPr>
          <w:rFonts w:ascii="Marianne" w:hAnsi="Marianne" w:cs="Arial"/>
          <w:sz w:val="20"/>
          <w:szCs w:val="20"/>
        </w:rPr>
        <w:t>de l’équipe dédiée.</w:t>
      </w:r>
    </w:p>
    <w:p w14:paraId="4363664C" w14:textId="77777777" w:rsidR="00C70343" w:rsidRPr="00940294" w:rsidRDefault="00C70343" w:rsidP="00C70343">
      <w:pPr>
        <w:spacing w:line="276" w:lineRule="auto"/>
        <w:jc w:val="both"/>
        <w:rPr>
          <w:rFonts w:ascii="Marianne" w:hAnsi="Marianne" w:cs="Arial"/>
          <w:sz w:val="20"/>
          <w:szCs w:val="20"/>
        </w:rPr>
      </w:pPr>
    </w:p>
    <w:p w14:paraId="70BAF34D" w14:textId="03B56E00" w:rsidR="00C70343" w:rsidRPr="00940294" w:rsidRDefault="002C7DA4" w:rsidP="005B1F24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rFonts w:ascii="Marianne" w:hAnsi="Marianne"/>
        </w:rPr>
      </w:pPr>
      <w:r w:rsidRPr="00940294">
        <w:rPr>
          <w:rFonts w:ascii="Marianne" w:hAnsi="Marianne"/>
        </w:rPr>
        <w:t>Item 1.2</w:t>
      </w:r>
      <w:r w:rsidR="00C70343" w:rsidRPr="00940294">
        <w:rPr>
          <w:rFonts w:ascii="Marianne" w:hAnsi="Marianne"/>
        </w:rPr>
        <w:t xml:space="preserve"> </w:t>
      </w:r>
      <w:r w:rsidR="00B25647">
        <w:rPr>
          <w:rFonts w:ascii="Marianne" w:hAnsi="Marianne"/>
        </w:rPr>
        <w:t>P</w:t>
      </w:r>
      <w:r w:rsidR="00876E97" w:rsidRPr="00940294">
        <w:rPr>
          <w:rFonts w:ascii="Marianne" w:hAnsi="Marianne"/>
        </w:rPr>
        <w:t xml:space="preserve">rofils des intervenants </w:t>
      </w:r>
      <w:r w:rsidR="00876E97">
        <w:rPr>
          <w:rFonts w:ascii="Marianne" w:hAnsi="Marianne"/>
        </w:rPr>
        <w:t>pour les prestations d’études (U0 phases 1, 3 et 4)</w:t>
      </w:r>
      <w:r w:rsidR="00B56EB6" w:rsidRPr="00940294">
        <w:rPr>
          <w:rFonts w:ascii="Marianne" w:hAnsi="Marianne"/>
        </w:rPr>
        <w:t xml:space="preserve"> </w:t>
      </w:r>
    </w:p>
    <w:p w14:paraId="35CCE087" w14:textId="03BBA238" w:rsidR="00C96999" w:rsidRPr="00940294" w:rsidRDefault="00C96999" w:rsidP="00C96999">
      <w:pPr>
        <w:autoSpaceDE w:val="0"/>
        <w:adjustRightInd w:val="0"/>
        <w:spacing w:line="276" w:lineRule="auto"/>
        <w:jc w:val="both"/>
        <w:rPr>
          <w:rFonts w:ascii="Marianne" w:hAnsi="Marianne" w:cs="Arial"/>
          <w:sz w:val="20"/>
          <w:szCs w:val="20"/>
        </w:rPr>
      </w:pPr>
      <w:r w:rsidRPr="00940294">
        <w:rPr>
          <w:rFonts w:ascii="Marianne" w:hAnsi="Marianne" w:cs="Arial"/>
          <w:sz w:val="20"/>
          <w:szCs w:val="20"/>
        </w:rPr>
        <w:t xml:space="preserve">Pour chaque type de prestation, le </w:t>
      </w:r>
      <w:r>
        <w:rPr>
          <w:rFonts w:ascii="Marianne" w:hAnsi="Marianne" w:cs="Arial"/>
          <w:sz w:val="20"/>
          <w:szCs w:val="20"/>
        </w:rPr>
        <w:t>soumissionnaire</w:t>
      </w:r>
      <w:r w:rsidRPr="00940294">
        <w:rPr>
          <w:rFonts w:ascii="Marianne" w:hAnsi="Marianne" w:cs="Arial"/>
          <w:sz w:val="20"/>
          <w:szCs w:val="20"/>
        </w:rPr>
        <w:t xml:space="preserve"> présente le profil des professionnels mobilisés. Il</w:t>
      </w:r>
      <w:r w:rsidR="00B25647">
        <w:rPr>
          <w:rFonts w:ascii="Marianne" w:hAnsi="Marianne" w:cs="Arial"/>
          <w:sz w:val="20"/>
          <w:szCs w:val="20"/>
        </w:rPr>
        <w:t xml:space="preserve"> </w:t>
      </w:r>
      <w:r w:rsidR="00B25647" w:rsidRPr="00940294">
        <w:rPr>
          <w:rFonts w:ascii="Marianne" w:hAnsi="Marianne" w:cs="Arial"/>
          <w:sz w:val="20"/>
          <w:szCs w:val="20"/>
        </w:rPr>
        <w:t>fournit les curriculums vitae</w:t>
      </w:r>
      <w:r w:rsidRPr="00940294">
        <w:rPr>
          <w:rFonts w:ascii="Marianne" w:hAnsi="Marianne" w:cs="Arial"/>
          <w:sz w:val="20"/>
          <w:szCs w:val="20"/>
        </w:rPr>
        <w:t xml:space="preserve"> détaill</w:t>
      </w:r>
      <w:r w:rsidR="00B25647">
        <w:rPr>
          <w:rFonts w:ascii="Marianne" w:hAnsi="Marianne" w:cs="Arial"/>
          <w:sz w:val="20"/>
          <w:szCs w:val="20"/>
        </w:rPr>
        <w:t>ant</w:t>
      </w:r>
      <w:r w:rsidRPr="00940294">
        <w:rPr>
          <w:rFonts w:ascii="Marianne" w:hAnsi="Marianne" w:cs="Arial"/>
          <w:sz w:val="20"/>
          <w:szCs w:val="20"/>
        </w:rPr>
        <w:t xml:space="preserve"> leurs qualifications, expériences et spécialisations dans les domaines d</w:t>
      </w:r>
      <w:r>
        <w:rPr>
          <w:rFonts w:ascii="Marianne" w:hAnsi="Marianne" w:cs="Arial"/>
          <w:sz w:val="20"/>
          <w:szCs w:val="20"/>
        </w:rPr>
        <w:t xml:space="preserve">e la recherche et/ou des études </w:t>
      </w:r>
      <w:r w:rsidR="00BC262B">
        <w:rPr>
          <w:rFonts w:ascii="Marianne" w:hAnsi="Marianne" w:cs="Arial"/>
          <w:sz w:val="20"/>
          <w:szCs w:val="20"/>
        </w:rPr>
        <w:t>socio-économiques</w:t>
      </w:r>
      <w:r w:rsidRPr="00940294">
        <w:rPr>
          <w:rFonts w:ascii="Marianne" w:hAnsi="Marianne" w:cs="Arial"/>
          <w:sz w:val="20"/>
          <w:szCs w:val="20"/>
        </w:rPr>
        <w:t>.</w:t>
      </w:r>
    </w:p>
    <w:p w14:paraId="79ED6F65" w14:textId="15BA889C" w:rsidR="002C7DA4" w:rsidRDefault="002C7DA4" w:rsidP="00C70343">
      <w:pPr>
        <w:spacing w:line="276" w:lineRule="auto"/>
        <w:jc w:val="both"/>
        <w:rPr>
          <w:rFonts w:ascii="Marianne" w:hAnsi="Marianne" w:cs="Arial"/>
          <w:sz w:val="20"/>
          <w:szCs w:val="20"/>
        </w:rPr>
      </w:pPr>
    </w:p>
    <w:p w14:paraId="35ECEDF1" w14:textId="0F2D6E71" w:rsidR="00C96999" w:rsidRPr="00940294" w:rsidRDefault="00C96999" w:rsidP="00C96999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rFonts w:ascii="Marianne" w:hAnsi="Marianne"/>
        </w:rPr>
      </w:pPr>
      <w:r w:rsidRPr="00940294">
        <w:rPr>
          <w:rFonts w:ascii="Marianne" w:hAnsi="Marianne"/>
        </w:rPr>
        <w:t>Item 1.</w:t>
      </w:r>
      <w:r>
        <w:rPr>
          <w:rFonts w:ascii="Marianne" w:hAnsi="Marianne"/>
        </w:rPr>
        <w:t>3</w:t>
      </w:r>
      <w:r w:rsidRPr="00940294">
        <w:rPr>
          <w:rFonts w:ascii="Marianne" w:hAnsi="Marianne"/>
        </w:rPr>
        <w:t xml:space="preserve"> </w:t>
      </w:r>
      <w:r w:rsidR="00B25647">
        <w:rPr>
          <w:rFonts w:ascii="Marianne" w:hAnsi="Marianne"/>
        </w:rPr>
        <w:t>Equipe dédiée</w:t>
      </w:r>
      <w:r w:rsidRPr="00940294">
        <w:rPr>
          <w:rFonts w:ascii="Marianne" w:hAnsi="Marianne"/>
        </w:rPr>
        <w:t xml:space="preserve"> </w:t>
      </w:r>
      <w:r>
        <w:rPr>
          <w:rFonts w:ascii="Marianne" w:hAnsi="Marianne"/>
        </w:rPr>
        <w:t xml:space="preserve">pour les prestations de </w:t>
      </w:r>
      <w:proofErr w:type="spellStart"/>
      <w:r>
        <w:rPr>
          <w:rFonts w:ascii="Marianne" w:hAnsi="Marianne"/>
        </w:rPr>
        <w:t>testing</w:t>
      </w:r>
      <w:proofErr w:type="spellEnd"/>
      <w:r>
        <w:rPr>
          <w:rFonts w:ascii="Marianne" w:hAnsi="Marianne"/>
        </w:rPr>
        <w:t xml:space="preserve"> (U0 phase 2)</w:t>
      </w:r>
    </w:p>
    <w:p w14:paraId="7F96CCF9" w14:textId="77777777" w:rsidR="00BC262B" w:rsidRPr="00940294" w:rsidRDefault="00BC262B" w:rsidP="00BC262B">
      <w:pPr>
        <w:autoSpaceDE w:val="0"/>
        <w:adjustRightInd w:val="0"/>
        <w:spacing w:line="276" w:lineRule="auto"/>
        <w:jc w:val="both"/>
        <w:rPr>
          <w:rFonts w:ascii="Marianne" w:hAnsi="Marianne" w:cs="Arial"/>
          <w:sz w:val="20"/>
          <w:szCs w:val="20"/>
        </w:rPr>
      </w:pPr>
      <w:r w:rsidRPr="00940294">
        <w:rPr>
          <w:rFonts w:ascii="Marianne" w:hAnsi="Marianne" w:cs="Arial"/>
          <w:sz w:val="20"/>
          <w:szCs w:val="20"/>
        </w:rPr>
        <w:t xml:space="preserve">Pour chaque type de prestation, le </w:t>
      </w:r>
      <w:r>
        <w:rPr>
          <w:rFonts w:ascii="Marianne" w:hAnsi="Marianne" w:cs="Arial"/>
          <w:sz w:val="20"/>
          <w:szCs w:val="20"/>
        </w:rPr>
        <w:t>soumissionnaire</w:t>
      </w:r>
      <w:r w:rsidRPr="00940294">
        <w:rPr>
          <w:rFonts w:ascii="Marianne" w:hAnsi="Marianne" w:cs="Arial"/>
          <w:sz w:val="20"/>
          <w:szCs w:val="20"/>
        </w:rPr>
        <w:t xml:space="preserve"> présente la </w:t>
      </w:r>
      <w:r>
        <w:rPr>
          <w:rFonts w:ascii="Marianne" w:hAnsi="Marianne" w:cs="Arial"/>
          <w:sz w:val="20"/>
          <w:szCs w:val="20"/>
        </w:rPr>
        <w:t>volumétrie, la composition, l’</w:t>
      </w:r>
      <w:r>
        <w:rPr>
          <w:rFonts w:ascii="Marianne" w:hAnsi="Marianne" w:cs="Arial"/>
          <w:bCs/>
          <w:sz w:val="20"/>
          <w:szCs w:val="20"/>
        </w:rPr>
        <w:t>o</w:t>
      </w:r>
      <w:r w:rsidRPr="00C96999">
        <w:rPr>
          <w:rFonts w:ascii="Marianne" w:hAnsi="Marianne" w:cs="Arial"/>
          <w:bCs/>
          <w:sz w:val="20"/>
          <w:szCs w:val="20"/>
        </w:rPr>
        <w:t xml:space="preserve">rganisation et processus de travail </w:t>
      </w:r>
      <w:r>
        <w:rPr>
          <w:rFonts w:ascii="Marianne" w:hAnsi="Marianne" w:cs="Arial"/>
          <w:sz w:val="20"/>
          <w:szCs w:val="20"/>
        </w:rPr>
        <w:t>de l’équipe dédiée.</w:t>
      </w:r>
    </w:p>
    <w:p w14:paraId="532D396B" w14:textId="77777777" w:rsidR="00C96999" w:rsidRPr="00940294" w:rsidRDefault="00C96999" w:rsidP="00C96999">
      <w:pPr>
        <w:spacing w:line="276" w:lineRule="auto"/>
        <w:jc w:val="both"/>
        <w:rPr>
          <w:rFonts w:ascii="Marianne" w:hAnsi="Marianne" w:cs="Arial"/>
          <w:sz w:val="20"/>
          <w:szCs w:val="20"/>
        </w:rPr>
      </w:pPr>
    </w:p>
    <w:p w14:paraId="09008E93" w14:textId="668BCD22" w:rsidR="00C96999" w:rsidRPr="00940294" w:rsidRDefault="00C96999" w:rsidP="00C96999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rFonts w:ascii="Marianne" w:hAnsi="Marianne"/>
        </w:rPr>
      </w:pPr>
      <w:r w:rsidRPr="00940294">
        <w:rPr>
          <w:rFonts w:ascii="Marianne" w:hAnsi="Marianne"/>
        </w:rPr>
        <w:t xml:space="preserve">Item 1.2 : </w:t>
      </w:r>
      <w:r w:rsidR="00B25647">
        <w:rPr>
          <w:rFonts w:ascii="Marianne" w:hAnsi="Marianne"/>
        </w:rPr>
        <w:t>P</w:t>
      </w:r>
      <w:r w:rsidRPr="00940294">
        <w:rPr>
          <w:rFonts w:ascii="Marianne" w:hAnsi="Marianne"/>
        </w:rPr>
        <w:t xml:space="preserve">rofils des intervenants </w:t>
      </w:r>
      <w:r>
        <w:rPr>
          <w:rFonts w:ascii="Marianne" w:hAnsi="Marianne"/>
        </w:rPr>
        <w:t xml:space="preserve">pour les prestations de </w:t>
      </w:r>
      <w:proofErr w:type="spellStart"/>
      <w:r>
        <w:rPr>
          <w:rFonts w:ascii="Marianne" w:hAnsi="Marianne"/>
        </w:rPr>
        <w:t>testing</w:t>
      </w:r>
      <w:proofErr w:type="spellEnd"/>
      <w:r>
        <w:rPr>
          <w:rFonts w:ascii="Marianne" w:hAnsi="Marianne"/>
        </w:rPr>
        <w:t xml:space="preserve"> (U0 phase 2)</w:t>
      </w:r>
      <w:r w:rsidRPr="00940294">
        <w:rPr>
          <w:rFonts w:ascii="Marianne" w:hAnsi="Marianne"/>
        </w:rPr>
        <w:t xml:space="preserve"> </w:t>
      </w:r>
    </w:p>
    <w:p w14:paraId="401346B7" w14:textId="0BA9330A" w:rsidR="00C96999" w:rsidRDefault="00BC262B" w:rsidP="00C70343">
      <w:pPr>
        <w:spacing w:line="276" w:lineRule="auto"/>
        <w:jc w:val="both"/>
        <w:rPr>
          <w:rFonts w:ascii="Marianne" w:hAnsi="Marianne" w:cs="Arial"/>
          <w:sz w:val="20"/>
          <w:szCs w:val="20"/>
        </w:rPr>
      </w:pPr>
      <w:r w:rsidRPr="00940294">
        <w:rPr>
          <w:rFonts w:ascii="Marianne" w:hAnsi="Marianne" w:cs="Arial"/>
          <w:sz w:val="20"/>
          <w:szCs w:val="20"/>
        </w:rPr>
        <w:t xml:space="preserve">Pour chaque type de prestation, le </w:t>
      </w:r>
      <w:r>
        <w:rPr>
          <w:rFonts w:ascii="Marianne" w:hAnsi="Marianne" w:cs="Arial"/>
          <w:sz w:val="20"/>
          <w:szCs w:val="20"/>
        </w:rPr>
        <w:t>soumissionnaire</w:t>
      </w:r>
      <w:r w:rsidRPr="00940294">
        <w:rPr>
          <w:rFonts w:ascii="Marianne" w:hAnsi="Marianne" w:cs="Arial"/>
          <w:sz w:val="20"/>
          <w:szCs w:val="20"/>
        </w:rPr>
        <w:t xml:space="preserve"> présente le profil des professionnels mobilisés. Il</w:t>
      </w:r>
      <w:r>
        <w:rPr>
          <w:rFonts w:ascii="Marianne" w:hAnsi="Marianne" w:cs="Arial"/>
          <w:sz w:val="20"/>
          <w:szCs w:val="20"/>
        </w:rPr>
        <w:t xml:space="preserve"> </w:t>
      </w:r>
      <w:r w:rsidRPr="00940294">
        <w:rPr>
          <w:rFonts w:ascii="Marianne" w:hAnsi="Marianne" w:cs="Arial"/>
          <w:sz w:val="20"/>
          <w:szCs w:val="20"/>
        </w:rPr>
        <w:t>fournit les curriculums vitae détaill</w:t>
      </w:r>
      <w:r>
        <w:rPr>
          <w:rFonts w:ascii="Marianne" w:hAnsi="Marianne" w:cs="Arial"/>
          <w:sz w:val="20"/>
          <w:szCs w:val="20"/>
        </w:rPr>
        <w:t>ant</w:t>
      </w:r>
      <w:r w:rsidRPr="00940294">
        <w:rPr>
          <w:rFonts w:ascii="Marianne" w:hAnsi="Marianne" w:cs="Arial"/>
          <w:sz w:val="20"/>
          <w:szCs w:val="20"/>
        </w:rPr>
        <w:t xml:space="preserve"> leurs qualifications, expériences et spécialisations dans le</w:t>
      </w:r>
      <w:r>
        <w:rPr>
          <w:rFonts w:ascii="Marianne" w:hAnsi="Marianne" w:cs="Arial"/>
          <w:sz w:val="20"/>
          <w:szCs w:val="20"/>
        </w:rPr>
        <w:t xml:space="preserve"> domaine du </w:t>
      </w:r>
      <w:proofErr w:type="spellStart"/>
      <w:r>
        <w:rPr>
          <w:rFonts w:ascii="Marianne" w:hAnsi="Marianne" w:cs="Arial"/>
          <w:sz w:val="20"/>
          <w:szCs w:val="20"/>
        </w:rPr>
        <w:t>testing</w:t>
      </w:r>
      <w:proofErr w:type="spellEnd"/>
      <w:r>
        <w:rPr>
          <w:rFonts w:ascii="Marianne" w:hAnsi="Marianne" w:cs="Arial"/>
          <w:sz w:val="20"/>
          <w:szCs w:val="20"/>
        </w:rPr>
        <w:t>.</w:t>
      </w:r>
    </w:p>
    <w:p w14:paraId="68E5A95C" w14:textId="77777777" w:rsidR="00EF15AE" w:rsidRPr="00940294" w:rsidRDefault="00EF15AE" w:rsidP="00C70343">
      <w:pPr>
        <w:spacing w:line="276" w:lineRule="auto"/>
        <w:jc w:val="both"/>
        <w:rPr>
          <w:rFonts w:ascii="Marianne" w:hAnsi="Marianne" w:cs="Arial"/>
          <w:sz w:val="20"/>
          <w:szCs w:val="20"/>
        </w:rPr>
      </w:pPr>
    </w:p>
    <w:p w14:paraId="30178A16" w14:textId="774AB84D" w:rsidR="002C7DA4" w:rsidRPr="00EF15AE" w:rsidRDefault="002C7DA4" w:rsidP="002C7DA4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rFonts w:ascii="Marianne" w:hAnsi="Marianne"/>
          <w:sz w:val="28"/>
          <w:szCs w:val="28"/>
        </w:rPr>
      </w:pPr>
      <w:r w:rsidRPr="00EF15AE">
        <w:rPr>
          <w:rFonts w:ascii="Marianne" w:hAnsi="Marianne"/>
          <w:sz w:val="28"/>
          <w:szCs w:val="28"/>
        </w:rPr>
        <w:t xml:space="preserve">Sous-critère 2 : </w:t>
      </w:r>
      <w:r w:rsidR="00AF053E" w:rsidRPr="00EF15AE">
        <w:rPr>
          <w:rFonts w:ascii="Marianne" w:hAnsi="Marianne"/>
          <w:sz w:val="28"/>
          <w:szCs w:val="28"/>
        </w:rPr>
        <w:t xml:space="preserve">Pertinence de la méthodologie proposée </w:t>
      </w:r>
      <w:r w:rsidR="002C507B" w:rsidRPr="00EF15AE">
        <w:rPr>
          <w:rFonts w:ascii="Marianne" w:hAnsi="Marianne"/>
          <w:sz w:val="28"/>
          <w:szCs w:val="28"/>
        </w:rPr>
        <w:t>(</w:t>
      </w:r>
      <w:r w:rsidR="00AF053E" w:rsidRPr="00EF15AE">
        <w:rPr>
          <w:rFonts w:ascii="Marianne" w:hAnsi="Marianne"/>
          <w:sz w:val="28"/>
          <w:szCs w:val="28"/>
        </w:rPr>
        <w:t>30</w:t>
      </w:r>
      <w:r w:rsidRPr="00EF15AE">
        <w:rPr>
          <w:rFonts w:ascii="Marianne" w:hAnsi="Marianne"/>
          <w:sz w:val="28"/>
          <w:szCs w:val="28"/>
        </w:rPr>
        <w:t xml:space="preserve"> points)</w:t>
      </w:r>
    </w:p>
    <w:p w14:paraId="5AC9D750" w14:textId="38570E78" w:rsidR="00162E4A" w:rsidRPr="00940294" w:rsidRDefault="00162E4A" w:rsidP="00093DBF">
      <w:pPr>
        <w:autoSpaceDE w:val="0"/>
        <w:adjustRightInd w:val="0"/>
        <w:spacing w:line="276" w:lineRule="auto"/>
        <w:rPr>
          <w:rFonts w:ascii="Marianne" w:hAnsi="Marianne" w:cs="Arial"/>
          <w:sz w:val="20"/>
          <w:szCs w:val="20"/>
        </w:rPr>
      </w:pPr>
    </w:p>
    <w:p w14:paraId="1722F028" w14:textId="3582745B" w:rsidR="00D451E4" w:rsidRPr="00940294" w:rsidRDefault="002C7DA4" w:rsidP="00093DBF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rFonts w:ascii="Marianne" w:hAnsi="Marianne"/>
        </w:rPr>
      </w:pPr>
      <w:r w:rsidRPr="00940294">
        <w:rPr>
          <w:rFonts w:ascii="Marianne" w:hAnsi="Marianne"/>
        </w:rPr>
        <w:t xml:space="preserve">Item </w:t>
      </w:r>
      <w:r w:rsidR="00AF053E">
        <w:rPr>
          <w:rFonts w:ascii="Marianne" w:hAnsi="Marianne"/>
        </w:rPr>
        <w:t>2</w:t>
      </w:r>
      <w:r w:rsidR="00D451E4" w:rsidRPr="00940294">
        <w:rPr>
          <w:rFonts w:ascii="Marianne" w:hAnsi="Marianne"/>
        </w:rPr>
        <w:t>.</w:t>
      </w:r>
      <w:r w:rsidR="00AF053E">
        <w:rPr>
          <w:rFonts w:ascii="Marianne" w:hAnsi="Marianne"/>
        </w:rPr>
        <w:t>1</w:t>
      </w:r>
      <w:r w:rsidR="00D451E4" w:rsidRPr="00940294">
        <w:rPr>
          <w:rFonts w:ascii="Marianne" w:hAnsi="Marianne"/>
        </w:rPr>
        <w:t xml:space="preserve"> : Méthodologie </w:t>
      </w:r>
      <w:r w:rsidR="00EF15AE">
        <w:rPr>
          <w:rFonts w:ascii="Marianne" w:hAnsi="Marianne"/>
        </w:rPr>
        <w:t xml:space="preserve">de la phase 1 concernant l’étude préalable </w:t>
      </w:r>
    </w:p>
    <w:p w14:paraId="5B83D7E3" w14:textId="40826928" w:rsidR="00EF15AE" w:rsidRDefault="00EF15AE" w:rsidP="00EF15AE">
      <w:pPr>
        <w:spacing w:line="276" w:lineRule="auto"/>
        <w:jc w:val="both"/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 xml:space="preserve">Le soumissionnaire présente la démarché d’étude préalable et l’accompagnement de l’administration dans sa prise de décision sur le périmètre d’étude du baromètre. </w:t>
      </w:r>
    </w:p>
    <w:p w14:paraId="593950BD" w14:textId="77777777" w:rsidR="00EF15AE" w:rsidRDefault="00EF15AE" w:rsidP="00AF053E">
      <w:pPr>
        <w:spacing w:before="57" w:after="119" w:line="276" w:lineRule="auto"/>
        <w:jc w:val="both"/>
        <w:rPr>
          <w:rFonts w:ascii="Marianne" w:hAnsi="Marianne" w:cs="Arial"/>
          <w:b/>
          <w:szCs w:val="22"/>
        </w:rPr>
      </w:pPr>
    </w:p>
    <w:p w14:paraId="7156EB12" w14:textId="19BB992B" w:rsidR="00EF15AE" w:rsidRPr="00940294" w:rsidRDefault="00EF15AE" w:rsidP="00EF15AE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rFonts w:ascii="Marianne" w:hAnsi="Marianne"/>
        </w:rPr>
      </w:pPr>
      <w:r w:rsidRPr="00940294">
        <w:rPr>
          <w:rFonts w:ascii="Marianne" w:hAnsi="Marianne"/>
        </w:rPr>
        <w:t xml:space="preserve">Item </w:t>
      </w:r>
      <w:r>
        <w:rPr>
          <w:rFonts w:ascii="Marianne" w:hAnsi="Marianne"/>
        </w:rPr>
        <w:t>2</w:t>
      </w:r>
      <w:r w:rsidRPr="00940294">
        <w:rPr>
          <w:rFonts w:ascii="Marianne" w:hAnsi="Marianne"/>
        </w:rPr>
        <w:t>.</w:t>
      </w:r>
      <w:r>
        <w:rPr>
          <w:rFonts w:ascii="Marianne" w:hAnsi="Marianne"/>
        </w:rPr>
        <w:t>2</w:t>
      </w:r>
      <w:r w:rsidRPr="00940294">
        <w:rPr>
          <w:rFonts w:ascii="Marianne" w:hAnsi="Marianne"/>
        </w:rPr>
        <w:t xml:space="preserve"> : Méthodologie </w:t>
      </w:r>
      <w:r>
        <w:rPr>
          <w:rFonts w:ascii="Marianne" w:hAnsi="Marianne"/>
        </w:rPr>
        <w:t xml:space="preserve">de la phase 2 de </w:t>
      </w:r>
      <w:proofErr w:type="spellStart"/>
      <w:r>
        <w:rPr>
          <w:rFonts w:ascii="Marianne" w:hAnsi="Marianne"/>
        </w:rPr>
        <w:t>testing</w:t>
      </w:r>
      <w:proofErr w:type="spellEnd"/>
      <w:r w:rsidRPr="00940294">
        <w:rPr>
          <w:rFonts w:ascii="Marianne" w:hAnsi="Marianne"/>
        </w:rPr>
        <w:t xml:space="preserve"> </w:t>
      </w:r>
    </w:p>
    <w:p w14:paraId="5F686D89" w14:textId="3E03C208" w:rsidR="00AF053E" w:rsidRPr="00C40374" w:rsidRDefault="00861542" w:rsidP="00C40374">
      <w:pPr>
        <w:spacing w:before="57" w:after="119" w:line="276" w:lineRule="auto"/>
        <w:jc w:val="both"/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t xml:space="preserve">Le soumissionnaire présente sa méthodologie concernant l’identification des offres réelles d’emploi, </w:t>
      </w:r>
      <w:r w:rsidR="003367FF">
        <w:rPr>
          <w:rFonts w:ascii="Marianne" w:hAnsi="Marianne" w:cs="Arial"/>
          <w:sz w:val="20"/>
          <w:szCs w:val="20"/>
        </w:rPr>
        <w:t>l</w:t>
      </w:r>
      <w:r>
        <w:rPr>
          <w:rFonts w:ascii="Marianne" w:hAnsi="Marianne" w:cs="Arial"/>
          <w:sz w:val="20"/>
          <w:szCs w:val="20"/>
        </w:rPr>
        <w:t xml:space="preserve">a manière </w:t>
      </w:r>
      <w:r w:rsidR="003367FF">
        <w:rPr>
          <w:rFonts w:ascii="Marianne" w:hAnsi="Marianne" w:cs="Arial"/>
          <w:sz w:val="20"/>
          <w:szCs w:val="20"/>
        </w:rPr>
        <w:t>de</w:t>
      </w:r>
      <w:r>
        <w:rPr>
          <w:rFonts w:ascii="Marianne" w:hAnsi="Marianne" w:cs="Arial"/>
          <w:sz w:val="20"/>
          <w:szCs w:val="20"/>
        </w:rPr>
        <w:t xml:space="preserve"> </w:t>
      </w:r>
      <w:r w:rsidR="008243D8">
        <w:rPr>
          <w:rFonts w:ascii="Marianne" w:hAnsi="Marianne" w:cs="Arial"/>
          <w:sz w:val="20"/>
          <w:szCs w:val="20"/>
        </w:rPr>
        <w:t>rédiger les faux CV et les adresser aux employeurs</w:t>
      </w:r>
      <w:r w:rsidR="003367FF">
        <w:rPr>
          <w:rFonts w:ascii="Marianne" w:hAnsi="Marianne" w:cs="Arial"/>
          <w:sz w:val="20"/>
          <w:szCs w:val="20"/>
        </w:rPr>
        <w:t>, de</w:t>
      </w:r>
      <w:r>
        <w:rPr>
          <w:rFonts w:ascii="Marianne" w:hAnsi="Marianne" w:cs="Arial"/>
          <w:sz w:val="20"/>
          <w:szCs w:val="20"/>
        </w:rPr>
        <w:t xml:space="preserve"> pren</w:t>
      </w:r>
      <w:r w:rsidR="003367FF">
        <w:rPr>
          <w:rFonts w:ascii="Marianne" w:hAnsi="Marianne" w:cs="Arial"/>
          <w:sz w:val="20"/>
          <w:szCs w:val="20"/>
        </w:rPr>
        <w:t>dre</w:t>
      </w:r>
      <w:r>
        <w:rPr>
          <w:rFonts w:ascii="Marianne" w:hAnsi="Marianne" w:cs="Arial"/>
          <w:sz w:val="20"/>
          <w:szCs w:val="20"/>
        </w:rPr>
        <w:t xml:space="preserve"> en compte le risque de déte</w:t>
      </w:r>
      <w:r w:rsidR="003367FF">
        <w:rPr>
          <w:rFonts w:ascii="Marianne" w:hAnsi="Marianne" w:cs="Arial"/>
          <w:sz w:val="20"/>
          <w:szCs w:val="20"/>
        </w:rPr>
        <w:t>ction par les employeurs, et le suivi des candidatures envoyées</w:t>
      </w:r>
      <w:r w:rsidR="008243D8">
        <w:rPr>
          <w:rFonts w:ascii="Marianne" w:hAnsi="Marianne" w:cs="Arial"/>
          <w:sz w:val="20"/>
          <w:szCs w:val="20"/>
        </w:rPr>
        <w:t xml:space="preserve"> (dont par exemple : </w:t>
      </w:r>
      <w:r w:rsidR="008243D8" w:rsidRPr="00B0169A">
        <w:rPr>
          <w:rFonts w:ascii="Marianne" w:hAnsi="Marianne" w:cs="Arial"/>
          <w:noProof/>
          <w:sz w:val="20"/>
        </w:rPr>
        <w:t>création d’adresse mail, achat de téléphones portables, mise en place de répondeurs…</w:t>
      </w:r>
      <w:r w:rsidR="008243D8">
        <w:rPr>
          <w:rFonts w:ascii="Marianne" w:hAnsi="Marianne" w:cs="Arial"/>
          <w:noProof/>
          <w:sz w:val="20"/>
        </w:rPr>
        <w:t xml:space="preserve"> et les éléments de reporting)</w:t>
      </w:r>
      <w:r>
        <w:rPr>
          <w:rFonts w:ascii="Marianne" w:hAnsi="Marianne" w:cs="Arial"/>
          <w:sz w:val="20"/>
          <w:szCs w:val="20"/>
        </w:rPr>
        <w:t xml:space="preserve">. </w:t>
      </w:r>
      <w:r w:rsidR="003367FF">
        <w:rPr>
          <w:rFonts w:ascii="Marianne" w:hAnsi="Marianne" w:cs="Arial"/>
          <w:sz w:val="20"/>
          <w:szCs w:val="20"/>
        </w:rPr>
        <w:t>Pour exemple</w:t>
      </w:r>
      <w:r>
        <w:rPr>
          <w:rFonts w:ascii="Marianne" w:hAnsi="Marianne" w:cs="Arial"/>
          <w:sz w:val="20"/>
          <w:szCs w:val="20"/>
        </w:rPr>
        <w:t xml:space="preserve"> il fournit une offre d’emploi réelle et plusieurs fausses candidatures sous forme de faux-CV.</w:t>
      </w:r>
    </w:p>
    <w:p w14:paraId="2417304D" w14:textId="77777777" w:rsidR="00EE2126" w:rsidRPr="00940294" w:rsidRDefault="00EE2126" w:rsidP="00D451E4">
      <w:pPr>
        <w:autoSpaceDE w:val="0"/>
        <w:adjustRightInd w:val="0"/>
        <w:spacing w:line="276" w:lineRule="auto"/>
        <w:jc w:val="both"/>
        <w:rPr>
          <w:rFonts w:ascii="Marianne" w:hAnsi="Marianne" w:cs="Arial"/>
          <w:sz w:val="20"/>
          <w:szCs w:val="20"/>
        </w:rPr>
      </w:pPr>
    </w:p>
    <w:p w14:paraId="5BBDCFFE" w14:textId="5DABFFC3" w:rsidR="00D451E4" w:rsidRPr="00940294" w:rsidRDefault="00D629C7" w:rsidP="00093DBF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rFonts w:ascii="Marianne" w:hAnsi="Marianne"/>
        </w:rPr>
      </w:pPr>
      <w:r w:rsidRPr="00940294">
        <w:rPr>
          <w:rFonts w:ascii="Marianne" w:hAnsi="Marianne"/>
        </w:rPr>
        <w:t>Item</w:t>
      </w:r>
      <w:r w:rsidR="00D451E4" w:rsidRPr="00940294">
        <w:rPr>
          <w:rFonts w:ascii="Marianne" w:hAnsi="Marianne"/>
        </w:rPr>
        <w:t xml:space="preserve"> </w:t>
      </w:r>
      <w:r w:rsidR="003367FF">
        <w:rPr>
          <w:rFonts w:ascii="Marianne" w:hAnsi="Marianne"/>
        </w:rPr>
        <w:t>2</w:t>
      </w:r>
      <w:r w:rsidR="00D451E4" w:rsidRPr="00940294">
        <w:rPr>
          <w:rFonts w:ascii="Marianne" w:hAnsi="Marianne"/>
        </w:rPr>
        <w:t xml:space="preserve">.3 : </w:t>
      </w:r>
      <w:r w:rsidR="003367FF">
        <w:rPr>
          <w:rFonts w:ascii="Marianne" w:hAnsi="Marianne"/>
        </w:rPr>
        <w:t>Méthodologie de la phase 3</w:t>
      </w:r>
      <w:r w:rsidR="00D451E4" w:rsidRPr="00940294">
        <w:rPr>
          <w:rFonts w:ascii="Marianne" w:hAnsi="Marianne"/>
        </w:rPr>
        <w:t xml:space="preserve"> </w:t>
      </w:r>
    </w:p>
    <w:p w14:paraId="782170DD" w14:textId="01F0E02C" w:rsidR="00093DBF" w:rsidRDefault="00EE2126" w:rsidP="00D451E4">
      <w:pPr>
        <w:autoSpaceDE w:val="0"/>
        <w:adjustRightInd w:val="0"/>
        <w:spacing w:line="276" w:lineRule="auto"/>
        <w:jc w:val="both"/>
        <w:rPr>
          <w:rFonts w:ascii="Marianne" w:hAnsi="Marianne" w:cs="Arial"/>
          <w:sz w:val="20"/>
          <w:szCs w:val="20"/>
        </w:rPr>
      </w:pPr>
      <w:r w:rsidRPr="00940294">
        <w:rPr>
          <w:rFonts w:ascii="Marianne" w:hAnsi="Marianne" w:cs="Arial"/>
          <w:sz w:val="20"/>
          <w:szCs w:val="20"/>
        </w:rPr>
        <w:t xml:space="preserve">Le </w:t>
      </w:r>
      <w:r w:rsidR="003367FF">
        <w:rPr>
          <w:rFonts w:ascii="Marianne" w:hAnsi="Marianne" w:cs="Arial"/>
          <w:sz w:val="20"/>
          <w:szCs w:val="20"/>
        </w:rPr>
        <w:t>soumissionnaire présente les méthodes statistiques qu’il compte utiliser pour analyser les résultats. Il présente également sa méthode de vulgarisation scientifique pour la production de la note de synthèse</w:t>
      </w:r>
      <w:r w:rsidR="00C40374">
        <w:rPr>
          <w:rFonts w:ascii="Marianne" w:hAnsi="Marianne" w:cs="Arial"/>
          <w:sz w:val="20"/>
          <w:szCs w:val="20"/>
        </w:rPr>
        <w:t>.</w:t>
      </w:r>
    </w:p>
    <w:p w14:paraId="4DE6EE1F" w14:textId="77777777" w:rsidR="00C40374" w:rsidRDefault="00C40374" w:rsidP="00D451E4">
      <w:pPr>
        <w:autoSpaceDE w:val="0"/>
        <w:adjustRightInd w:val="0"/>
        <w:spacing w:line="276" w:lineRule="auto"/>
        <w:jc w:val="both"/>
        <w:rPr>
          <w:rFonts w:ascii="Marianne" w:hAnsi="Marianne" w:cs="Arial"/>
          <w:sz w:val="20"/>
          <w:szCs w:val="20"/>
        </w:rPr>
      </w:pPr>
    </w:p>
    <w:p w14:paraId="38A50057" w14:textId="77777777" w:rsidR="00B96A46" w:rsidRPr="00940294" w:rsidRDefault="00B96A46" w:rsidP="00D451E4">
      <w:pPr>
        <w:autoSpaceDE w:val="0"/>
        <w:adjustRightInd w:val="0"/>
        <w:spacing w:line="276" w:lineRule="auto"/>
        <w:jc w:val="both"/>
        <w:rPr>
          <w:rFonts w:ascii="Marianne" w:hAnsi="Marianne" w:cs="Arial"/>
          <w:sz w:val="20"/>
          <w:szCs w:val="20"/>
        </w:rPr>
      </w:pPr>
    </w:p>
    <w:p w14:paraId="797BEBBC" w14:textId="77777777" w:rsidR="002C507B" w:rsidRPr="00940294" w:rsidRDefault="002C507B" w:rsidP="00D451E4">
      <w:pPr>
        <w:autoSpaceDE w:val="0"/>
        <w:adjustRightInd w:val="0"/>
        <w:spacing w:line="276" w:lineRule="auto"/>
        <w:jc w:val="both"/>
        <w:rPr>
          <w:rFonts w:ascii="Marianne" w:hAnsi="Marianne" w:cs="Arial"/>
          <w:sz w:val="20"/>
          <w:szCs w:val="20"/>
        </w:rPr>
      </w:pPr>
    </w:p>
    <w:p w14:paraId="07BEF2AF" w14:textId="581C1671" w:rsidR="00D451E4" w:rsidRPr="00C40374" w:rsidRDefault="002C507B" w:rsidP="00093DBF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rFonts w:ascii="Marianne" w:hAnsi="Marianne"/>
          <w:sz w:val="28"/>
          <w:szCs w:val="28"/>
        </w:rPr>
      </w:pPr>
      <w:r w:rsidRPr="00C40374">
        <w:rPr>
          <w:rFonts w:ascii="Marianne" w:hAnsi="Marianne"/>
          <w:sz w:val="28"/>
          <w:szCs w:val="28"/>
        </w:rPr>
        <w:t xml:space="preserve">Sous-critère 3 </w:t>
      </w:r>
      <w:r w:rsidR="00D451E4" w:rsidRPr="00C40374">
        <w:rPr>
          <w:rFonts w:ascii="Marianne" w:hAnsi="Marianne"/>
          <w:sz w:val="28"/>
          <w:szCs w:val="28"/>
        </w:rPr>
        <w:t xml:space="preserve">: </w:t>
      </w:r>
      <w:r w:rsidR="00B96A46" w:rsidRPr="00B96A46">
        <w:rPr>
          <w:rFonts w:ascii="Marianne" w:hAnsi="Marianne"/>
          <w:sz w:val="28"/>
          <w:szCs w:val="28"/>
        </w:rPr>
        <w:t>Qualité des livrables (10 points)</w:t>
      </w:r>
    </w:p>
    <w:p w14:paraId="2083C57C" w14:textId="77777777" w:rsidR="005B24C4" w:rsidRPr="00940294" w:rsidRDefault="005B24C4" w:rsidP="005B24C4">
      <w:pPr>
        <w:pStyle w:val="Standard"/>
        <w:rPr>
          <w:rFonts w:ascii="Marianne" w:hAnsi="Marianne"/>
        </w:rPr>
      </w:pPr>
    </w:p>
    <w:p w14:paraId="4370DBD8" w14:textId="5E83B0E9" w:rsidR="00D451E4" w:rsidRPr="00940294" w:rsidRDefault="002C507B" w:rsidP="00093DBF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rFonts w:ascii="Marianne" w:hAnsi="Marianne"/>
        </w:rPr>
      </w:pPr>
      <w:r w:rsidRPr="00940294">
        <w:rPr>
          <w:rFonts w:ascii="Marianne" w:hAnsi="Marianne"/>
        </w:rPr>
        <w:t>Item 3.1</w:t>
      </w:r>
      <w:r w:rsidR="00D451E4" w:rsidRPr="00940294">
        <w:rPr>
          <w:rFonts w:ascii="Marianne" w:hAnsi="Marianne"/>
        </w:rPr>
        <w:t xml:space="preserve"> : </w:t>
      </w:r>
      <w:r w:rsidR="00B96A46">
        <w:rPr>
          <w:rFonts w:ascii="Marianne" w:hAnsi="Marianne"/>
        </w:rPr>
        <w:t>Qualité du rapport d’étude</w:t>
      </w:r>
      <w:r w:rsidRPr="00940294">
        <w:rPr>
          <w:rFonts w:ascii="Marianne" w:hAnsi="Marianne"/>
        </w:rPr>
        <w:t xml:space="preserve"> </w:t>
      </w:r>
    </w:p>
    <w:p w14:paraId="5BAED71E" w14:textId="7127678C" w:rsidR="00D451E4" w:rsidRPr="00940294" w:rsidRDefault="00D12762" w:rsidP="00D451E4">
      <w:pPr>
        <w:autoSpaceDE w:val="0"/>
        <w:adjustRightInd w:val="0"/>
        <w:spacing w:line="276" w:lineRule="auto"/>
        <w:jc w:val="both"/>
        <w:rPr>
          <w:rFonts w:ascii="Marianne" w:hAnsi="Marianne" w:cs="Arial"/>
          <w:sz w:val="20"/>
          <w:szCs w:val="20"/>
        </w:rPr>
      </w:pPr>
      <w:r w:rsidRPr="00940294">
        <w:rPr>
          <w:rFonts w:ascii="Marianne" w:hAnsi="Marianne" w:cs="Arial"/>
          <w:sz w:val="20"/>
          <w:szCs w:val="20"/>
        </w:rPr>
        <w:t xml:space="preserve">Le </w:t>
      </w:r>
      <w:r w:rsidR="008C3EF0">
        <w:rPr>
          <w:rFonts w:ascii="Marianne" w:hAnsi="Marianne" w:cs="Arial"/>
          <w:sz w:val="20"/>
          <w:szCs w:val="20"/>
        </w:rPr>
        <w:t>soumissionnaire</w:t>
      </w:r>
      <w:r w:rsidRPr="00940294">
        <w:rPr>
          <w:rFonts w:ascii="Marianne" w:hAnsi="Marianne" w:cs="Arial"/>
          <w:sz w:val="20"/>
          <w:szCs w:val="20"/>
        </w:rPr>
        <w:t xml:space="preserve"> présente </w:t>
      </w:r>
      <w:r w:rsidR="008C3EF0">
        <w:rPr>
          <w:rFonts w:ascii="Marianne" w:hAnsi="Marianne" w:cs="Arial"/>
          <w:sz w:val="20"/>
          <w:szCs w:val="20"/>
        </w:rPr>
        <w:t>le format que prendra le rapport d’étude, il remet un exemple type de sommaire.</w:t>
      </w:r>
    </w:p>
    <w:p w14:paraId="7E7FBEDC" w14:textId="08AC1D5F" w:rsidR="00D451E4" w:rsidRPr="00940294" w:rsidRDefault="00D451E4" w:rsidP="00D451E4">
      <w:pPr>
        <w:autoSpaceDE w:val="0"/>
        <w:adjustRightInd w:val="0"/>
        <w:spacing w:line="276" w:lineRule="auto"/>
        <w:jc w:val="both"/>
        <w:rPr>
          <w:rFonts w:ascii="Marianne" w:hAnsi="Marianne" w:cs="Arial"/>
          <w:sz w:val="20"/>
          <w:szCs w:val="20"/>
        </w:rPr>
      </w:pPr>
    </w:p>
    <w:p w14:paraId="05CA03D3" w14:textId="27BD9FC5" w:rsidR="00D451E4" w:rsidRPr="00940294" w:rsidRDefault="008C3EF0" w:rsidP="00093DBF">
      <w:pPr>
        <w:pStyle w:val="Titre1"/>
        <w:numPr>
          <w:ilvl w:val="0"/>
          <w:numId w:val="0"/>
        </w:numPr>
        <w:shd w:val="clear" w:color="auto" w:fill="E6E6E6"/>
        <w:suppressAutoHyphens w:val="0"/>
        <w:spacing w:after="120"/>
        <w:rPr>
          <w:rFonts w:ascii="Marianne" w:hAnsi="Marianne"/>
        </w:rPr>
      </w:pPr>
      <w:r>
        <w:rPr>
          <w:rFonts w:ascii="Marianne" w:hAnsi="Marianne"/>
        </w:rPr>
        <w:t>Item</w:t>
      </w:r>
      <w:r w:rsidR="00D451E4" w:rsidRPr="00940294">
        <w:rPr>
          <w:rFonts w:ascii="Marianne" w:hAnsi="Marianne"/>
        </w:rPr>
        <w:t xml:space="preserve"> </w:t>
      </w:r>
      <w:r>
        <w:rPr>
          <w:rFonts w:ascii="Marianne" w:hAnsi="Marianne"/>
        </w:rPr>
        <w:t>3</w:t>
      </w:r>
      <w:r w:rsidR="00D451E4" w:rsidRPr="00940294">
        <w:rPr>
          <w:rFonts w:ascii="Marianne" w:hAnsi="Marianne"/>
        </w:rPr>
        <w:t xml:space="preserve">.2 : </w:t>
      </w:r>
      <w:r>
        <w:rPr>
          <w:rFonts w:ascii="Marianne" w:hAnsi="Marianne"/>
        </w:rPr>
        <w:t>Qualité de la note de synthèse</w:t>
      </w:r>
      <w:r w:rsidR="00D451E4" w:rsidRPr="00940294">
        <w:rPr>
          <w:rFonts w:ascii="Marianne" w:hAnsi="Marianne"/>
        </w:rPr>
        <w:t xml:space="preserve"> </w:t>
      </w:r>
    </w:p>
    <w:p w14:paraId="02EC5627" w14:textId="0CD83A81" w:rsidR="00D451E4" w:rsidRPr="00940294" w:rsidRDefault="008C3EF0" w:rsidP="00D451E4">
      <w:pPr>
        <w:autoSpaceDE w:val="0"/>
        <w:adjustRightInd w:val="0"/>
        <w:spacing w:line="276" w:lineRule="auto"/>
        <w:jc w:val="both"/>
        <w:rPr>
          <w:rFonts w:ascii="Marianne" w:hAnsi="Marianne" w:cs="Arial"/>
          <w:sz w:val="20"/>
          <w:szCs w:val="20"/>
        </w:rPr>
      </w:pPr>
      <w:r w:rsidRPr="00940294">
        <w:rPr>
          <w:rFonts w:ascii="Marianne" w:hAnsi="Marianne" w:cs="Arial"/>
          <w:sz w:val="20"/>
          <w:szCs w:val="20"/>
        </w:rPr>
        <w:t xml:space="preserve">Le </w:t>
      </w:r>
      <w:r>
        <w:rPr>
          <w:rFonts w:ascii="Marianne" w:hAnsi="Marianne" w:cs="Arial"/>
          <w:sz w:val="20"/>
          <w:szCs w:val="20"/>
        </w:rPr>
        <w:t>soumissionnaire</w:t>
      </w:r>
      <w:r w:rsidRPr="00940294">
        <w:rPr>
          <w:rFonts w:ascii="Marianne" w:hAnsi="Marianne" w:cs="Arial"/>
          <w:sz w:val="20"/>
          <w:szCs w:val="20"/>
        </w:rPr>
        <w:t xml:space="preserve"> présente </w:t>
      </w:r>
      <w:r>
        <w:rPr>
          <w:rFonts w:ascii="Marianne" w:hAnsi="Marianne" w:cs="Arial"/>
          <w:sz w:val="20"/>
          <w:szCs w:val="20"/>
        </w:rPr>
        <w:t xml:space="preserve">le format que prendra la note de synthèse, il remet pour exemple </w:t>
      </w:r>
      <w:r w:rsidRPr="008C3EF0">
        <w:rPr>
          <w:rFonts w:ascii="Marianne" w:hAnsi="Marianne" w:cs="Arial"/>
          <w:sz w:val="20"/>
          <w:szCs w:val="20"/>
        </w:rPr>
        <w:t>d’une note de synthèse déjà produite présentant une étude quantitative sur les discriminations</w:t>
      </w:r>
      <w:r>
        <w:rPr>
          <w:rFonts w:ascii="Marianne" w:hAnsi="Marianne" w:cs="Arial"/>
          <w:sz w:val="20"/>
          <w:szCs w:val="20"/>
        </w:rPr>
        <w:t xml:space="preserve"> (anonymisée au besoin).</w:t>
      </w:r>
    </w:p>
    <w:p w14:paraId="4B6101EE" w14:textId="769530B1" w:rsidR="00D451E4" w:rsidRPr="00940294" w:rsidRDefault="00D451E4" w:rsidP="00D451E4">
      <w:pPr>
        <w:autoSpaceDE w:val="0"/>
        <w:adjustRightInd w:val="0"/>
        <w:spacing w:line="276" w:lineRule="auto"/>
        <w:jc w:val="both"/>
        <w:rPr>
          <w:rFonts w:ascii="Marianne" w:hAnsi="Marianne" w:cs="Arial"/>
          <w:sz w:val="20"/>
          <w:szCs w:val="20"/>
        </w:rPr>
      </w:pPr>
    </w:p>
    <w:sectPr w:rsidR="00D451E4" w:rsidRPr="00940294" w:rsidSect="00303325">
      <w:headerReference w:type="default" r:id="rId7"/>
      <w:footerReference w:type="default" r:id="rId8"/>
      <w:headerReference w:type="first" r:id="rId9"/>
      <w:footerReference w:type="first" r:id="rId10"/>
      <w:pgSz w:w="11905" w:h="16837" w:code="9"/>
      <w:pgMar w:top="1418" w:right="1418" w:bottom="1418" w:left="1418" w:header="425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C4CC9" w14:textId="77777777" w:rsidR="003A526F" w:rsidRDefault="003A526F">
      <w:r>
        <w:separator/>
      </w:r>
    </w:p>
  </w:endnote>
  <w:endnote w:type="continuationSeparator" w:id="0">
    <w:p w14:paraId="14767FFA" w14:textId="77777777" w:rsidR="003A526F" w:rsidRDefault="003A5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C81DD" w14:textId="1C036497" w:rsidR="008C3EF0" w:rsidRPr="00820141" w:rsidRDefault="00820141" w:rsidP="00820141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</w:pPr>
    <w:r w:rsidRPr="00E378E3">
      <w:t>CRT</w:t>
    </w:r>
    <w:r w:rsidRPr="00E378E3">
      <w:tab/>
    </w:r>
    <w:r w:rsidR="00940294">
      <w:t>24_BAM_7</w:t>
    </w:r>
    <w:r w:rsidR="00C40374">
      <w:t>19</w:t>
    </w:r>
    <w:r w:rsidRPr="00E378E3">
      <w:tab/>
      <w:t xml:space="preserve">Page </w:t>
    </w:r>
    <w:r w:rsidRPr="00E378E3">
      <w:fldChar w:fldCharType="begin"/>
    </w:r>
    <w:r w:rsidRPr="00E378E3">
      <w:instrText xml:space="preserve"> PAGE </w:instrText>
    </w:r>
    <w:r w:rsidRPr="00E378E3">
      <w:fldChar w:fldCharType="separate"/>
    </w:r>
    <w:r w:rsidR="00264913">
      <w:rPr>
        <w:noProof/>
      </w:rPr>
      <w:t>3</w:t>
    </w:r>
    <w:r w:rsidRPr="00E378E3">
      <w:fldChar w:fldCharType="end"/>
    </w:r>
    <w:r w:rsidRPr="00E378E3">
      <w:t xml:space="preserve"> sur </w:t>
    </w:r>
    <w:r w:rsidR="00264913">
      <w:fldChar w:fldCharType="begin"/>
    </w:r>
    <w:r w:rsidR="00264913">
      <w:instrText xml:space="preserve"> NUMPAGES </w:instrText>
    </w:r>
    <w:r w:rsidR="00264913">
      <w:fldChar w:fldCharType="separate"/>
    </w:r>
    <w:r w:rsidR="00264913">
      <w:rPr>
        <w:noProof/>
      </w:rPr>
      <w:t>3</w:t>
    </w:r>
    <w:r w:rsidR="00264913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C7DF6" w14:textId="4560F964" w:rsidR="00D5106D" w:rsidRDefault="00820141" w:rsidP="00D5106D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</w:pPr>
    <w:r>
      <w:t>CRT</w:t>
    </w:r>
    <w:r w:rsidR="00D5106D">
      <w:tab/>
    </w:r>
    <w:r w:rsidR="00940294">
      <w:t>24_BAM_</w:t>
    </w:r>
    <w:r w:rsidR="00C40374">
      <w:t>719</w:t>
    </w:r>
    <w:r w:rsidR="00D5106D">
      <w:tab/>
    </w:r>
    <w:r w:rsidR="009914ED">
      <w:t xml:space="preserve">Page </w:t>
    </w:r>
    <w:r w:rsidR="00D5106D">
      <w:fldChar w:fldCharType="begin"/>
    </w:r>
    <w:r w:rsidR="00D5106D">
      <w:instrText xml:space="preserve"> PAGE </w:instrText>
    </w:r>
    <w:r w:rsidR="00D5106D">
      <w:fldChar w:fldCharType="separate"/>
    </w:r>
    <w:r w:rsidR="00264913">
      <w:rPr>
        <w:noProof/>
      </w:rPr>
      <w:t>1</w:t>
    </w:r>
    <w:r w:rsidR="00D5106D">
      <w:fldChar w:fldCharType="end"/>
    </w:r>
    <w:r w:rsidR="009914ED">
      <w:t xml:space="preserve"> sur </w:t>
    </w:r>
    <w:r w:rsidR="00264913">
      <w:fldChar w:fldCharType="begin"/>
    </w:r>
    <w:r w:rsidR="00264913">
      <w:instrText xml:space="preserve"> NUMPAGES </w:instrText>
    </w:r>
    <w:r w:rsidR="00264913">
      <w:fldChar w:fldCharType="separate"/>
    </w:r>
    <w:r w:rsidR="00264913">
      <w:rPr>
        <w:noProof/>
      </w:rPr>
      <w:t>3</w:t>
    </w:r>
    <w:r w:rsidR="0026491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7FC30" w14:textId="77777777" w:rsidR="003A526F" w:rsidRDefault="003A526F">
      <w:r>
        <w:rPr>
          <w:color w:val="000000"/>
        </w:rPr>
        <w:separator/>
      </w:r>
    </w:p>
  </w:footnote>
  <w:footnote w:type="continuationSeparator" w:id="0">
    <w:p w14:paraId="72943793" w14:textId="77777777" w:rsidR="003A526F" w:rsidRDefault="003A52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536B0" w14:textId="77777777" w:rsidR="008C3EF0" w:rsidRDefault="008C3EF0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3F807" w14:textId="77777777" w:rsidR="007D2CBA" w:rsidRDefault="007D2CBA" w:rsidP="007D2CBA">
    <w:pPr>
      <w:pStyle w:val="En-tte"/>
      <w:jc w:val="right"/>
      <w:rPr>
        <w:b/>
        <w:bCs/>
      </w:rPr>
    </w:pPr>
    <w:r>
      <w:rPr>
        <w:b/>
        <w:bCs/>
        <w:noProof/>
        <w:lang w:eastAsia="fr-FR" w:bidi="ar-SA"/>
      </w:rPr>
      <w:drawing>
        <wp:anchor distT="0" distB="0" distL="114300" distR="114300" simplePos="0" relativeHeight="251659264" behindDoc="0" locked="0" layoutInCell="1" allowOverlap="1" wp14:anchorId="7FF0FE8B" wp14:editId="5B62299C">
          <wp:simplePos x="0" y="0"/>
          <wp:positionH relativeFrom="column">
            <wp:posOffset>2587</wp:posOffset>
          </wp:positionH>
          <wp:positionV relativeFrom="paragraph">
            <wp:posOffset>160020</wp:posOffset>
          </wp:positionV>
          <wp:extent cx="795020" cy="899160"/>
          <wp:effectExtent l="0" t="0" r="508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-ministe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899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</w:rPr>
      <w:tab/>
    </w:r>
  </w:p>
  <w:p w14:paraId="09EECE6E" w14:textId="77777777" w:rsidR="007D2CBA" w:rsidRDefault="007D2CBA" w:rsidP="007D2CBA">
    <w:pPr>
      <w:pStyle w:val="ServiceInfo-header"/>
      <w:spacing w:after="120"/>
      <w:rPr>
        <w:lang w:val="fr-FR"/>
      </w:rPr>
    </w:pPr>
    <w:r>
      <w:rPr>
        <w:lang w:val="fr-FR"/>
      </w:rPr>
      <w:t>Secrétariat général du Gouvernement</w:t>
    </w:r>
  </w:p>
  <w:p w14:paraId="29721A0B" w14:textId="77777777" w:rsidR="007D2CBA" w:rsidRPr="008B7400" w:rsidRDefault="007D2CBA" w:rsidP="007D2CBA">
    <w:pPr>
      <w:pStyle w:val="ServiceInfo-header"/>
      <w:rPr>
        <w:b w:val="0"/>
        <w:lang w:val="fr-FR"/>
      </w:rPr>
    </w:pPr>
    <w:r w:rsidRPr="008B7400">
      <w:rPr>
        <w:b w:val="0"/>
        <w:lang w:val="fr-FR"/>
      </w:rPr>
      <w:t xml:space="preserve">Direction des services </w:t>
    </w:r>
  </w:p>
  <w:p w14:paraId="195DE7CC" w14:textId="77777777" w:rsidR="007D2CBA" w:rsidRPr="002A0AF4" w:rsidRDefault="007D2CBA" w:rsidP="007D2CBA">
    <w:pPr>
      <w:pStyle w:val="ServiceInfo-header"/>
      <w:rPr>
        <w:lang w:val="fr-FR"/>
      </w:rPr>
    </w:pPr>
    <w:proofErr w:type="gramStart"/>
    <w:r w:rsidRPr="008B7400">
      <w:rPr>
        <w:b w:val="0"/>
        <w:lang w:val="fr-FR"/>
      </w:rPr>
      <w:t>administratifs</w:t>
    </w:r>
    <w:proofErr w:type="gramEnd"/>
    <w:r w:rsidRPr="008B7400">
      <w:rPr>
        <w:b w:val="0"/>
        <w:lang w:val="fr-FR"/>
      </w:rPr>
      <w:t xml:space="preserve"> et financiers</w:t>
    </w:r>
  </w:p>
  <w:p w14:paraId="429241BE" w14:textId="77777777" w:rsidR="007D2CBA" w:rsidRDefault="007D2CBA" w:rsidP="007D2CBA">
    <w:pPr>
      <w:pStyle w:val="En-tte"/>
      <w:jc w:val="center"/>
    </w:pPr>
  </w:p>
  <w:p w14:paraId="0CA76843" w14:textId="72301153" w:rsidR="008C3EF0" w:rsidRDefault="008C3EF0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D19F4"/>
    <w:multiLevelType w:val="hybridMultilevel"/>
    <w:tmpl w:val="C8FAD65E"/>
    <w:lvl w:ilvl="0" w:tplc="2C2ACC64">
      <w:start w:val="1"/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33669"/>
    <w:multiLevelType w:val="hybridMultilevel"/>
    <w:tmpl w:val="9AF41338"/>
    <w:lvl w:ilvl="0" w:tplc="CBF2BA4A">
      <w:start w:val="1"/>
      <w:numFmt w:val="decimal"/>
      <w:pStyle w:val="Titre2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A3344"/>
    <w:multiLevelType w:val="hybridMultilevel"/>
    <w:tmpl w:val="9D6CDC50"/>
    <w:lvl w:ilvl="0" w:tplc="A5762CB6">
      <w:start w:val="1"/>
      <w:numFmt w:val="upperRoman"/>
      <w:pStyle w:val="Titre1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D7FF6"/>
    <w:multiLevelType w:val="multilevel"/>
    <w:tmpl w:val="95FA00FA"/>
    <w:styleLink w:val="Liste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4" w15:restartNumberingAfterBreak="0">
    <w:nsid w:val="1D1C605E"/>
    <w:multiLevelType w:val="multilevel"/>
    <w:tmpl w:val="A6ACB256"/>
    <w:styleLink w:val="RTFNum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2BCC695A"/>
    <w:multiLevelType w:val="multilevel"/>
    <w:tmpl w:val="02DE3766"/>
    <w:styleLink w:val="Numbering2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abstractNum w:abstractNumId="6" w15:restartNumberingAfterBreak="0">
    <w:nsid w:val="30752582"/>
    <w:multiLevelType w:val="multilevel"/>
    <w:tmpl w:val="467A2A34"/>
    <w:styleLink w:val="Liste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7" w15:restartNumberingAfterBreak="0">
    <w:nsid w:val="3AC261E5"/>
    <w:multiLevelType w:val="multilevel"/>
    <w:tmpl w:val="D40691F6"/>
    <w:styleLink w:val="Numbering4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8" w15:restartNumberingAfterBreak="0">
    <w:nsid w:val="40204AAF"/>
    <w:multiLevelType w:val="multilevel"/>
    <w:tmpl w:val="DD84B92A"/>
    <w:styleLink w:val="Liste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9" w15:restartNumberingAfterBreak="0">
    <w:nsid w:val="463C357F"/>
    <w:multiLevelType w:val="multilevel"/>
    <w:tmpl w:val="20BAC244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0" w15:restartNumberingAfterBreak="0">
    <w:nsid w:val="561231FC"/>
    <w:multiLevelType w:val="multilevel"/>
    <w:tmpl w:val="91AC03DC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1" w15:restartNumberingAfterBreak="0">
    <w:nsid w:val="5C4916AB"/>
    <w:multiLevelType w:val="multilevel"/>
    <w:tmpl w:val="8318C2D0"/>
    <w:styleLink w:val="Liste21"/>
    <w:lvl w:ilvl="0">
      <w:numFmt w:val="bullet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abstractNum w:abstractNumId="12" w15:restartNumberingAfterBreak="0">
    <w:nsid w:val="679F1C81"/>
    <w:multiLevelType w:val="multilevel"/>
    <w:tmpl w:val="65AE239C"/>
    <w:styleLink w:val="Outline"/>
    <w:lvl w:ilvl="0">
      <w:start w:val="1"/>
      <w:numFmt w:val="decimal"/>
      <w:lvlText w:val="Article %1 -"/>
      <w:lvlJc w:val="left"/>
      <w:pPr>
        <w:ind w:left="0" w:firstLine="283"/>
      </w:pPr>
    </w:lvl>
    <w:lvl w:ilvl="1">
      <w:start w:val="1"/>
      <w:numFmt w:val="decimal"/>
      <w:lvlText w:val="%1.%2"/>
      <w:lvlJc w:val="left"/>
      <w:pPr>
        <w:ind w:left="0" w:firstLine="283"/>
      </w:pPr>
    </w:lvl>
    <w:lvl w:ilvl="2">
      <w:start w:val="1"/>
      <w:numFmt w:val="decimal"/>
      <w:pStyle w:val="Titre3"/>
      <w:lvlText w:val="%1.%2.%3"/>
      <w:lvlJc w:val="left"/>
      <w:pPr>
        <w:ind w:left="0" w:firstLine="283"/>
      </w:pPr>
    </w:lvl>
    <w:lvl w:ilvl="3">
      <w:start w:val="1"/>
      <w:numFmt w:val="lowerLetter"/>
      <w:pStyle w:val="Titre4"/>
      <w:lvlText w:val="%1.%2.%3.%4"/>
      <w:lvlJc w:val="left"/>
      <w:pPr>
        <w:ind w:left="0" w:firstLine="283"/>
      </w:pPr>
    </w:lvl>
    <w:lvl w:ilvl="4">
      <w:start w:val="1"/>
      <w:numFmt w:val="upperRoman"/>
      <w:pStyle w:val="Titre5"/>
      <w:lvlText w:val="%1.%2.%3.%4.%5"/>
      <w:lvlJc w:val="left"/>
      <w:pPr>
        <w:ind w:left="0" w:firstLine="283"/>
      </w:pPr>
    </w:lvl>
    <w:lvl w:ilvl="5">
      <w:start w:val="1"/>
      <w:numFmt w:val="lowerRoman"/>
      <w:pStyle w:val="Titre6"/>
      <w:lvlText w:val="%1.%2.%3.%4.%5.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3" w15:restartNumberingAfterBreak="0">
    <w:nsid w:val="6B501F35"/>
    <w:multiLevelType w:val="multilevel"/>
    <w:tmpl w:val="DD964FF0"/>
    <w:styleLink w:val="RTFNum2"/>
    <w:lvl w:ilvl="0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14" w15:restartNumberingAfterBreak="0">
    <w:nsid w:val="6C7768E2"/>
    <w:multiLevelType w:val="hybridMultilevel"/>
    <w:tmpl w:val="5D8C4394"/>
    <w:lvl w:ilvl="0" w:tplc="573C2C56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5F7066"/>
    <w:multiLevelType w:val="multilevel"/>
    <w:tmpl w:val="AE7A165A"/>
    <w:styleLink w:val="Numbering5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16" w15:restartNumberingAfterBreak="0">
    <w:nsid w:val="7C9B09F3"/>
    <w:multiLevelType w:val="multilevel"/>
    <w:tmpl w:val="E51E6196"/>
    <w:styleLink w:val="RTFNum4"/>
    <w:lvl w:ilvl="0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7" w15:restartNumberingAfterBreak="0">
    <w:nsid w:val="7D03350F"/>
    <w:multiLevelType w:val="multilevel"/>
    <w:tmpl w:val="6C8A8C2A"/>
    <w:styleLink w:val="List1"/>
    <w:lvl w:ilvl="0">
      <w:numFmt w:val="bullet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num w:numId="1" w16cid:durableId="1831288614">
    <w:abstractNumId w:val="12"/>
  </w:num>
  <w:num w:numId="2" w16cid:durableId="1078133423">
    <w:abstractNumId w:val="9"/>
  </w:num>
  <w:num w:numId="3" w16cid:durableId="1488670084">
    <w:abstractNumId w:val="5"/>
  </w:num>
  <w:num w:numId="4" w16cid:durableId="1184242540">
    <w:abstractNumId w:val="10"/>
  </w:num>
  <w:num w:numId="5" w16cid:durableId="1334070501">
    <w:abstractNumId w:val="7"/>
  </w:num>
  <w:num w:numId="6" w16cid:durableId="1678922949">
    <w:abstractNumId w:val="15"/>
  </w:num>
  <w:num w:numId="7" w16cid:durableId="1740977053">
    <w:abstractNumId w:val="17"/>
  </w:num>
  <w:num w:numId="8" w16cid:durableId="180704964">
    <w:abstractNumId w:val="11"/>
  </w:num>
  <w:num w:numId="9" w16cid:durableId="1375689343">
    <w:abstractNumId w:val="6"/>
  </w:num>
  <w:num w:numId="10" w16cid:durableId="980234115">
    <w:abstractNumId w:val="8"/>
  </w:num>
  <w:num w:numId="11" w16cid:durableId="530723309">
    <w:abstractNumId w:val="3"/>
  </w:num>
  <w:num w:numId="12" w16cid:durableId="1033116478">
    <w:abstractNumId w:val="13"/>
  </w:num>
  <w:num w:numId="13" w16cid:durableId="1034772749">
    <w:abstractNumId w:val="4"/>
  </w:num>
  <w:num w:numId="14" w16cid:durableId="55931614">
    <w:abstractNumId w:val="16"/>
  </w:num>
  <w:num w:numId="15" w16cid:durableId="16299662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4792280">
    <w:abstractNumId w:val="2"/>
  </w:num>
  <w:num w:numId="17" w16cid:durableId="1636527301">
    <w:abstractNumId w:val="2"/>
  </w:num>
  <w:num w:numId="18" w16cid:durableId="684264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94331492">
    <w:abstractNumId w:val="0"/>
  </w:num>
  <w:num w:numId="20" w16cid:durableId="419062155">
    <w:abstractNumId w:val="2"/>
  </w:num>
  <w:num w:numId="21" w16cid:durableId="71508370">
    <w:abstractNumId w:val="2"/>
  </w:num>
  <w:num w:numId="22" w16cid:durableId="381487878">
    <w:abstractNumId w:val="2"/>
  </w:num>
  <w:num w:numId="23" w16cid:durableId="1831676518">
    <w:abstractNumId w:val="2"/>
  </w:num>
  <w:num w:numId="24" w16cid:durableId="1115055664">
    <w:abstractNumId w:val="2"/>
  </w:num>
  <w:num w:numId="25" w16cid:durableId="947739388">
    <w:abstractNumId w:val="2"/>
  </w:num>
  <w:num w:numId="26" w16cid:durableId="1307660672">
    <w:abstractNumId w:val="2"/>
  </w:num>
  <w:num w:numId="27" w16cid:durableId="1343821123">
    <w:abstractNumId w:val="2"/>
  </w:num>
  <w:num w:numId="28" w16cid:durableId="1277832805">
    <w:abstractNumId w:val="14"/>
  </w:num>
  <w:num w:numId="29" w16cid:durableId="142966559">
    <w:abstractNumId w:val="2"/>
  </w:num>
  <w:num w:numId="30" w16cid:durableId="1510291676">
    <w:abstractNumId w:val="2"/>
  </w:num>
  <w:num w:numId="31" w16cid:durableId="1514370625">
    <w:abstractNumId w:val="2"/>
  </w:num>
  <w:num w:numId="32" w16cid:durableId="640380042">
    <w:abstractNumId w:val="2"/>
  </w:num>
  <w:num w:numId="33" w16cid:durableId="1341395983">
    <w:abstractNumId w:val="2"/>
  </w:num>
  <w:num w:numId="34" w16cid:durableId="1715041990">
    <w:abstractNumId w:val="2"/>
  </w:num>
  <w:num w:numId="35" w16cid:durableId="13646722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6"/>
  <w:autoHyphenation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1A8"/>
    <w:rsid w:val="00013533"/>
    <w:rsid w:val="00015A18"/>
    <w:rsid w:val="000174CD"/>
    <w:rsid w:val="00044769"/>
    <w:rsid w:val="00051553"/>
    <w:rsid w:val="00054383"/>
    <w:rsid w:val="00063DA2"/>
    <w:rsid w:val="00083347"/>
    <w:rsid w:val="00092A8C"/>
    <w:rsid w:val="00093DBF"/>
    <w:rsid w:val="000C566A"/>
    <w:rsid w:val="000D0081"/>
    <w:rsid w:val="000D325C"/>
    <w:rsid w:val="000E001A"/>
    <w:rsid w:val="00162E4A"/>
    <w:rsid w:val="001822D1"/>
    <w:rsid w:val="001C5FEB"/>
    <w:rsid w:val="001E1AE1"/>
    <w:rsid w:val="001E7C2B"/>
    <w:rsid w:val="00264913"/>
    <w:rsid w:val="002B36C9"/>
    <w:rsid w:val="002C4328"/>
    <w:rsid w:val="002C507B"/>
    <w:rsid w:val="002C7DA4"/>
    <w:rsid w:val="002D7399"/>
    <w:rsid w:val="00303325"/>
    <w:rsid w:val="00312DBE"/>
    <w:rsid w:val="003367FF"/>
    <w:rsid w:val="003404ED"/>
    <w:rsid w:val="0036686B"/>
    <w:rsid w:val="00373CFB"/>
    <w:rsid w:val="00375FD0"/>
    <w:rsid w:val="003974ED"/>
    <w:rsid w:val="003A526F"/>
    <w:rsid w:val="003B2967"/>
    <w:rsid w:val="003B41F3"/>
    <w:rsid w:val="003B6798"/>
    <w:rsid w:val="003C2BB5"/>
    <w:rsid w:val="003D673B"/>
    <w:rsid w:val="00404EE0"/>
    <w:rsid w:val="00417B70"/>
    <w:rsid w:val="00445515"/>
    <w:rsid w:val="00464671"/>
    <w:rsid w:val="00486C30"/>
    <w:rsid w:val="004A6528"/>
    <w:rsid w:val="00556751"/>
    <w:rsid w:val="005910AB"/>
    <w:rsid w:val="005943EB"/>
    <w:rsid w:val="005A421B"/>
    <w:rsid w:val="005B1F24"/>
    <w:rsid w:val="005B24C4"/>
    <w:rsid w:val="005C15FD"/>
    <w:rsid w:val="006053BE"/>
    <w:rsid w:val="0069601C"/>
    <w:rsid w:val="006D2AC2"/>
    <w:rsid w:val="006F4EFF"/>
    <w:rsid w:val="0073011C"/>
    <w:rsid w:val="00761616"/>
    <w:rsid w:val="007671A8"/>
    <w:rsid w:val="007740DC"/>
    <w:rsid w:val="00780552"/>
    <w:rsid w:val="007D2CBA"/>
    <w:rsid w:val="00820141"/>
    <w:rsid w:val="008243D8"/>
    <w:rsid w:val="00824424"/>
    <w:rsid w:val="008469E6"/>
    <w:rsid w:val="00861542"/>
    <w:rsid w:val="00876E97"/>
    <w:rsid w:val="008845AB"/>
    <w:rsid w:val="008B3920"/>
    <w:rsid w:val="008C3EF0"/>
    <w:rsid w:val="008E0664"/>
    <w:rsid w:val="008F6BC3"/>
    <w:rsid w:val="00922118"/>
    <w:rsid w:val="009235EC"/>
    <w:rsid w:val="00934573"/>
    <w:rsid w:val="00940294"/>
    <w:rsid w:val="009618EC"/>
    <w:rsid w:val="00967BAB"/>
    <w:rsid w:val="009858C3"/>
    <w:rsid w:val="009914ED"/>
    <w:rsid w:val="009A35C5"/>
    <w:rsid w:val="009A53C8"/>
    <w:rsid w:val="009B3366"/>
    <w:rsid w:val="00A23B61"/>
    <w:rsid w:val="00A30ADF"/>
    <w:rsid w:val="00A7529D"/>
    <w:rsid w:val="00AB6225"/>
    <w:rsid w:val="00AC119A"/>
    <w:rsid w:val="00AC40BE"/>
    <w:rsid w:val="00AD03FF"/>
    <w:rsid w:val="00AF053E"/>
    <w:rsid w:val="00B1553C"/>
    <w:rsid w:val="00B25647"/>
    <w:rsid w:val="00B4454F"/>
    <w:rsid w:val="00B470D0"/>
    <w:rsid w:val="00B56EB6"/>
    <w:rsid w:val="00B96A46"/>
    <w:rsid w:val="00BA140E"/>
    <w:rsid w:val="00BC262B"/>
    <w:rsid w:val="00BF1004"/>
    <w:rsid w:val="00C2362F"/>
    <w:rsid w:val="00C40374"/>
    <w:rsid w:val="00C43149"/>
    <w:rsid w:val="00C50DB1"/>
    <w:rsid w:val="00C56DDC"/>
    <w:rsid w:val="00C70343"/>
    <w:rsid w:val="00C96999"/>
    <w:rsid w:val="00D0402F"/>
    <w:rsid w:val="00D12762"/>
    <w:rsid w:val="00D2760E"/>
    <w:rsid w:val="00D451E4"/>
    <w:rsid w:val="00D5106D"/>
    <w:rsid w:val="00D54634"/>
    <w:rsid w:val="00D629C7"/>
    <w:rsid w:val="00D63CD9"/>
    <w:rsid w:val="00D728A8"/>
    <w:rsid w:val="00DA04A8"/>
    <w:rsid w:val="00DF679E"/>
    <w:rsid w:val="00E378E3"/>
    <w:rsid w:val="00E430D5"/>
    <w:rsid w:val="00E51513"/>
    <w:rsid w:val="00E5344A"/>
    <w:rsid w:val="00EA4190"/>
    <w:rsid w:val="00EC4C08"/>
    <w:rsid w:val="00ED1A34"/>
    <w:rsid w:val="00ED2DE6"/>
    <w:rsid w:val="00EE2126"/>
    <w:rsid w:val="00EF15AE"/>
    <w:rsid w:val="00F112EC"/>
    <w:rsid w:val="00F264E1"/>
    <w:rsid w:val="00F52D40"/>
    <w:rsid w:val="00FB6691"/>
    <w:rsid w:val="00FC44FB"/>
    <w:rsid w:val="00FD1C2D"/>
    <w:rsid w:val="00FD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25A3BBF8"/>
  <w15:docId w15:val="{EF232467-4752-4323-BD95-F0FFF9007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kern w:val="3"/>
        <w:sz w:val="24"/>
        <w:szCs w:val="24"/>
        <w:lang w:val="fr-FR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325"/>
    <w:rPr>
      <w:rFonts w:ascii="Arial" w:hAnsi="Arial"/>
    </w:rPr>
  </w:style>
  <w:style w:type="paragraph" w:styleId="Titre1">
    <w:name w:val="heading 1"/>
    <w:basedOn w:val="Normal"/>
    <w:next w:val="Standard"/>
    <w:rsid w:val="00D5106D"/>
    <w:pPr>
      <w:widowControl/>
      <w:numPr>
        <w:numId w:val="16"/>
      </w:numPr>
      <w:autoSpaceDN/>
      <w:jc w:val="both"/>
      <w:textAlignment w:val="auto"/>
      <w:outlineLvl w:val="0"/>
    </w:pPr>
    <w:rPr>
      <w:rFonts w:cs="Arial"/>
      <w:b/>
      <w:sz w:val="20"/>
      <w:szCs w:val="20"/>
    </w:rPr>
  </w:style>
  <w:style w:type="paragraph" w:styleId="Titre2">
    <w:name w:val="heading 2"/>
    <w:basedOn w:val="Paragraphedeliste"/>
    <w:next w:val="Standard"/>
    <w:rsid w:val="00D5106D"/>
    <w:pPr>
      <w:numPr>
        <w:numId w:val="15"/>
      </w:numPr>
      <w:suppressAutoHyphens w:val="0"/>
      <w:outlineLvl w:val="1"/>
    </w:pPr>
    <w:rPr>
      <w:rFonts w:cs="Arial"/>
      <w:sz w:val="20"/>
      <w:szCs w:val="20"/>
    </w:rPr>
  </w:style>
  <w:style w:type="paragraph" w:styleId="Titre3">
    <w:name w:val="heading 3"/>
    <w:basedOn w:val="Standard"/>
    <w:next w:val="Standar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basedOn w:val="Standard"/>
    <w:next w:val="Textbody"/>
    <w:autoRedefine/>
    <w:pPr>
      <w:keepNext/>
      <w:keepLines/>
      <w:numPr>
        <w:ilvl w:val="3"/>
        <w:numId w:val="1"/>
      </w:numPr>
      <w:spacing w:before="283" w:after="57"/>
      <w:outlineLvl w:val="3"/>
    </w:pPr>
    <w:rPr>
      <w:b/>
      <w:bCs/>
      <w:i/>
      <w:iCs/>
      <w:sz w:val="24"/>
    </w:rPr>
  </w:style>
  <w:style w:type="paragraph" w:styleId="Titre5">
    <w:name w:val="heading 5"/>
    <w:basedOn w:val="Standard"/>
    <w:next w:val="Textbody"/>
    <w:autoRedefine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Textbody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left"/>
      <w:outlineLvl w:val="5"/>
    </w:pPr>
    <w:rPr>
      <w:bCs/>
      <w:sz w:val="21"/>
    </w:rPr>
  </w:style>
  <w:style w:type="paragraph" w:styleId="Titre7">
    <w:name w:val="heading 7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6"/>
    </w:pPr>
    <w:rPr>
      <w:bCs/>
      <w:sz w:val="20"/>
    </w:rPr>
  </w:style>
  <w:style w:type="paragraph" w:styleId="Titre8">
    <w:name w:val="heading 8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7"/>
    </w:pPr>
    <w:rPr>
      <w:bCs/>
      <w:sz w:val="20"/>
    </w:rPr>
  </w:style>
  <w:style w:type="paragraph" w:styleId="Titre9">
    <w:name w:val="heading 9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  <w:outlineLvl w:val="8"/>
    </w:pPr>
    <w:rPr>
      <w:bC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autoRedefine/>
    <w:pPr>
      <w:spacing w:before="113"/>
      <w:jc w:val="both"/>
      <w:textAlignment w:val="center"/>
    </w:pPr>
    <w:rPr>
      <w:rFonts w:ascii="Arial" w:hAnsi="Arial"/>
      <w:sz w:val="21"/>
    </w:rPr>
  </w:style>
  <w:style w:type="paragraph" w:customStyle="1" w:styleId="Heading">
    <w:name w:val="Heading"/>
    <w:basedOn w:val="Standard"/>
    <w:next w:val="Textbody"/>
    <w:autoRedefine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customStyle="1" w:styleId="Textbody">
    <w:name w:val="Text body"/>
    <w:basedOn w:val="Standard"/>
    <w:autoRedefine/>
    <w:pPr>
      <w:keepLines/>
      <w:spacing w:before="57" w:after="57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  <w:rPr>
      <w:sz w:val="17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uiPriority w:val="99"/>
    <w:pPr>
      <w:suppressLineNumbers/>
      <w:tabs>
        <w:tab w:val="center" w:pos="4818"/>
        <w:tab w:val="right" w:pos="9637"/>
      </w:tabs>
    </w:pPr>
  </w:style>
  <w:style w:type="paragraph" w:customStyle="1" w:styleId="numration1lamarge">
    <w:name w:val="énumération 1  à la marge"/>
    <w:basedOn w:val="Standard"/>
    <w:pPr>
      <w:tabs>
        <w:tab w:val="left" w:pos="360"/>
      </w:tabs>
      <w:spacing w:before="0" w:after="120"/>
      <w:ind w:left="360" w:hanging="360"/>
    </w:pPr>
  </w:style>
  <w:style w:type="paragraph" w:customStyle="1" w:styleId="ContentsHeading">
    <w:name w:val="Contents Heading"/>
    <w:basedOn w:val="Heading"/>
    <w:pPr>
      <w:suppressLineNumbers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autoRedefine/>
    <w:pPr>
      <w:tabs>
        <w:tab w:val="right" w:leader="dot" w:pos="9637"/>
      </w:tabs>
      <w:spacing w:before="170" w:after="113"/>
    </w:pPr>
  </w:style>
  <w:style w:type="paragraph" w:customStyle="1" w:styleId="Contents2">
    <w:name w:val="Contents 2"/>
    <w:basedOn w:val="Index"/>
    <w:pPr>
      <w:spacing w:before="57" w:after="57"/>
    </w:pPr>
  </w:style>
  <w:style w:type="paragraph" w:customStyle="1" w:styleId="Contents3">
    <w:name w:val="Contents 3"/>
    <w:basedOn w:val="Index"/>
    <w:pPr>
      <w:tabs>
        <w:tab w:val="right" w:leader="dot" w:pos="9241"/>
      </w:tabs>
      <w:spacing w:before="57" w:after="57"/>
      <w:ind w:left="170"/>
    </w:pPr>
  </w:style>
  <w:style w:type="paragraph" w:customStyle="1" w:styleId="Contents4">
    <w:name w:val="Contents 4"/>
    <w:basedOn w:val="Index"/>
    <w:pPr>
      <w:tabs>
        <w:tab w:val="right" w:leader="dot" w:pos="9128"/>
      </w:tabs>
      <w:spacing w:before="57" w:after="57"/>
      <w:ind w:left="340"/>
    </w:pPr>
  </w:style>
  <w:style w:type="paragraph" w:customStyle="1" w:styleId="Contents5">
    <w:name w:val="Contents 5"/>
    <w:basedOn w:val="Index"/>
    <w:pPr>
      <w:tabs>
        <w:tab w:val="right" w:leader="dot" w:pos="9015"/>
      </w:tabs>
      <w:spacing w:before="57" w:after="57"/>
      <w:ind w:left="510"/>
    </w:pPr>
  </w:style>
  <w:style w:type="paragraph" w:customStyle="1" w:styleId="UserIndex1">
    <w:name w:val="User Index 1"/>
    <w:basedOn w:val="Index"/>
    <w:pPr>
      <w:tabs>
        <w:tab w:val="right" w:leader="dot" w:pos="9637"/>
      </w:tabs>
      <w:spacing w:before="0"/>
    </w:pPr>
  </w:style>
  <w:style w:type="paragraph" w:styleId="Pieddepage">
    <w:name w:val="footer"/>
    <w:basedOn w:val="Standard"/>
    <w:pPr>
      <w:suppressLineNumbers/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20"/>
    </w:rPr>
  </w:style>
  <w:style w:type="paragraph" w:customStyle="1" w:styleId="Footerleft">
    <w:name w:val="Footer left"/>
    <w:basedOn w:val="Standard"/>
    <w:autoRedefine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Footerright">
    <w:name w:val="Footer right"/>
    <w:basedOn w:val="Standard"/>
    <w:pPr>
      <w:suppressLineNumbers/>
      <w:tabs>
        <w:tab w:val="center" w:pos="4818"/>
        <w:tab w:val="right" w:pos="9637"/>
      </w:tabs>
    </w:pPr>
    <w:rPr>
      <w:sz w:val="20"/>
    </w:rPr>
  </w:style>
  <w:style w:type="paragraph" w:customStyle="1" w:styleId="Heading10">
    <w:name w:val="Heading 10"/>
    <w:basedOn w:val="Heading"/>
    <w:next w:val="Textbod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ind w:firstLine="567"/>
      <w:jc w:val="both"/>
    </w:pPr>
    <w:rPr>
      <w:bCs/>
      <w:sz w:val="20"/>
    </w:rPr>
  </w:style>
  <w:style w:type="paragraph" w:customStyle="1" w:styleId="Table">
    <w:name w:val="Table"/>
    <w:basedOn w:val="Lgende"/>
    <w:rPr>
      <w:i w:val="0"/>
      <w:sz w:val="17"/>
    </w:rPr>
  </w:style>
  <w:style w:type="paragraph" w:customStyle="1" w:styleId="Numbering1">
    <w:name w:val="Numbering 1"/>
    <w:basedOn w:val="Liste"/>
    <w:pPr>
      <w:spacing w:before="0" w:after="120"/>
      <w:ind w:left="360" w:hanging="360"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RTFNum21">
    <w:name w:val="RTF_Num 2 1"/>
    <w:rPr>
      <w:rFonts w:ascii="Wingdings" w:eastAsia="Wingdings" w:hAnsi="Wingdings" w:cs="Wingdings"/>
    </w:rPr>
  </w:style>
  <w:style w:type="character" w:customStyle="1" w:styleId="RTFNum31">
    <w:name w:val="RTF_Num 3 1"/>
    <w:rPr>
      <w:rFonts w:cs="Times New Roman"/>
    </w:rPr>
  </w:style>
  <w:style w:type="character" w:customStyle="1" w:styleId="RTFNum32">
    <w:name w:val="RTF_Num 3 2"/>
    <w:rPr>
      <w:rFonts w:cs="Times New Roman"/>
    </w:rPr>
  </w:style>
  <w:style w:type="character" w:customStyle="1" w:styleId="RTFNum33">
    <w:name w:val="RTF_Num 3 3"/>
    <w:rPr>
      <w:rFonts w:cs="Times New Roman"/>
    </w:rPr>
  </w:style>
  <w:style w:type="character" w:customStyle="1" w:styleId="RTFNum34">
    <w:name w:val="RTF_Num 3 4"/>
    <w:rPr>
      <w:rFonts w:cs="Times New Roman"/>
    </w:rPr>
  </w:style>
  <w:style w:type="character" w:customStyle="1" w:styleId="RTFNum35">
    <w:name w:val="RTF_Num 3 5"/>
    <w:rPr>
      <w:rFonts w:cs="Times New Roman"/>
    </w:rPr>
  </w:style>
  <w:style w:type="character" w:customStyle="1" w:styleId="RTFNum36">
    <w:name w:val="RTF_Num 3 6"/>
    <w:rPr>
      <w:rFonts w:cs="Times New Roman"/>
    </w:rPr>
  </w:style>
  <w:style w:type="character" w:customStyle="1" w:styleId="RTFNum37">
    <w:name w:val="RTF_Num 3 7"/>
    <w:rPr>
      <w:rFonts w:cs="Times New Roman"/>
    </w:rPr>
  </w:style>
  <w:style w:type="character" w:customStyle="1" w:styleId="RTFNum38">
    <w:name w:val="RTF_Num 3 8"/>
    <w:rPr>
      <w:rFonts w:cs="Times New Roman"/>
    </w:rPr>
  </w:style>
  <w:style w:type="character" w:customStyle="1" w:styleId="RTFNum39">
    <w:name w:val="RTF_Num 3 9"/>
    <w:rPr>
      <w:rFonts w:cs="Times New Roman"/>
    </w:rPr>
  </w:style>
  <w:style w:type="character" w:customStyle="1" w:styleId="RTFNum41">
    <w:name w:val="RTF_Num 4 1"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rPr>
      <w:rFonts w:ascii="Courier New" w:eastAsia="Courier New" w:hAnsi="Courier New" w:cs="Courier New"/>
    </w:rPr>
  </w:style>
  <w:style w:type="character" w:customStyle="1" w:styleId="RTFNum43">
    <w:name w:val="RTF_Num 4 3"/>
    <w:rPr>
      <w:rFonts w:ascii="Wingdings" w:eastAsia="Wingdings" w:hAnsi="Wingdings" w:cs="Wingdings"/>
    </w:rPr>
  </w:style>
  <w:style w:type="character" w:customStyle="1" w:styleId="RTFNum44">
    <w:name w:val="RTF_Num 4 4"/>
    <w:rPr>
      <w:rFonts w:ascii="Symbol" w:eastAsia="Symbol" w:hAnsi="Symbol" w:cs="Symbol"/>
    </w:rPr>
  </w:style>
  <w:style w:type="character" w:customStyle="1" w:styleId="RTFNum45">
    <w:name w:val="RTF_Num 4 5"/>
    <w:rPr>
      <w:rFonts w:ascii="Courier New" w:eastAsia="Courier New" w:hAnsi="Courier New" w:cs="Courier New"/>
    </w:rPr>
  </w:style>
  <w:style w:type="character" w:customStyle="1" w:styleId="RTFNum46">
    <w:name w:val="RTF_Num 4 6"/>
    <w:rPr>
      <w:rFonts w:ascii="Wingdings" w:eastAsia="Wingdings" w:hAnsi="Wingdings" w:cs="Wingdings"/>
    </w:rPr>
  </w:style>
  <w:style w:type="character" w:customStyle="1" w:styleId="RTFNum47">
    <w:name w:val="RTF_Num 4 7"/>
    <w:rPr>
      <w:rFonts w:ascii="Symbol" w:eastAsia="Symbol" w:hAnsi="Symbol" w:cs="Symbol"/>
    </w:rPr>
  </w:style>
  <w:style w:type="character" w:customStyle="1" w:styleId="RTFNum48">
    <w:name w:val="RTF_Num 4 8"/>
    <w:rPr>
      <w:rFonts w:ascii="Courier New" w:eastAsia="Courier New" w:hAnsi="Courier New" w:cs="Courier New"/>
    </w:rPr>
  </w:style>
  <w:style w:type="character" w:customStyle="1" w:styleId="RTFNum49">
    <w:name w:val="RTF_Num 4 9"/>
    <w:rPr>
      <w:rFonts w:ascii="Wingdings" w:eastAsia="Wingdings" w:hAnsi="Wingdings" w:cs="Wingdings"/>
    </w:rPr>
  </w:style>
  <w:style w:type="character" w:customStyle="1" w:styleId="Titre1Car">
    <w:name w:val="Titre 1 Car"/>
    <w:basedOn w:val="Policepardfaut"/>
    <w:rPr>
      <w:rFonts w:ascii="Arial" w:eastAsia="Arial" w:hAnsi="Arial" w:cs="Arial"/>
      <w:color w:val="808080"/>
      <w:sz w:val="24"/>
      <w:szCs w:val="24"/>
    </w:rPr>
  </w:style>
  <w:style w:type="character" w:customStyle="1" w:styleId="Titre2Car">
    <w:name w:val="Titre 2 Car"/>
    <w:basedOn w:val="Policepardfaut"/>
    <w:rPr>
      <w:rFonts w:ascii="Arial" w:eastAsia="Arial" w:hAnsi="Arial" w:cs="Arial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rPr>
      <w:rFonts w:ascii="Arial" w:eastAsia="Arial" w:hAnsi="Arial" w:cs="Arial"/>
      <w:b/>
      <w:bCs/>
      <w:sz w:val="26"/>
      <w:szCs w:val="26"/>
    </w:rPr>
  </w:style>
  <w:style w:type="character" w:customStyle="1" w:styleId="CorpsdetexteCar">
    <w:name w:val="Corps de texte Car"/>
    <w:basedOn w:val="Policepardfaut"/>
    <w:rPr>
      <w:rFonts w:ascii="Arial" w:eastAsia="Arial" w:hAnsi="Arial" w:cs="Arial"/>
      <w:b/>
      <w:bCs/>
      <w:sz w:val="24"/>
      <w:szCs w:val="24"/>
    </w:rPr>
  </w:style>
  <w:style w:type="character" w:customStyle="1" w:styleId="En-tteCar">
    <w:name w:val="En-tête Car"/>
    <w:basedOn w:val="Policepardfaut"/>
    <w:uiPriority w:val="99"/>
    <w:rPr>
      <w:rFonts w:ascii="Arial" w:eastAsia="Arial" w:hAnsi="Arial" w:cs="Arial"/>
      <w:sz w:val="24"/>
      <w:szCs w:val="24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umberingSymbols">
    <w:name w:val="Numbering Symbols"/>
  </w:style>
  <w:style w:type="character" w:customStyle="1" w:styleId="StrongEmphasis">
    <w:name w:val="Strong Emphasis"/>
    <w:rPr>
      <w:b/>
      <w:bCs/>
    </w:rPr>
  </w:style>
  <w:style w:type="numbering" w:customStyle="1" w:styleId="Numbering11">
    <w:name w:val="Numbering 1_1"/>
    <w:basedOn w:val="Aucuneliste"/>
    <w:pPr>
      <w:numPr>
        <w:numId w:val="2"/>
      </w:numPr>
    </w:pPr>
  </w:style>
  <w:style w:type="numbering" w:customStyle="1" w:styleId="Numbering2">
    <w:name w:val="Numbering 2"/>
    <w:basedOn w:val="Aucuneliste"/>
    <w:pPr>
      <w:numPr>
        <w:numId w:val="3"/>
      </w:numPr>
    </w:pPr>
  </w:style>
  <w:style w:type="numbering" w:customStyle="1" w:styleId="Numbering3">
    <w:name w:val="Numbering 3"/>
    <w:basedOn w:val="Aucuneliste"/>
    <w:pPr>
      <w:numPr>
        <w:numId w:val="4"/>
      </w:numPr>
    </w:pPr>
  </w:style>
  <w:style w:type="numbering" w:customStyle="1" w:styleId="Numbering4">
    <w:name w:val="Numbering 4"/>
    <w:basedOn w:val="Aucuneliste"/>
    <w:pPr>
      <w:numPr>
        <w:numId w:val="5"/>
      </w:numPr>
    </w:pPr>
  </w:style>
  <w:style w:type="numbering" w:customStyle="1" w:styleId="Numbering5">
    <w:name w:val="Numbering 5"/>
    <w:basedOn w:val="Aucuneliste"/>
    <w:pPr>
      <w:numPr>
        <w:numId w:val="6"/>
      </w:numPr>
    </w:pPr>
  </w:style>
  <w:style w:type="numbering" w:customStyle="1" w:styleId="List1">
    <w:name w:val="List 1"/>
    <w:basedOn w:val="Aucuneliste"/>
    <w:pPr>
      <w:numPr>
        <w:numId w:val="7"/>
      </w:numPr>
    </w:pPr>
  </w:style>
  <w:style w:type="numbering" w:customStyle="1" w:styleId="Liste21">
    <w:name w:val="Liste 21"/>
    <w:basedOn w:val="Aucuneliste"/>
    <w:pPr>
      <w:numPr>
        <w:numId w:val="8"/>
      </w:numPr>
    </w:pPr>
  </w:style>
  <w:style w:type="numbering" w:customStyle="1" w:styleId="Liste31">
    <w:name w:val="Liste 31"/>
    <w:basedOn w:val="Aucuneliste"/>
    <w:pPr>
      <w:numPr>
        <w:numId w:val="9"/>
      </w:numPr>
    </w:pPr>
  </w:style>
  <w:style w:type="numbering" w:customStyle="1" w:styleId="Liste41">
    <w:name w:val="Liste 41"/>
    <w:basedOn w:val="Aucuneliste"/>
    <w:pPr>
      <w:numPr>
        <w:numId w:val="10"/>
      </w:numPr>
    </w:pPr>
  </w:style>
  <w:style w:type="numbering" w:customStyle="1" w:styleId="Liste51">
    <w:name w:val="Liste 51"/>
    <w:basedOn w:val="Aucuneliste"/>
    <w:pPr>
      <w:numPr>
        <w:numId w:val="11"/>
      </w:numPr>
    </w:pPr>
  </w:style>
  <w:style w:type="numbering" w:customStyle="1" w:styleId="RTFNum2">
    <w:name w:val="RTF_Num 2"/>
    <w:basedOn w:val="Aucuneliste"/>
    <w:pPr>
      <w:numPr>
        <w:numId w:val="12"/>
      </w:numPr>
    </w:pPr>
  </w:style>
  <w:style w:type="numbering" w:customStyle="1" w:styleId="RTFNum3">
    <w:name w:val="RTF_Num 3"/>
    <w:basedOn w:val="Aucuneliste"/>
    <w:pPr>
      <w:numPr>
        <w:numId w:val="13"/>
      </w:numPr>
    </w:pPr>
  </w:style>
  <w:style w:type="numbering" w:customStyle="1" w:styleId="RTFNum4">
    <w:name w:val="RTF_Num 4"/>
    <w:basedOn w:val="Aucuneliste"/>
    <w:pPr>
      <w:numPr>
        <w:numId w:val="14"/>
      </w:numPr>
    </w:pPr>
  </w:style>
  <w:style w:type="paragraph" w:styleId="Paragraphedeliste">
    <w:name w:val="List Paragraph"/>
    <w:basedOn w:val="Normal"/>
    <w:uiPriority w:val="34"/>
    <w:qFormat/>
    <w:rsid w:val="00D5106D"/>
    <w:pPr>
      <w:widowControl/>
      <w:autoSpaceDN/>
      <w:ind w:left="708"/>
      <w:jc w:val="both"/>
      <w:textAlignment w:val="auto"/>
    </w:pPr>
    <w:rPr>
      <w:rFonts w:eastAsia="Times New Roman" w:cs="Times New Roman"/>
      <w:kern w:val="0"/>
      <w:lang w:eastAsia="ar-SA" w:bidi="ar-SA"/>
    </w:rPr>
  </w:style>
  <w:style w:type="character" w:styleId="Marquedecommentaire">
    <w:name w:val="annotation reference"/>
    <w:basedOn w:val="Policepardfaut"/>
    <w:semiHidden/>
    <w:unhideWhenUsed/>
    <w:rsid w:val="00D5106D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D5106D"/>
    <w:pPr>
      <w:widowControl/>
      <w:autoSpaceDN/>
      <w:jc w:val="both"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5106D"/>
    <w:rPr>
      <w:rFonts w:ascii="Arial" w:eastAsia="Times New Roman" w:hAnsi="Arial" w:cs="Times New Roman"/>
      <w:kern w:val="0"/>
      <w:sz w:val="20"/>
      <w:szCs w:val="20"/>
      <w:lang w:eastAsia="ar-SA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5106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106D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71A8"/>
    <w:pPr>
      <w:widowControl w:val="0"/>
      <w:autoSpaceDN w:val="0"/>
      <w:jc w:val="left"/>
      <w:textAlignment w:val="baseline"/>
    </w:pPr>
    <w:rPr>
      <w:rFonts w:eastAsia="Andale Sans UI" w:cs="Tahoma"/>
      <w:b/>
      <w:bCs/>
      <w:kern w:val="3"/>
      <w:lang w:eastAsia="ja-JP" w:bidi="fa-I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671A8"/>
    <w:rPr>
      <w:rFonts w:ascii="Arial" w:eastAsia="Times New Roman" w:hAnsi="Arial" w:cs="Times New Roman"/>
      <w:b/>
      <w:bCs/>
      <w:kern w:val="0"/>
      <w:sz w:val="20"/>
      <w:szCs w:val="20"/>
      <w:lang w:eastAsia="ar-SA" w:bidi="ar-SA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7D2CBA"/>
    <w:pPr>
      <w:suppressLineNumbers w:val="0"/>
      <w:tabs>
        <w:tab w:val="clear" w:pos="4818"/>
        <w:tab w:val="clear" w:pos="9637"/>
        <w:tab w:val="right" w:pos="9026"/>
      </w:tabs>
      <w:suppressAutoHyphens w:val="0"/>
      <w:autoSpaceDE w:val="0"/>
      <w:spacing w:before="0"/>
      <w:jc w:val="right"/>
      <w:textAlignment w:val="auto"/>
    </w:pPr>
    <w:rPr>
      <w:rFonts w:eastAsia="Arial" w:cs="Arial"/>
      <w:b/>
      <w:bCs/>
      <w:kern w:val="0"/>
      <w:lang w:val="en-US" w:eastAsia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7D2CBA"/>
    <w:rPr>
      <w:rFonts w:ascii="Arial" w:eastAsia="Arial" w:hAnsi="Arial" w:cs="Arial"/>
      <w:b/>
      <w:bCs/>
      <w:kern w:val="0"/>
      <w:sz w:val="21"/>
      <w:szCs w:val="24"/>
      <w:lang w:val="en-US" w:eastAsia="en-US" w:bidi="hi-IN"/>
    </w:rPr>
  </w:style>
  <w:style w:type="paragraph" w:styleId="Corpsdetexte">
    <w:name w:val="Body Text"/>
    <w:basedOn w:val="Normal"/>
    <w:link w:val="CorpsdetexteCar1"/>
    <w:uiPriority w:val="99"/>
    <w:semiHidden/>
    <w:unhideWhenUsed/>
    <w:rsid w:val="007D2CBA"/>
    <w:pPr>
      <w:spacing w:after="120"/>
    </w:pPr>
  </w:style>
  <w:style w:type="character" w:customStyle="1" w:styleId="CorpsdetexteCar1">
    <w:name w:val="Corps de texte Car1"/>
    <w:basedOn w:val="Policepardfaut"/>
    <w:link w:val="Corpsdetexte"/>
    <w:uiPriority w:val="99"/>
    <w:semiHidden/>
    <w:rsid w:val="007D2CB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1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leboucher\Downloads\%5bCOMMANDE%20PUBLIQUE%5d\01.%5bOUTILS%5d\%5bMODELES%20DOCUMENTS%5d\DCE\SPM_MODELE_CR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SPM_MODELE_CRT</Template>
  <TotalTime>1</TotalTime>
  <Pages>3</Pages>
  <Words>564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LEBOUCHER Christopher</dc:creator>
  <cp:lastModifiedBy>PARVEAU Matthias</cp:lastModifiedBy>
  <cp:revision>2</cp:revision>
  <dcterms:created xsi:type="dcterms:W3CDTF">2025-06-30T13:52:00Z</dcterms:created>
  <dcterms:modified xsi:type="dcterms:W3CDTF">2025-06-30T13:52:00Z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