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E0450" w14:textId="77777777" w:rsidR="000103C7" w:rsidRPr="00CD3B98" w:rsidRDefault="000103C7" w:rsidP="000103C7">
      <w:pPr>
        <w:jc w:val="center"/>
        <w:rPr>
          <w:rFonts w:asciiTheme="majorHAnsi" w:eastAsia="Times New Roman" w:hAnsiTheme="majorHAnsi" w:cstheme="majorHAnsi"/>
          <w:b/>
          <w:sz w:val="28"/>
          <w:lang w:eastAsia="fr-FR"/>
        </w:rPr>
      </w:pPr>
      <w:r w:rsidRPr="00CD3B98">
        <w:rPr>
          <w:rFonts w:asciiTheme="majorHAnsi" w:eastAsia="Times New Roman" w:hAnsiTheme="majorHAnsi" w:cstheme="majorHAnsi"/>
          <w:b/>
          <w:noProof/>
          <w:sz w:val="28"/>
          <w:lang w:eastAsia="fr-FR"/>
        </w:rPr>
        <w:t>MARCHES PUBLICS DE FOURNITURES COURANTES ET SERVICES</w:t>
      </w:r>
    </w:p>
    <w:p w14:paraId="23983CE4" w14:textId="77777777" w:rsidR="000103C7" w:rsidRPr="00CD3B98" w:rsidRDefault="000103C7" w:rsidP="000103C7">
      <w:pPr>
        <w:rPr>
          <w:rFonts w:asciiTheme="majorHAnsi" w:eastAsia="Times New Roman" w:hAnsiTheme="majorHAnsi" w:cstheme="majorHAnsi"/>
          <w:lang w:eastAsia="fr-FR"/>
        </w:rPr>
      </w:pPr>
    </w:p>
    <w:p w14:paraId="2264C9C7" w14:textId="77777777" w:rsidR="000103C7" w:rsidRPr="00CD3B98" w:rsidRDefault="000103C7" w:rsidP="000103C7">
      <w:pPr>
        <w:rPr>
          <w:rFonts w:asciiTheme="majorHAnsi" w:eastAsia="Times New Roman" w:hAnsiTheme="majorHAnsi" w:cstheme="majorHAnsi"/>
          <w:lang w:eastAsia="fr-FR"/>
        </w:rPr>
      </w:pPr>
    </w:p>
    <w:p w14:paraId="0F9D8DB2" w14:textId="77777777" w:rsidR="000103C7" w:rsidRPr="00CD3B98" w:rsidRDefault="000103C7" w:rsidP="000103C7">
      <w:pPr>
        <w:rPr>
          <w:rFonts w:asciiTheme="majorHAnsi" w:eastAsia="Times New Roman" w:hAnsiTheme="majorHAnsi" w:cstheme="majorHAnsi"/>
          <w:lang w:eastAsia="fr-FR"/>
        </w:rPr>
      </w:pPr>
    </w:p>
    <w:p w14:paraId="2A519432"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UNIVERSITE DE POITIERS</w:t>
      </w:r>
    </w:p>
    <w:p w14:paraId="16AF144A" w14:textId="77777777" w:rsidR="000103C7" w:rsidRPr="00CD3B98" w:rsidRDefault="000103C7" w:rsidP="000103C7">
      <w:pPr>
        <w:jc w:val="center"/>
        <w:rPr>
          <w:rFonts w:asciiTheme="majorHAnsi" w:eastAsia="Times New Roman" w:hAnsiTheme="majorHAnsi" w:cstheme="majorHAnsi"/>
          <w:szCs w:val="20"/>
          <w:lang w:eastAsia="fr-FR"/>
        </w:rPr>
      </w:pPr>
      <w:r w:rsidRPr="00CD3B98">
        <w:rPr>
          <w:rFonts w:asciiTheme="majorHAnsi" w:eastAsia="Times New Roman" w:hAnsiTheme="majorHAnsi" w:cstheme="majorHAnsi"/>
          <w:b/>
          <w:noProof/>
          <w:szCs w:val="20"/>
          <w:lang w:eastAsia="fr-FR"/>
        </w:rPr>
        <w:t>Direction des Affaires Financières</w:t>
      </w:r>
    </w:p>
    <w:p w14:paraId="55AA115B"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Service de la commande publique</w:t>
      </w:r>
    </w:p>
    <w:p w14:paraId="7868ABEB" w14:textId="77777777" w:rsidR="000103C7" w:rsidRPr="00CD3B98" w:rsidRDefault="000103C7" w:rsidP="000103C7">
      <w:pPr>
        <w:jc w:val="center"/>
        <w:rPr>
          <w:rFonts w:asciiTheme="majorHAnsi" w:eastAsia="Times New Roman" w:hAnsiTheme="majorHAnsi" w:cstheme="majorHAnsi"/>
          <w:noProof/>
          <w:lang w:eastAsia="fr-FR"/>
        </w:rPr>
      </w:pPr>
      <w:r w:rsidRPr="00CD3B98">
        <w:rPr>
          <w:rFonts w:asciiTheme="majorHAnsi" w:eastAsia="Times New Roman" w:hAnsiTheme="majorHAnsi" w:cstheme="majorHAnsi"/>
          <w:noProof/>
          <w:lang w:eastAsia="fr-FR"/>
        </w:rPr>
        <w:t>15 rue de l’Hôtel Dieu</w:t>
      </w:r>
    </w:p>
    <w:p w14:paraId="62984ABC"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86073 POITIERS CEDEX 9</w:t>
      </w:r>
    </w:p>
    <w:p w14:paraId="0777EB96" w14:textId="77777777" w:rsidR="000103C7" w:rsidRPr="00CD3B98" w:rsidRDefault="000103C7" w:rsidP="000103C7">
      <w:pPr>
        <w:jc w:val="center"/>
        <w:rPr>
          <w:rFonts w:asciiTheme="majorHAnsi" w:eastAsia="Times New Roman" w:hAnsiTheme="majorHAnsi" w:cstheme="majorHAnsi"/>
          <w:b/>
          <w:lang w:eastAsia="fr-FR"/>
        </w:rPr>
      </w:pPr>
      <w:r w:rsidRPr="00CD3B98">
        <w:rPr>
          <w:rFonts w:asciiTheme="majorHAnsi" w:eastAsia="Times New Roman" w:hAnsiTheme="majorHAnsi" w:cstheme="majorHAnsi"/>
          <w:b/>
          <w:noProof/>
          <w:lang w:eastAsia="fr-FR"/>
        </w:rPr>
        <w:t>Tél: 05 49 45 41 14</w:t>
      </w:r>
    </w:p>
    <w:p w14:paraId="1E959271" w14:textId="77777777" w:rsidR="000103C7" w:rsidRPr="00CD3B98" w:rsidRDefault="000103C7" w:rsidP="000103C7">
      <w:pPr>
        <w:rPr>
          <w:rFonts w:asciiTheme="majorHAnsi" w:eastAsia="Times New Roman" w:hAnsiTheme="majorHAnsi" w:cstheme="majorHAnsi"/>
          <w:lang w:eastAsia="fr-FR"/>
        </w:rPr>
      </w:pPr>
    </w:p>
    <w:p w14:paraId="6B1FAE53" w14:textId="77777777" w:rsidR="000103C7" w:rsidRPr="00CD3B98" w:rsidRDefault="000103C7" w:rsidP="000103C7">
      <w:pPr>
        <w:framePr w:hSpace="142" w:wrap="notBeside" w:vAnchor="text" w:hAnchor="page" w:xAlign="center" w:y="1"/>
        <w:jc w:val="center"/>
        <w:rPr>
          <w:rFonts w:asciiTheme="majorHAnsi" w:eastAsia="Times New Roman" w:hAnsiTheme="majorHAnsi" w:cstheme="majorHAnsi"/>
          <w:lang w:eastAsia="fr-FR"/>
        </w:rPr>
      </w:pPr>
    </w:p>
    <w:p w14:paraId="396F859D" w14:textId="77777777" w:rsidR="000103C7" w:rsidRPr="00CD3B98" w:rsidRDefault="000103C7" w:rsidP="000103C7">
      <w:pPr>
        <w:rPr>
          <w:rFonts w:asciiTheme="majorHAnsi" w:eastAsia="Times New Roman" w:hAnsiTheme="majorHAnsi" w:cstheme="majorHAnsi"/>
          <w:lang w:eastAsia="fr-FR"/>
        </w:rPr>
      </w:pPr>
    </w:p>
    <w:p w14:paraId="06659B66" w14:textId="77777777" w:rsidR="000103C7" w:rsidRPr="00CD3B98" w:rsidRDefault="000103C7" w:rsidP="000103C7">
      <w:pPr>
        <w:rPr>
          <w:rFonts w:asciiTheme="majorHAnsi" w:eastAsia="Times New Roman" w:hAnsiTheme="majorHAnsi" w:cstheme="majorHAnsi"/>
          <w:lang w:eastAsia="fr-FR"/>
        </w:rPr>
      </w:pPr>
    </w:p>
    <w:p w14:paraId="030756D9" w14:textId="77777777" w:rsidR="000103C7" w:rsidRPr="00CD3B98" w:rsidRDefault="000103C7" w:rsidP="000103C7">
      <w:pPr>
        <w:rPr>
          <w:rFonts w:asciiTheme="majorHAnsi" w:eastAsia="Times New Roman" w:hAnsiTheme="majorHAnsi" w:cstheme="majorHAnsi"/>
          <w:lang w:eastAsia="fr-FR"/>
        </w:rPr>
      </w:pPr>
    </w:p>
    <w:p w14:paraId="4B9B7E8D" w14:textId="77777777" w:rsidR="000103C7" w:rsidRPr="00CD3B98" w:rsidRDefault="000103C7" w:rsidP="000103C7">
      <w:pPr>
        <w:jc w:val="center"/>
        <w:rPr>
          <w:rFonts w:asciiTheme="majorHAnsi" w:eastAsia="Times New Roman" w:hAnsiTheme="majorHAnsi" w:cstheme="majorHAnsi"/>
          <w:b/>
          <w:sz w:val="32"/>
          <w:lang w:eastAsia="fr-FR"/>
        </w:rPr>
      </w:pPr>
      <w:r w:rsidRPr="00CD3B98">
        <w:rPr>
          <w:rFonts w:asciiTheme="majorHAnsi" w:eastAsia="Times New Roman" w:hAnsiTheme="majorHAnsi" w:cstheme="majorHAnsi"/>
          <w:b/>
          <w:noProof/>
          <w:sz w:val="32"/>
          <w:lang w:eastAsia="fr-FR"/>
        </w:rPr>
        <w:t>UNIVERSITE DE POITIERS</w:t>
      </w:r>
    </w:p>
    <w:p w14:paraId="2752B826" w14:textId="77777777" w:rsidR="000103C7" w:rsidRPr="00CD3B98" w:rsidRDefault="000103C7" w:rsidP="000103C7">
      <w:pPr>
        <w:rPr>
          <w:rFonts w:asciiTheme="majorHAnsi" w:eastAsia="Times New Roman" w:hAnsiTheme="majorHAnsi" w:cstheme="majorHAnsi"/>
          <w:lang w:eastAsia="fr-FR"/>
        </w:rPr>
      </w:pPr>
    </w:p>
    <w:p w14:paraId="2B6F5AE1" w14:textId="77777777" w:rsidR="000103C7" w:rsidRPr="00CD3B98" w:rsidRDefault="000103C7" w:rsidP="000103C7">
      <w:pPr>
        <w:rPr>
          <w:rFonts w:asciiTheme="majorHAnsi" w:eastAsia="Times New Roman" w:hAnsiTheme="majorHAnsi" w:cstheme="majorHAnsi"/>
          <w:lang w:eastAsia="fr-FR"/>
        </w:rPr>
      </w:pPr>
    </w:p>
    <w:p w14:paraId="69FE31BE" w14:textId="77777777" w:rsidR="000103C7" w:rsidRPr="00CD3B98" w:rsidRDefault="000103C7" w:rsidP="000103C7">
      <w:pPr>
        <w:tabs>
          <w:tab w:val="center" w:pos="4536"/>
          <w:tab w:val="right" w:pos="9072"/>
        </w:tabs>
        <w:jc w:val="center"/>
        <w:rPr>
          <w:rFonts w:asciiTheme="majorHAnsi" w:eastAsia="Times New Roman" w:hAnsiTheme="majorHAnsi" w:cstheme="majorHAnsi"/>
          <w:b/>
          <w:i/>
          <w:sz w:val="16"/>
          <w:szCs w:val="16"/>
          <w:lang w:eastAsia="fr-FR"/>
        </w:rPr>
      </w:pPr>
      <w:r w:rsidRPr="00CD3B98">
        <w:rPr>
          <w:rFonts w:asciiTheme="majorHAnsi" w:eastAsia="BookAntiqua" w:hAnsiTheme="majorHAnsi" w:cstheme="majorHAnsi"/>
          <w:sz w:val="16"/>
          <w:szCs w:val="16"/>
          <w:lang w:eastAsia="fr-FR"/>
        </w:rPr>
        <w:t> </w:t>
      </w:r>
    </w:p>
    <w:p w14:paraId="57C73537" w14:textId="6F1F30FC" w:rsidR="000103C7" w:rsidRPr="003A782F" w:rsidRDefault="000103C7" w:rsidP="000103C7">
      <w:pPr>
        <w:keepNext/>
        <w:pBdr>
          <w:top w:val="single" w:sz="4" w:space="1" w:color="auto"/>
          <w:left w:val="single" w:sz="4" w:space="4" w:color="auto"/>
          <w:bottom w:val="single" w:sz="4" w:space="1" w:color="auto"/>
          <w:right w:val="single" w:sz="4" w:space="4" w:color="auto"/>
        </w:pBdr>
        <w:spacing w:before="240" w:after="60"/>
        <w:jc w:val="center"/>
        <w:outlineLvl w:val="0"/>
        <w:rPr>
          <w:rFonts w:asciiTheme="majorHAnsi" w:eastAsia="Times New Roman" w:hAnsiTheme="majorHAnsi" w:cstheme="majorHAnsi"/>
          <w:b/>
          <w:color w:val="000000"/>
          <w:kern w:val="32"/>
          <w:sz w:val="36"/>
          <w:szCs w:val="36"/>
          <w:lang w:eastAsia="x-none"/>
        </w:rPr>
      </w:pPr>
      <w:r w:rsidRPr="00CD3B98">
        <w:rPr>
          <w:rFonts w:asciiTheme="majorHAnsi" w:eastAsia="BookAntiqua" w:hAnsiTheme="majorHAnsi" w:cstheme="majorHAnsi"/>
          <w:color w:val="000000"/>
          <w:kern w:val="32"/>
          <w:sz w:val="36"/>
          <w:szCs w:val="36"/>
          <w:lang w:val="x-none" w:eastAsia="x-none"/>
        </w:rPr>
        <w:t> </w:t>
      </w:r>
      <w:r w:rsidR="003A782F">
        <w:rPr>
          <w:rFonts w:asciiTheme="majorHAnsi" w:eastAsia="Times New Roman" w:hAnsiTheme="majorHAnsi" w:cstheme="majorHAnsi"/>
          <w:b/>
          <w:caps/>
          <w:noProof/>
          <w:color w:val="000000"/>
          <w:kern w:val="32"/>
          <w:sz w:val="36"/>
          <w:szCs w:val="36"/>
          <w:lang w:eastAsia="x-none"/>
        </w:rPr>
        <w:t>Équipement mobilier modulable pour equiper une salle de plaidoirie</w:t>
      </w:r>
    </w:p>
    <w:p w14:paraId="10516E1A" w14:textId="77777777" w:rsidR="000103C7" w:rsidRPr="00CD3B98" w:rsidRDefault="000103C7" w:rsidP="000103C7">
      <w:pPr>
        <w:tabs>
          <w:tab w:val="center" w:pos="4536"/>
          <w:tab w:val="right" w:pos="9072"/>
        </w:tabs>
        <w:jc w:val="center"/>
        <w:rPr>
          <w:rFonts w:asciiTheme="majorHAnsi" w:eastAsia="BookAntiqua" w:hAnsiTheme="majorHAnsi" w:cstheme="majorHAnsi"/>
          <w:bCs/>
          <w:sz w:val="40"/>
          <w:szCs w:val="40"/>
          <w:lang w:eastAsia="fr-FR"/>
        </w:rPr>
      </w:pPr>
    </w:p>
    <w:p w14:paraId="1EF99D3C" w14:textId="77777777" w:rsidR="000103C7" w:rsidRPr="00CD3B98" w:rsidRDefault="000103C7" w:rsidP="000103C7">
      <w:pPr>
        <w:rPr>
          <w:rFonts w:asciiTheme="majorHAnsi" w:eastAsia="Times New Roman" w:hAnsiTheme="majorHAnsi" w:cstheme="majorHAnsi"/>
          <w:lang w:eastAsia="fr-FR"/>
        </w:rPr>
      </w:pPr>
    </w:p>
    <w:p w14:paraId="6911CCB4" w14:textId="77777777" w:rsidR="000103C7" w:rsidRPr="00CD3B98" w:rsidRDefault="000103C7" w:rsidP="000103C7">
      <w:pPr>
        <w:rPr>
          <w:rFonts w:asciiTheme="majorHAnsi" w:eastAsia="Times New Roman" w:hAnsiTheme="majorHAnsi" w:cstheme="majorHAnsi"/>
          <w:lang w:eastAsia="fr-FR"/>
        </w:rPr>
      </w:pPr>
    </w:p>
    <w:p w14:paraId="6AE70149" w14:textId="77777777" w:rsidR="000103C7" w:rsidRPr="00CD3B98" w:rsidRDefault="000103C7" w:rsidP="000103C7">
      <w:pPr>
        <w:rPr>
          <w:rFonts w:asciiTheme="majorHAnsi" w:eastAsia="Times New Roman" w:hAnsiTheme="majorHAnsi" w:cstheme="majorHAnsi"/>
          <w:lang w:eastAsia="fr-FR"/>
        </w:rPr>
      </w:pPr>
    </w:p>
    <w:p w14:paraId="3B293CF0" w14:textId="77777777" w:rsidR="000103C7" w:rsidRPr="00CD3B98" w:rsidRDefault="000103C7" w:rsidP="000103C7">
      <w:pPr>
        <w:jc w:val="center"/>
        <w:rPr>
          <w:rFonts w:asciiTheme="majorHAnsi" w:eastAsia="Times New Roman" w:hAnsiTheme="majorHAnsi" w:cstheme="majorHAnsi"/>
          <w:b/>
          <w:sz w:val="40"/>
          <w:u w:val="single"/>
          <w:lang w:eastAsia="fr-FR"/>
        </w:rPr>
      </w:pPr>
    </w:p>
    <w:p w14:paraId="3813A0EC" w14:textId="77777777" w:rsidR="000103C7" w:rsidRPr="00CD3B98" w:rsidRDefault="000103C7" w:rsidP="000103C7">
      <w:pPr>
        <w:jc w:val="center"/>
        <w:rPr>
          <w:rFonts w:asciiTheme="majorHAnsi" w:eastAsia="Times New Roman" w:hAnsiTheme="majorHAnsi" w:cstheme="majorHAnsi"/>
          <w:b/>
          <w:sz w:val="40"/>
          <w:u w:val="single"/>
          <w:lang w:eastAsia="fr-FR"/>
        </w:rPr>
      </w:pPr>
      <w:r w:rsidRPr="00CD3B98">
        <w:rPr>
          <w:rFonts w:asciiTheme="majorHAnsi" w:eastAsia="Times New Roman" w:hAnsiTheme="majorHAnsi" w:cstheme="majorHAnsi"/>
          <w:b/>
          <w:sz w:val="40"/>
          <w:u w:val="single"/>
          <w:lang w:eastAsia="fr-FR"/>
        </w:rPr>
        <w:t>Cahier des clauses techniques particulières</w:t>
      </w:r>
    </w:p>
    <w:p w14:paraId="6411607D" w14:textId="7D6643A8" w:rsidR="000103C7" w:rsidRPr="00CD3B98" w:rsidRDefault="00E87861" w:rsidP="000103C7">
      <w:pPr>
        <w:jc w:val="center"/>
        <w:rPr>
          <w:rFonts w:asciiTheme="majorHAnsi" w:eastAsia="Times New Roman" w:hAnsiTheme="majorHAnsi" w:cstheme="majorHAnsi"/>
          <w:b/>
          <w:sz w:val="40"/>
          <w:u w:val="single"/>
          <w:lang w:eastAsia="fr-FR"/>
        </w:rPr>
      </w:pPr>
      <w:r>
        <w:rPr>
          <w:rFonts w:asciiTheme="majorHAnsi" w:eastAsia="Times New Roman" w:hAnsiTheme="majorHAnsi" w:cstheme="majorHAnsi"/>
          <w:b/>
          <w:sz w:val="40"/>
          <w:u w:val="single"/>
          <w:lang w:eastAsia="fr-FR"/>
        </w:rPr>
        <w:t>2025A011</w:t>
      </w:r>
    </w:p>
    <w:p w14:paraId="09AF84B0" w14:textId="77777777" w:rsidR="000103C7" w:rsidRPr="00CD3B98" w:rsidRDefault="000103C7" w:rsidP="000103C7">
      <w:pPr>
        <w:jc w:val="center"/>
        <w:rPr>
          <w:rFonts w:asciiTheme="majorHAnsi" w:eastAsia="Times New Roman" w:hAnsiTheme="majorHAnsi" w:cstheme="majorHAnsi"/>
          <w:b/>
          <w:noProof/>
          <w:sz w:val="32"/>
          <w:szCs w:val="32"/>
          <w:lang w:eastAsia="fr-FR"/>
        </w:rPr>
      </w:pPr>
    </w:p>
    <w:p w14:paraId="2D820F48" w14:textId="77777777" w:rsidR="000103C7" w:rsidRPr="00CD3B98" w:rsidRDefault="000103C7" w:rsidP="000103C7">
      <w:pPr>
        <w:rPr>
          <w:rFonts w:asciiTheme="majorHAnsi" w:eastAsia="Times New Roman" w:hAnsiTheme="majorHAnsi" w:cstheme="majorHAnsi"/>
          <w:b/>
          <w:sz w:val="32"/>
          <w:szCs w:val="32"/>
          <w:lang w:eastAsia="fr-FR"/>
        </w:rPr>
      </w:pPr>
    </w:p>
    <w:p w14:paraId="71911199" w14:textId="77777777" w:rsidR="000103C7" w:rsidRPr="00CD3B98" w:rsidRDefault="000103C7" w:rsidP="000103C7">
      <w:pPr>
        <w:jc w:val="center"/>
        <w:rPr>
          <w:rFonts w:asciiTheme="majorHAnsi" w:eastAsia="Times New Roman" w:hAnsiTheme="majorHAnsi" w:cstheme="majorHAnsi"/>
          <w:b/>
          <w:sz w:val="28"/>
          <w:lang w:eastAsia="fr-FR"/>
        </w:rPr>
      </w:pPr>
    </w:p>
    <w:p w14:paraId="655D0F9E" w14:textId="77777777" w:rsidR="000103C7" w:rsidRPr="00CD3B98" w:rsidRDefault="000103C7" w:rsidP="000103C7">
      <w:pPr>
        <w:jc w:val="center"/>
        <w:rPr>
          <w:rFonts w:asciiTheme="majorHAnsi" w:eastAsia="Times New Roman" w:hAnsiTheme="majorHAnsi" w:cstheme="majorHAnsi"/>
          <w:b/>
          <w:sz w:val="28"/>
          <w:lang w:eastAsia="fr-FR"/>
        </w:rPr>
      </w:pPr>
    </w:p>
    <w:p w14:paraId="3E2D161C" w14:textId="77777777" w:rsidR="000103C7" w:rsidRPr="00CD3B98" w:rsidRDefault="000103C7" w:rsidP="000103C7">
      <w:pPr>
        <w:jc w:val="center"/>
        <w:rPr>
          <w:rFonts w:asciiTheme="majorHAnsi" w:eastAsia="Times New Roman" w:hAnsiTheme="majorHAnsi" w:cstheme="majorHAnsi"/>
          <w:b/>
          <w:sz w:val="28"/>
          <w:lang w:eastAsia="fr-FR"/>
        </w:rPr>
      </w:pPr>
    </w:p>
    <w:p w14:paraId="62B617B9" w14:textId="77777777" w:rsidR="000103C7" w:rsidRPr="00CD3B98" w:rsidRDefault="000103C7" w:rsidP="000103C7">
      <w:pPr>
        <w:jc w:val="center"/>
        <w:rPr>
          <w:rFonts w:asciiTheme="majorHAnsi" w:eastAsia="Times New Roman" w:hAnsiTheme="majorHAnsi" w:cstheme="majorHAnsi"/>
          <w:bCs/>
          <w:sz w:val="28"/>
          <w:u w:val="single"/>
          <w:lang w:eastAsia="fr-FR"/>
        </w:rPr>
      </w:pPr>
    </w:p>
    <w:p w14:paraId="7EB8EF17" w14:textId="77777777" w:rsidR="000103C7" w:rsidRPr="00CD3B98" w:rsidRDefault="000103C7" w:rsidP="000103C7">
      <w:pPr>
        <w:jc w:val="center"/>
        <w:rPr>
          <w:rFonts w:asciiTheme="majorHAnsi" w:eastAsia="Times New Roman" w:hAnsiTheme="majorHAnsi" w:cstheme="majorHAnsi"/>
          <w:b/>
          <w:sz w:val="28"/>
          <w:lang w:eastAsia="fr-FR"/>
        </w:rPr>
      </w:pPr>
    </w:p>
    <w:p w14:paraId="17B95239" w14:textId="77777777" w:rsidR="000103C7" w:rsidRPr="00CD3B98" w:rsidRDefault="000103C7" w:rsidP="000103C7">
      <w:pPr>
        <w:jc w:val="center"/>
        <w:rPr>
          <w:rFonts w:asciiTheme="majorHAnsi" w:eastAsia="Times New Roman" w:hAnsiTheme="majorHAnsi" w:cstheme="majorHAnsi"/>
          <w:b/>
          <w:sz w:val="28"/>
          <w:lang w:eastAsia="fr-FR"/>
        </w:rPr>
      </w:pPr>
    </w:p>
    <w:p w14:paraId="3B941AC4" w14:textId="77777777" w:rsidR="009757DD" w:rsidRPr="00CD3B98" w:rsidRDefault="009757DD" w:rsidP="000103C7">
      <w:pPr>
        <w:jc w:val="center"/>
        <w:rPr>
          <w:rFonts w:asciiTheme="majorHAnsi" w:eastAsia="Times New Roman" w:hAnsiTheme="majorHAnsi" w:cstheme="majorHAnsi"/>
          <w:b/>
          <w:sz w:val="28"/>
          <w:lang w:eastAsia="fr-FR"/>
        </w:rPr>
      </w:pPr>
    </w:p>
    <w:p w14:paraId="3BD3A4AC" w14:textId="77777777" w:rsidR="000103C7" w:rsidRPr="00CD3B98" w:rsidRDefault="000103C7" w:rsidP="000103C7">
      <w:pPr>
        <w:jc w:val="center"/>
        <w:rPr>
          <w:rFonts w:asciiTheme="majorHAnsi" w:eastAsia="Times New Roman" w:hAnsiTheme="majorHAnsi" w:cstheme="majorHAnsi"/>
          <w:b/>
          <w:sz w:val="28"/>
          <w:lang w:eastAsia="fr-FR"/>
        </w:rPr>
      </w:pPr>
    </w:p>
    <w:p w14:paraId="416141A9" w14:textId="77777777" w:rsidR="000103C7" w:rsidRPr="00CD3B98" w:rsidRDefault="000103C7" w:rsidP="000103C7">
      <w:pPr>
        <w:jc w:val="center"/>
        <w:rPr>
          <w:rFonts w:asciiTheme="majorHAnsi" w:eastAsia="Times New Roman" w:hAnsiTheme="majorHAnsi" w:cstheme="majorHAnsi"/>
          <w:b/>
          <w:sz w:val="28"/>
          <w:lang w:eastAsia="fr-FR"/>
        </w:rPr>
      </w:pPr>
    </w:p>
    <w:p w14:paraId="4B20CECE" w14:textId="768636CD" w:rsidR="000103C7" w:rsidRDefault="000103C7">
      <w:pPr>
        <w:rPr>
          <w:rFonts w:asciiTheme="majorHAnsi" w:hAnsiTheme="majorHAnsi" w:cstheme="majorHAnsi"/>
          <w:b/>
        </w:rPr>
      </w:pPr>
    </w:p>
    <w:p w14:paraId="15F15302" w14:textId="77777777" w:rsidR="00D328EE" w:rsidRPr="00CD3B98" w:rsidRDefault="00D328EE">
      <w:pPr>
        <w:rPr>
          <w:rFonts w:asciiTheme="majorHAnsi" w:hAnsiTheme="majorHAnsi" w:cstheme="majorHAnsi"/>
          <w:b/>
        </w:rPr>
      </w:pPr>
    </w:p>
    <w:p w14:paraId="44AA8994" w14:textId="77777777" w:rsidR="000103C7" w:rsidRPr="00CD3B98" w:rsidRDefault="000103C7">
      <w:pPr>
        <w:rPr>
          <w:rFonts w:asciiTheme="majorHAnsi" w:hAnsiTheme="majorHAnsi" w:cstheme="majorHAnsi"/>
          <w:b/>
        </w:rPr>
      </w:pPr>
    </w:p>
    <w:p w14:paraId="5D6CDD50" w14:textId="77777777" w:rsidR="000103C7" w:rsidRPr="00CD3B98" w:rsidRDefault="000103C7">
      <w:pPr>
        <w:rPr>
          <w:rFonts w:asciiTheme="majorHAnsi" w:hAnsiTheme="majorHAnsi" w:cstheme="majorHAnsi"/>
          <w:b/>
        </w:rPr>
      </w:pPr>
    </w:p>
    <w:p w14:paraId="5836A0C1" w14:textId="41F14458" w:rsidR="003A782F" w:rsidRDefault="003A782F" w:rsidP="003A782F">
      <w:pPr>
        <w:pStyle w:val="Titre2"/>
        <w:numPr>
          <w:ilvl w:val="0"/>
          <w:numId w:val="0"/>
        </w:numPr>
        <w:ind w:left="1080" w:hanging="360"/>
      </w:pPr>
      <w:r>
        <w:t>Article 1 – Objet du marché</w:t>
      </w:r>
    </w:p>
    <w:p w14:paraId="42C203EC" w14:textId="77777777" w:rsidR="003A782F" w:rsidRPr="003E3480" w:rsidRDefault="003A782F" w:rsidP="003A782F">
      <w:pPr>
        <w:jc w:val="both"/>
      </w:pPr>
      <w:r>
        <w:t xml:space="preserve">Le présent marché a pour objet la fourniture, la livraison et l’installation d’un mobilier modulaire destiné à l’aménagement du </w:t>
      </w:r>
      <w:proofErr w:type="spellStart"/>
      <w:r>
        <w:t>Numérilab</w:t>
      </w:r>
      <w:proofErr w:type="spellEnd"/>
      <w:r>
        <w:t xml:space="preserve"> en sciences juridiques. Cet espace pédagogique polyvalent est conçu pour accueillir des simulations de procès, des exercices de plaidoirie, des soutenances de thèse, des conférences ainsi que des cours universitaires. Le mobilier devra ainsi conjuguer modularité, ergonomie, confort, qualité acoustique et esthétique, tout en répondant aux </w:t>
      </w:r>
      <w:r w:rsidRPr="003E3480">
        <w:t>contraintes d’un espace classé au titre des monuments historiques.</w:t>
      </w:r>
    </w:p>
    <w:p w14:paraId="281D5F95" w14:textId="77777777" w:rsidR="003A782F" w:rsidRDefault="003A782F" w:rsidP="003A782F">
      <w:pPr>
        <w:pStyle w:val="Titre2"/>
        <w:numPr>
          <w:ilvl w:val="0"/>
          <w:numId w:val="0"/>
        </w:numPr>
        <w:ind w:left="1080" w:hanging="360"/>
      </w:pPr>
      <w:r>
        <w:t>Article 2 – Exigences générales</w:t>
      </w:r>
    </w:p>
    <w:p w14:paraId="09E8B1B9" w14:textId="4767F48B" w:rsidR="003A782F" w:rsidRDefault="003A782F" w:rsidP="003A782F">
      <w:pPr>
        <w:jc w:val="both"/>
      </w:pPr>
      <w:r w:rsidRPr="003E3480">
        <w:t>L’ensemble du mobilier devra être conforme aux normes d’accessibilité pour les personnes à mobilité réduite (PMR) et conçu pour un usage intensif. Chaque élément doit pouvoir être déplacé facilement et réagencé en fonction des usages pédagogiques de la salle. À ce titre, les éléments mobiles devront obligatoirement être montés sur roulettes autobloquantes. Le poids des mobiliers sera pris en compte pour le choix des roulettes, et pour faciliter les opérations de manutention. Le mobilier devra par ailleurs contribuer à l’amélioration de l’acoustique de la salle. À ce titre, les matériaux sélectionnés devront limiter les résonances et favoriser l’absorption sonore. Le choix des matières et des finitions devra également respecter la solennité du lieu, avec une esthétique sobre, des teintes évoquant du bois clair et des choix esthétiques garantissant une intégration harmonieuse dans une salle patrimoniale dont les toiles murales sont classées.</w:t>
      </w:r>
    </w:p>
    <w:p w14:paraId="7A1D60A5" w14:textId="77777777" w:rsidR="00512116" w:rsidRDefault="00512116" w:rsidP="003A782F">
      <w:pPr>
        <w:jc w:val="both"/>
      </w:pPr>
    </w:p>
    <w:p w14:paraId="18FC26F9" w14:textId="5EBAAFC7" w:rsidR="00512116" w:rsidRDefault="00512116" w:rsidP="00512116">
      <w:pPr>
        <w:ind w:firstLine="708"/>
        <w:jc w:val="both"/>
        <w:rPr>
          <w:rFonts w:asciiTheme="majorHAnsi" w:eastAsiaTheme="majorEastAsia" w:hAnsiTheme="majorHAnsi" w:cstheme="majorBidi"/>
          <w:b/>
          <w:color w:val="2F5496" w:themeColor="accent1" w:themeShade="BF"/>
          <w:sz w:val="26"/>
          <w:szCs w:val="26"/>
        </w:rPr>
      </w:pPr>
      <w:r w:rsidRPr="00512116">
        <w:rPr>
          <w:rFonts w:asciiTheme="majorHAnsi" w:eastAsiaTheme="majorEastAsia" w:hAnsiTheme="majorHAnsi" w:cstheme="majorBidi"/>
          <w:b/>
          <w:color w:val="2F5496" w:themeColor="accent1" w:themeShade="BF"/>
          <w:sz w:val="26"/>
          <w:szCs w:val="26"/>
        </w:rPr>
        <w:t>Article 3 – Critère</w:t>
      </w:r>
      <w:r>
        <w:rPr>
          <w:rFonts w:asciiTheme="majorHAnsi" w:eastAsiaTheme="majorEastAsia" w:hAnsiTheme="majorHAnsi" w:cstheme="majorBidi"/>
          <w:b/>
          <w:color w:val="2F5496" w:themeColor="accent1" w:themeShade="BF"/>
          <w:sz w:val="26"/>
          <w:szCs w:val="26"/>
        </w:rPr>
        <w:t>s</w:t>
      </w:r>
      <w:r w:rsidRPr="00512116">
        <w:rPr>
          <w:rFonts w:asciiTheme="majorHAnsi" w:eastAsiaTheme="majorEastAsia" w:hAnsiTheme="majorHAnsi" w:cstheme="majorBidi"/>
          <w:b/>
          <w:color w:val="2F5496" w:themeColor="accent1" w:themeShade="BF"/>
          <w:sz w:val="26"/>
          <w:szCs w:val="26"/>
        </w:rPr>
        <w:t xml:space="preserve"> d’analyse de</w:t>
      </w:r>
      <w:r>
        <w:rPr>
          <w:rFonts w:asciiTheme="majorHAnsi" w:eastAsiaTheme="majorEastAsia" w:hAnsiTheme="majorHAnsi" w:cstheme="majorBidi"/>
          <w:b/>
          <w:color w:val="2F5496" w:themeColor="accent1" w:themeShade="BF"/>
          <w:sz w:val="26"/>
          <w:szCs w:val="26"/>
        </w:rPr>
        <w:t>s</w:t>
      </w:r>
      <w:r w:rsidRPr="00512116">
        <w:rPr>
          <w:rFonts w:asciiTheme="majorHAnsi" w:eastAsiaTheme="majorEastAsia" w:hAnsiTheme="majorHAnsi" w:cstheme="majorBidi"/>
          <w:b/>
          <w:color w:val="2F5496" w:themeColor="accent1" w:themeShade="BF"/>
          <w:sz w:val="26"/>
          <w:szCs w:val="26"/>
        </w:rPr>
        <w:t xml:space="preserve"> offre</w:t>
      </w:r>
      <w:r>
        <w:rPr>
          <w:rFonts w:asciiTheme="majorHAnsi" w:eastAsiaTheme="majorEastAsia" w:hAnsiTheme="majorHAnsi" w:cstheme="majorBidi"/>
          <w:b/>
          <w:color w:val="2F5496" w:themeColor="accent1" w:themeShade="BF"/>
          <w:sz w:val="26"/>
          <w:szCs w:val="26"/>
        </w:rPr>
        <w:t>s</w:t>
      </w:r>
    </w:p>
    <w:p w14:paraId="7ACA5F9C" w14:textId="5A31ED50" w:rsidR="00512116" w:rsidRDefault="00512116" w:rsidP="003A782F">
      <w:pPr>
        <w:jc w:val="both"/>
      </w:pPr>
    </w:p>
    <w:p w14:paraId="3012DD25" w14:textId="1139C072" w:rsidR="00512116" w:rsidRDefault="00512116" w:rsidP="003A782F">
      <w:pPr>
        <w:jc w:val="both"/>
      </w:pPr>
    </w:p>
    <w:tbl>
      <w:tblPr>
        <w:tblStyle w:val="Grilledutableau"/>
        <w:tblW w:w="0" w:type="auto"/>
        <w:tblLook w:val="04A0" w:firstRow="1" w:lastRow="0" w:firstColumn="1" w:lastColumn="0" w:noHBand="0" w:noVBand="1"/>
      </w:tblPr>
      <w:tblGrid>
        <w:gridCol w:w="4528"/>
        <w:gridCol w:w="4528"/>
      </w:tblGrid>
      <w:tr w:rsidR="006B0B65" w14:paraId="2E0C6348" w14:textId="77777777" w:rsidTr="006B0B65">
        <w:tc>
          <w:tcPr>
            <w:tcW w:w="4528" w:type="dxa"/>
          </w:tcPr>
          <w:p w14:paraId="7501204E" w14:textId="12F86830" w:rsidR="006B0B65" w:rsidRDefault="006B0B65" w:rsidP="00196E3C">
            <w:pPr>
              <w:jc w:val="both"/>
            </w:pPr>
            <w:r>
              <w:t>Prix – offre économiquement la plus avantageuse</w:t>
            </w:r>
          </w:p>
        </w:tc>
        <w:tc>
          <w:tcPr>
            <w:tcW w:w="4528" w:type="dxa"/>
          </w:tcPr>
          <w:p w14:paraId="4741454D" w14:textId="7024D3D6" w:rsidR="006B0B65" w:rsidRDefault="006B0B65" w:rsidP="006B0B65">
            <w:pPr>
              <w:jc w:val="center"/>
            </w:pPr>
            <w:r w:rsidRPr="00512116">
              <w:rPr>
                <w:b/>
                <w:bCs/>
              </w:rPr>
              <w:t>30%</w:t>
            </w:r>
          </w:p>
        </w:tc>
      </w:tr>
      <w:tr w:rsidR="006B0B65" w14:paraId="7B5CB436" w14:textId="77777777" w:rsidTr="006B0B65">
        <w:tc>
          <w:tcPr>
            <w:tcW w:w="4528" w:type="dxa"/>
          </w:tcPr>
          <w:p w14:paraId="1DC96C53" w14:textId="6A667886" w:rsidR="006B0B65" w:rsidRDefault="006B0B65" w:rsidP="006B0B65">
            <w:r>
              <w:t>Aspects fonctionnels :</w:t>
            </w:r>
          </w:p>
          <w:p w14:paraId="08D5F0BF" w14:textId="26D132F9" w:rsidR="006B0B65" w:rsidRDefault="006B0B65" w:rsidP="006B0B65">
            <w:pPr>
              <w:pStyle w:val="Paragraphedeliste"/>
              <w:numPr>
                <w:ilvl w:val="0"/>
                <w:numId w:val="21"/>
              </w:numPr>
              <w:jc w:val="both"/>
            </w:pPr>
            <w:r>
              <w:t>Modularité </w:t>
            </w:r>
          </w:p>
          <w:p w14:paraId="1281851D" w14:textId="56C0903D" w:rsidR="006B0B65" w:rsidRDefault="006B0B65" w:rsidP="006B0B65">
            <w:pPr>
              <w:pStyle w:val="Paragraphedeliste"/>
              <w:numPr>
                <w:ilvl w:val="0"/>
                <w:numId w:val="21"/>
              </w:numPr>
              <w:jc w:val="both"/>
            </w:pPr>
            <w:r>
              <w:t>Maniabilité </w:t>
            </w:r>
          </w:p>
          <w:p w14:paraId="2C497F80" w14:textId="6D15A43E" w:rsidR="006B0B65" w:rsidRDefault="006B0B65" w:rsidP="006B0B65">
            <w:pPr>
              <w:pStyle w:val="Paragraphedeliste"/>
              <w:numPr>
                <w:ilvl w:val="0"/>
                <w:numId w:val="21"/>
              </w:numPr>
              <w:jc w:val="both"/>
            </w:pPr>
            <w:r>
              <w:t>Robustesse </w:t>
            </w:r>
          </w:p>
        </w:tc>
        <w:tc>
          <w:tcPr>
            <w:tcW w:w="4528" w:type="dxa"/>
          </w:tcPr>
          <w:p w14:paraId="250323F6" w14:textId="77777777" w:rsidR="006B0B65" w:rsidRDefault="006B0B65" w:rsidP="006B0B65">
            <w:pPr>
              <w:jc w:val="center"/>
              <w:rPr>
                <w:b/>
                <w:bCs/>
              </w:rPr>
            </w:pPr>
            <w:r w:rsidRPr="00512116">
              <w:rPr>
                <w:b/>
                <w:bCs/>
              </w:rPr>
              <w:t>40%</w:t>
            </w:r>
          </w:p>
          <w:p w14:paraId="6DA6A303" w14:textId="78A2E710" w:rsidR="006B0B65" w:rsidRDefault="006B0B65" w:rsidP="006B0B65">
            <w:pPr>
              <w:jc w:val="center"/>
            </w:pPr>
            <w:r>
              <w:t>20%</w:t>
            </w:r>
          </w:p>
          <w:p w14:paraId="098FBC03" w14:textId="0EDCD0F6" w:rsidR="006B0B65" w:rsidRDefault="006B0B65" w:rsidP="006B0B65">
            <w:pPr>
              <w:jc w:val="center"/>
            </w:pPr>
            <w:r>
              <w:t>10%</w:t>
            </w:r>
          </w:p>
          <w:p w14:paraId="1AAD09C6" w14:textId="3960E5ED" w:rsidR="006B0B65" w:rsidRDefault="006B0B65" w:rsidP="006B0B65">
            <w:pPr>
              <w:jc w:val="center"/>
            </w:pPr>
            <w:r>
              <w:t>10%</w:t>
            </w:r>
          </w:p>
        </w:tc>
      </w:tr>
      <w:tr w:rsidR="006B0B65" w14:paraId="390EAC49" w14:textId="77777777" w:rsidTr="006B0B65">
        <w:tc>
          <w:tcPr>
            <w:tcW w:w="4528" w:type="dxa"/>
          </w:tcPr>
          <w:p w14:paraId="337F99CF" w14:textId="77777777" w:rsidR="006B0B65" w:rsidRDefault="006B0B65" w:rsidP="006B0B65">
            <w:pPr>
              <w:jc w:val="both"/>
            </w:pPr>
            <w:r>
              <w:t>Respect des délais :</w:t>
            </w:r>
          </w:p>
          <w:p w14:paraId="2E7A802B" w14:textId="724ADE80" w:rsidR="006B0B65" w:rsidRDefault="006B0B65" w:rsidP="006B0B65">
            <w:pPr>
              <w:jc w:val="both"/>
            </w:pPr>
            <w:r>
              <w:t>Livraison et montage du mobilier avant le 15/11/2025.</w:t>
            </w:r>
          </w:p>
        </w:tc>
        <w:tc>
          <w:tcPr>
            <w:tcW w:w="4528" w:type="dxa"/>
          </w:tcPr>
          <w:p w14:paraId="7524D1C2" w14:textId="4FBAE319" w:rsidR="006B0B65" w:rsidRDefault="006B0B65" w:rsidP="006B0B65">
            <w:pPr>
              <w:jc w:val="center"/>
            </w:pPr>
            <w:r w:rsidRPr="006B0B65">
              <w:rPr>
                <w:b/>
                <w:bCs/>
              </w:rPr>
              <w:t>15%</w:t>
            </w:r>
          </w:p>
          <w:p w14:paraId="2C93B189" w14:textId="77777777" w:rsidR="006B0B65" w:rsidRDefault="006B0B65" w:rsidP="003A782F">
            <w:pPr>
              <w:jc w:val="both"/>
            </w:pPr>
          </w:p>
        </w:tc>
      </w:tr>
      <w:tr w:rsidR="006B0B65" w14:paraId="4036CE5D" w14:textId="77777777" w:rsidTr="006B0B65">
        <w:tc>
          <w:tcPr>
            <w:tcW w:w="4528" w:type="dxa"/>
          </w:tcPr>
          <w:p w14:paraId="2F81964C" w14:textId="412C6192" w:rsidR="006B0B65" w:rsidRDefault="00196E3C" w:rsidP="006B0B65">
            <w:pPr>
              <w:jc w:val="both"/>
            </w:pPr>
            <w:r>
              <w:t>E</w:t>
            </w:r>
            <w:r w:rsidR="006B0B65">
              <w:t>sthétique :</w:t>
            </w:r>
          </w:p>
          <w:p w14:paraId="196FB7B4" w14:textId="5EAF12C8" w:rsidR="006B0B65" w:rsidRDefault="006B0B65" w:rsidP="006B0B65">
            <w:pPr>
              <w:pStyle w:val="Paragraphedeliste"/>
              <w:numPr>
                <w:ilvl w:val="0"/>
                <w:numId w:val="22"/>
              </w:numPr>
              <w:jc w:val="both"/>
            </w:pPr>
            <w:r>
              <w:t xml:space="preserve">Respect des matériaux et des coloris </w:t>
            </w:r>
          </w:p>
          <w:p w14:paraId="02F44C5B" w14:textId="70078F07" w:rsidR="006B0B65" w:rsidRDefault="006B0B65" w:rsidP="006B0B65">
            <w:pPr>
              <w:pStyle w:val="Paragraphedeliste"/>
              <w:numPr>
                <w:ilvl w:val="0"/>
                <w:numId w:val="22"/>
              </w:numPr>
              <w:jc w:val="both"/>
            </w:pPr>
            <w:r>
              <w:t xml:space="preserve">Qualité des matériaux et des finitions </w:t>
            </w:r>
          </w:p>
        </w:tc>
        <w:tc>
          <w:tcPr>
            <w:tcW w:w="4528" w:type="dxa"/>
          </w:tcPr>
          <w:p w14:paraId="3853F464" w14:textId="57EE4AB0" w:rsidR="006B0B65" w:rsidRDefault="006B0B65" w:rsidP="006B0B65">
            <w:pPr>
              <w:jc w:val="center"/>
            </w:pPr>
            <w:r w:rsidRPr="006B0B65">
              <w:rPr>
                <w:b/>
                <w:bCs/>
              </w:rPr>
              <w:t>10%</w:t>
            </w:r>
          </w:p>
          <w:p w14:paraId="7D706C01" w14:textId="77777777" w:rsidR="006B0B65" w:rsidRPr="006B0B65" w:rsidRDefault="006B0B65" w:rsidP="006B0B65">
            <w:pPr>
              <w:jc w:val="center"/>
            </w:pPr>
            <w:r w:rsidRPr="006B0B65">
              <w:t>5%</w:t>
            </w:r>
          </w:p>
          <w:p w14:paraId="7121FEBF" w14:textId="3FFB7AA8" w:rsidR="006B0B65" w:rsidRDefault="006B0B65" w:rsidP="006B0B65">
            <w:pPr>
              <w:jc w:val="center"/>
            </w:pPr>
            <w:r w:rsidRPr="006B0B65">
              <w:t>5%</w:t>
            </w:r>
          </w:p>
        </w:tc>
      </w:tr>
      <w:tr w:rsidR="006B0B65" w14:paraId="0A1A8D21" w14:textId="77777777" w:rsidTr="006B0B65">
        <w:tc>
          <w:tcPr>
            <w:tcW w:w="4528" w:type="dxa"/>
          </w:tcPr>
          <w:p w14:paraId="1197A2A0" w14:textId="3D46B7A1" w:rsidR="006B0B65" w:rsidRDefault="006B0B65" w:rsidP="003A782F">
            <w:pPr>
              <w:jc w:val="both"/>
            </w:pPr>
            <w:r>
              <w:t xml:space="preserve">Engagements pris en matière de développement durable et de protection de l’environnement : </w:t>
            </w:r>
          </w:p>
        </w:tc>
        <w:tc>
          <w:tcPr>
            <w:tcW w:w="4528" w:type="dxa"/>
          </w:tcPr>
          <w:p w14:paraId="014689A1" w14:textId="668F62DC" w:rsidR="006B0B65" w:rsidRDefault="006B0B65" w:rsidP="006B0B65">
            <w:pPr>
              <w:jc w:val="center"/>
            </w:pPr>
            <w:r w:rsidRPr="006B0B65">
              <w:rPr>
                <w:b/>
                <w:bCs/>
              </w:rPr>
              <w:t>5%</w:t>
            </w:r>
          </w:p>
        </w:tc>
      </w:tr>
    </w:tbl>
    <w:p w14:paraId="6F987CE6" w14:textId="77777777" w:rsidR="006B0B65" w:rsidRPr="003E3480" w:rsidRDefault="006B0B65" w:rsidP="003A782F">
      <w:pPr>
        <w:jc w:val="both"/>
      </w:pPr>
    </w:p>
    <w:p w14:paraId="3EF6AA79" w14:textId="77777777" w:rsidR="003A782F" w:rsidRDefault="003A782F" w:rsidP="003A782F">
      <w:pPr>
        <w:pStyle w:val="Titre2"/>
        <w:numPr>
          <w:ilvl w:val="0"/>
          <w:numId w:val="0"/>
        </w:numPr>
        <w:ind w:left="1080" w:hanging="360"/>
      </w:pPr>
      <w:r>
        <w:t>Article 3 – Organisation spatiale et fonctionnalités</w:t>
      </w:r>
    </w:p>
    <w:p w14:paraId="17F6BA81" w14:textId="77777777" w:rsidR="003A782F" w:rsidRDefault="003A782F" w:rsidP="003A782F">
      <w:r>
        <w:t xml:space="preserve">La salle sera organisée en trois zones distinctes : </w:t>
      </w:r>
    </w:p>
    <w:p w14:paraId="6F5D9278" w14:textId="77777777" w:rsidR="003A782F" w:rsidRDefault="003A782F" w:rsidP="003A782F">
      <w:pPr>
        <w:pStyle w:val="Paragraphedeliste"/>
        <w:numPr>
          <w:ilvl w:val="0"/>
          <w:numId w:val="20"/>
        </w:numPr>
        <w:spacing w:after="200" w:line="276" w:lineRule="auto"/>
      </w:pPr>
      <w:r>
        <w:t>l’estrade</w:t>
      </w:r>
    </w:p>
    <w:p w14:paraId="73C8FADB" w14:textId="77777777" w:rsidR="003A782F" w:rsidRDefault="003A782F" w:rsidP="003A782F">
      <w:pPr>
        <w:pStyle w:val="Paragraphedeliste"/>
        <w:numPr>
          <w:ilvl w:val="0"/>
          <w:numId w:val="20"/>
        </w:numPr>
        <w:spacing w:after="200" w:line="276" w:lineRule="auto"/>
      </w:pPr>
      <w:r>
        <w:t xml:space="preserve">la zone de plaidoirie </w:t>
      </w:r>
    </w:p>
    <w:p w14:paraId="004C87BE" w14:textId="77777777" w:rsidR="003A782F" w:rsidRDefault="003A782F" w:rsidP="003A782F">
      <w:pPr>
        <w:pStyle w:val="Paragraphedeliste"/>
        <w:numPr>
          <w:ilvl w:val="0"/>
          <w:numId w:val="20"/>
        </w:numPr>
        <w:spacing w:after="200" w:line="276" w:lineRule="auto"/>
      </w:pPr>
      <w:r>
        <w:t xml:space="preserve">l’espace public </w:t>
      </w:r>
    </w:p>
    <w:p w14:paraId="130031F5" w14:textId="77777777" w:rsidR="003A782F" w:rsidRDefault="003A782F" w:rsidP="003A782F">
      <w:pPr>
        <w:pStyle w:val="Titre2"/>
        <w:numPr>
          <w:ilvl w:val="0"/>
          <w:numId w:val="0"/>
        </w:numPr>
        <w:ind w:left="1080"/>
      </w:pPr>
      <w:r>
        <w:t>3.1 L’estrade</w:t>
      </w:r>
    </w:p>
    <w:p w14:paraId="0EA19D98" w14:textId="77777777" w:rsidR="00F30480" w:rsidRDefault="00F30480" w:rsidP="003A782F">
      <w:pPr>
        <w:jc w:val="both"/>
      </w:pPr>
    </w:p>
    <w:p w14:paraId="0CBECA3F" w14:textId="4DE8CB45" w:rsidR="00F30480" w:rsidRDefault="00F30480" w:rsidP="003A782F">
      <w:pPr>
        <w:jc w:val="both"/>
      </w:pPr>
      <w:r>
        <w:t>La zone de l</w:t>
      </w:r>
      <w:r w:rsidR="003A782F">
        <w:t xml:space="preserve">’estrade accueillera le mobilier destiné aux exercices de soutenance ou de simulation d’audience. </w:t>
      </w:r>
      <w:r>
        <w:t>Ses dimensions sont</w:t>
      </w:r>
      <w:r w:rsidRPr="00F30480">
        <w:t xml:space="preserve"> 7.5m </w:t>
      </w:r>
      <w:r>
        <w:t xml:space="preserve">de </w:t>
      </w:r>
      <w:proofErr w:type="spellStart"/>
      <w:r w:rsidRPr="00F30480">
        <w:t>longeur</w:t>
      </w:r>
      <w:proofErr w:type="spellEnd"/>
      <w:r w:rsidRPr="00F30480">
        <w:t xml:space="preserve"> x 3.70m </w:t>
      </w:r>
      <w:r>
        <w:t xml:space="preserve">de </w:t>
      </w:r>
      <w:r w:rsidRPr="00F30480">
        <w:t xml:space="preserve">largeur x 0.15m </w:t>
      </w:r>
      <w:r>
        <w:t xml:space="preserve">de </w:t>
      </w:r>
      <w:r w:rsidRPr="00F30480">
        <w:t>hauteur</w:t>
      </w:r>
      <w:r>
        <w:t>.</w:t>
      </w:r>
    </w:p>
    <w:p w14:paraId="098944BF" w14:textId="4D9678EE" w:rsidR="003A782F" w:rsidRDefault="00F30480" w:rsidP="003A782F">
      <w:pPr>
        <w:jc w:val="both"/>
      </w:pPr>
      <w:r>
        <w:lastRenderedPageBreak/>
        <w:t>Cette zone</w:t>
      </w:r>
      <w:r w:rsidR="003A782F">
        <w:t xml:space="preserve"> devra comporter trois éléments principaux pouvant être assemblés ou séparés selon les configurations pédagogiques : </w:t>
      </w:r>
    </w:p>
    <w:p w14:paraId="721F12D4" w14:textId="77777777" w:rsidR="003A782F" w:rsidRDefault="003A782F" w:rsidP="003A782F">
      <w:pPr>
        <w:jc w:val="both"/>
      </w:pPr>
      <w:r>
        <w:t xml:space="preserve">- Une chaire centrale modulable, permettant d’accueillir jusqu’à 5 personnes dans une configuration de type tribunal, avec panneau frontal occultant. </w:t>
      </w:r>
    </w:p>
    <w:p w14:paraId="2D22514C" w14:textId="77777777" w:rsidR="003A782F" w:rsidRDefault="003A782F" w:rsidP="003A782F">
      <w:pPr>
        <w:jc w:val="both"/>
      </w:pPr>
      <w:r>
        <w:t xml:space="preserve">- Deux éléments latéraux, chacun d’une place, pouvant s’associer à la chaire pour former une unité de 7 places pour accueillir les jurys de </w:t>
      </w:r>
      <w:r w:rsidRPr="003E3480">
        <w:t>thèse</w:t>
      </w:r>
      <w:r>
        <w:t>.</w:t>
      </w:r>
    </w:p>
    <w:p w14:paraId="1895AD73" w14:textId="77777777" w:rsidR="003A782F" w:rsidRDefault="003A782F" w:rsidP="003A782F">
      <w:pPr>
        <w:jc w:val="both"/>
      </w:pPr>
      <w:r>
        <w:t>- Un module pour le procureur (flanc droit fermé) et un box d’accusé avec plexiglas amovible (flanc gauche fermé). Tous les éléments devront être sur roulettes autobloquantes adaptées au poids du mobilier, et accompagnés de fauteuils ergonomiques.</w:t>
      </w:r>
    </w:p>
    <w:p w14:paraId="412BCA47" w14:textId="77777777" w:rsidR="003A782F" w:rsidRDefault="003A782F" w:rsidP="003A782F">
      <w:pPr>
        <w:pStyle w:val="Titre2"/>
        <w:numPr>
          <w:ilvl w:val="0"/>
          <w:numId w:val="0"/>
        </w:numPr>
        <w:ind w:left="1080"/>
      </w:pPr>
      <w:r>
        <w:t>3.2 La zone de plaidoirie</w:t>
      </w:r>
    </w:p>
    <w:p w14:paraId="47FBD3CB" w14:textId="77777777" w:rsidR="003A782F" w:rsidRDefault="003A782F" w:rsidP="003A782F">
      <w:pPr>
        <w:jc w:val="both"/>
      </w:pPr>
      <w:r>
        <w:t>Située entre l’estrade et le public, cette zone devra mesurer entre 1,60 m et 2 m de profondeur. Elle comprendra deux pupitres mobiles en plexiglas, conçus pour permettre la prise de parole des avocats et la lecture de documents.</w:t>
      </w:r>
    </w:p>
    <w:p w14:paraId="22F8EFF6" w14:textId="77777777" w:rsidR="003A782F" w:rsidRDefault="003A782F" w:rsidP="003A782F">
      <w:pPr>
        <w:pStyle w:val="Titre2"/>
        <w:numPr>
          <w:ilvl w:val="0"/>
          <w:numId w:val="0"/>
        </w:numPr>
        <w:ind w:left="1080"/>
      </w:pPr>
      <w:r>
        <w:t>3.3 L’espace public</w:t>
      </w:r>
    </w:p>
    <w:p w14:paraId="431A6258" w14:textId="77777777" w:rsidR="003A782F" w:rsidRDefault="003A782F" w:rsidP="003A782F">
      <w:pPr>
        <w:jc w:val="both"/>
      </w:pPr>
      <w:r>
        <w:t>L’espace public comprendra 40 places assises avec tables et chaises individuelles. Les tables seront sur roulettes autobloquantes, d’une profondeur comprise entre 40 et 55 cm. Une allée centrale permettra la circulation. L’espacement entre chaises et tables devra être optimisé pour gagner de l’espace dans la zone de plaidoirie, sans nuire au confort des usagers.</w:t>
      </w:r>
    </w:p>
    <w:p w14:paraId="663BA9BA" w14:textId="77777777" w:rsidR="003A782F" w:rsidRDefault="003A782F" w:rsidP="003A782F">
      <w:pPr>
        <w:pStyle w:val="Titre2"/>
        <w:numPr>
          <w:ilvl w:val="0"/>
          <w:numId w:val="0"/>
        </w:numPr>
        <w:ind w:left="1080"/>
      </w:pPr>
      <w:r>
        <w:t>Article 4 – Confort, qualité et esthétique</w:t>
      </w:r>
    </w:p>
    <w:p w14:paraId="19EB23A8" w14:textId="77777777" w:rsidR="003A782F" w:rsidRDefault="003A782F" w:rsidP="003A782F">
      <w:pPr>
        <w:jc w:val="both"/>
      </w:pPr>
      <w:r>
        <w:t xml:space="preserve">Le mobilier devra offrir un confort adapté à une utilisation prolongée, et compatibles avec des usages pédagogiques, sans </w:t>
      </w:r>
      <w:r w:rsidRPr="00EE1D17">
        <w:t>éléments</w:t>
      </w:r>
      <w:r>
        <w:t xml:space="preserve"> de type salle d’attente ou table basse. Les matériaux devront être solides, esthétiques (bois clair privilégié), et contribuer à l’absorption sonore.</w:t>
      </w:r>
    </w:p>
    <w:p w14:paraId="6CC3AAC3" w14:textId="77777777" w:rsidR="003A782F" w:rsidRDefault="003A782F" w:rsidP="003A782F">
      <w:pPr>
        <w:pStyle w:val="Titre2"/>
        <w:numPr>
          <w:ilvl w:val="0"/>
          <w:numId w:val="0"/>
        </w:numPr>
        <w:ind w:left="1080"/>
      </w:pPr>
      <w:r>
        <w:t>Article 5 – Signalétique et personnalisation</w:t>
      </w:r>
    </w:p>
    <w:p w14:paraId="297AE6AA" w14:textId="77777777" w:rsidR="003A782F" w:rsidRDefault="003A782F" w:rsidP="003A782F">
      <w:pPr>
        <w:jc w:val="both"/>
      </w:pPr>
      <w:r>
        <w:t>Le module central de la chaire implantée sur l’estrade devra intégrer le logo de l’Université de Poitiers. Les autres personnalisations seront discutées avec la maîtrise d’ouvrage.</w:t>
      </w:r>
    </w:p>
    <w:p w14:paraId="6AEFC9EB" w14:textId="77777777" w:rsidR="003A782F" w:rsidRDefault="003A782F" w:rsidP="003A782F">
      <w:pPr>
        <w:pStyle w:val="Titre2"/>
        <w:numPr>
          <w:ilvl w:val="0"/>
          <w:numId w:val="0"/>
        </w:numPr>
        <w:ind w:left="1080"/>
      </w:pPr>
      <w:r>
        <w:t>Article 6 – Livraison, installation et accompagnement</w:t>
      </w:r>
    </w:p>
    <w:p w14:paraId="48B744B6" w14:textId="39D3DE12" w:rsidR="00A70AD2" w:rsidRDefault="003A782F" w:rsidP="00A70AD2">
      <w:pPr>
        <w:pStyle w:val="Titre1"/>
        <w:jc w:val="both"/>
        <w:rPr>
          <w:rFonts w:asciiTheme="minorHAnsi" w:eastAsiaTheme="minorHAnsi" w:hAnsiTheme="minorHAnsi" w:cstheme="minorBidi"/>
          <w:b w:val="0"/>
          <w:color w:val="auto"/>
          <w:sz w:val="22"/>
          <w:szCs w:val="22"/>
        </w:rPr>
      </w:pPr>
      <w:r w:rsidRPr="0048659D">
        <w:rPr>
          <w:rFonts w:asciiTheme="minorHAnsi" w:eastAsiaTheme="minorHAnsi" w:hAnsiTheme="minorHAnsi" w:cstheme="minorBidi"/>
          <w:b w:val="0"/>
          <w:color w:val="auto"/>
          <w:sz w:val="22"/>
          <w:szCs w:val="22"/>
        </w:rPr>
        <w:t>Le titulaire assurera la livraison, le montage et la démonstration des configurations possibles.</w:t>
      </w:r>
    </w:p>
    <w:p w14:paraId="49F44A79" w14:textId="282379C6" w:rsidR="00A70AD2" w:rsidRPr="00A70AD2" w:rsidRDefault="00A70AD2" w:rsidP="00A70AD2">
      <w:pPr>
        <w:jc w:val="both"/>
      </w:pPr>
      <w:r>
        <w:t xml:space="preserve">L’accès au bâtiment se fait via l’entrée cochère du </w:t>
      </w:r>
      <w:bookmarkStart w:id="0" w:name="_Hlk201746940"/>
      <w:r>
        <w:t xml:space="preserve">43, place Charles de Gaulle </w:t>
      </w:r>
      <w:bookmarkEnd w:id="0"/>
      <w:r>
        <w:t xml:space="preserve">dont les dimensions sont </w:t>
      </w:r>
      <w:r w:rsidRPr="00A70AD2">
        <w:t>2.4m de large x 3.3m de haut.</w:t>
      </w:r>
    </w:p>
    <w:p w14:paraId="3BD9E9B6" w14:textId="766A9E26" w:rsidR="00A70AD2" w:rsidRPr="00A70AD2" w:rsidRDefault="00A70AD2" w:rsidP="00A70AD2">
      <w:pPr>
        <w:jc w:val="both"/>
      </w:pPr>
      <w:r>
        <w:t xml:space="preserve">Le couloir desservant la salle </w:t>
      </w:r>
      <w:r w:rsidR="00D03C5B">
        <w:t xml:space="preserve">à équiper (salle </w:t>
      </w:r>
      <w:proofErr w:type="spellStart"/>
      <w:r>
        <w:t>Savatier</w:t>
      </w:r>
      <w:proofErr w:type="spellEnd"/>
      <w:r w:rsidR="00D03C5B">
        <w:t>)</w:t>
      </w:r>
      <w:r>
        <w:t xml:space="preserve"> a les dimensions suivantes : </w:t>
      </w:r>
      <w:r w:rsidRPr="00A70AD2">
        <w:t xml:space="preserve">1.5m de large </w:t>
      </w:r>
      <w:r>
        <w:t>x</w:t>
      </w:r>
      <w:r w:rsidRPr="00A70AD2">
        <w:t xml:space="preserve"> 2.5m de haut.</w:t>
      </w:r>
    </w:p>
    <w:p w14:paraId="31E7B838" w14:textId="13A732D9" w:rsidR="00A70AD2" w:rsidRPr="00A70AD2" w:rsidRDefault="00D03C5B" w:rsidP="00A70AD2">
      <w:pPr>
        <w:jc w:val="both"/>
      </w:pPr>
      <w:r>
        <w:t>La</w:t>
      </w:r>
      <w:r w:rsidR="00A70AD2">
        <w:t xml:space="preserve"> p</w:t>
      </w:r>
      <w:r w:rsidR="00A70AD2" w:rsidRPr="00A70AD2">
        <w:t xml:space="preserve">orte </w:t>
      </w:r>
      <w:r>
        <w:t>d’accès à</w:t>
      </w:r>
      <w:r w:rsidR="00A70AD2" w:rsidRPr="00A70AD2">
        <w:t xml:space="preserve"> la salle </w:t>
      </w:r>
      <w:r w:rsidR="00A70AD2">
        <w:t>mesure</w:t>
      </w:r>
      <w:r w:rsidR="00A70AD2" w:rsidRPr="00A70AD2">
        <w:t xml:space="preserve"> 1.4m de large </w:t>
      </w:r>
      <w:r w:rsidR="00A70AD2">
        <w:t>x</w:t>
      </w:r>
      <w:r w:rsidR="00A70AD2" w:rsidRPr="00A70AD2">
        <w:t xml:space="preserve"> 2.7m de haut.</w:t>
      </w:r>
    </w:p>
    <w:p w14:paraId="223FC0D4" w14:textId="217D31B1" w:rsidR="00A70AD2" w:rsidRPr="00A70AD2" w:rsidRDefault="00D03C5B" w:rsidP="00A70AD2">
      <w:pPr>
        <w:jc w:val="both"/>
      </w:pPr>
      <w:r>
        <w:t>Enfin, l</w:t>
      </w:r>
      <w:r w:rsidR="00A70AD2">
        <w:t>a salle elle-même</w:t>
      </w:r>
      <w:r w:rsidR="00A70AD2" w:rsidRPr="00A70AD2">
        <w:t xml:space="preserve"> </w:t>
      </w:r>
      <w:r w:rsidR="00A70AD2">
        <w:t>a une hauteur</w:t>
      </w:r>
      <w:r w:rsidR="00A70AD2" w:rsidRPr="00A70AD2">
        <w:t xml:space="preserve"> sous poutre </w:t>
      </w:r>
      <w:r w:rsidR="00A70AD2">
        <w:t>de</w:t>
      </w:r>
      <w:r w:rsidR="00A70AD2" w:rsidRPr="00A70AD2">
        <w:t xml:space="preserve"> 4.3m</w:t>
      </w:r>
      <w:r w:rsidR="00A70AD2">
        <w:t>, et une h</w:t>
      </w:r>
      <w:r w:rsidR="00A70AD2" w:rsidRPr="00A70AD2">
        <w:t xml:space="preserve">auteur sous plafond </w:t>
      </w:r>
      <w:r w:rsidR="00A70AD2">
        <w:t>de</w:t>
      </w:r>
      <w:r w:rsidR="00A70AD2" w:rsidRPr="00A70AD2">
        <w:t xml:space="preserve"> 4.8m.</w:t>
      </w:r>
    </w:p>
    <w:p w14:paraId="0FFB3E38" w14:textId="02D539EB" w:rsidR="00A70AD2" w:rsidRPr="00A70AD2" w:rsidRDefault="00A70AD2" w:rsidP="00A70AD2"/>
    <w:p w14:paraId="70612FD7" w14:textId="762E5B9B" w:rsidR="009757DD" w:rsidRPr="0048659D" w:rsidRDefault="003A782F" w:rsidP="00A70AD2">
      <w:pPr>
        <w:pStyle w:val="Titre1"/>
        <w:rPr>
          <w:rFonts w:asciiTheme="minorHAnsi" w:eastAsiaTheme="minorHAnsi" w:hAnsiTheme="minorHAnsi" w:cstheme="minorBidi"/>
          <w:b w:val="0"/>
          <w:color w:val="auto"/>
          <w:sz w:val="22"/>
          <w:szCs w:val="22"/>
        </w:rPr>
      </w:pPr>
      <w:r w:rsidRPr="0048659D">
        <w:rPr>
          <w:rFonts w:asciiTheme="minorHAnsi" w:eastAsiaTheme="minorHAnsi" w:hAnsiTheme="minorHAnsi" w:cstheme="minorBidi"/>
          <w:b w:val="0"/>
          <w:color w:val="auto"/>
          <w:sz w:val="22"/>
          <w:szCs w:val="22"/>
        </w:rPr>
        <w:t xml:space="preserve"> </w:t>
      </w:r>
      <w:r w:rsidR="00A70AD2">
        <w:rPr>
          <w:rFonts w:asciiTheme="minorHAnsi" w:eastAsiaTheme="minorHAnsi" w:hAnsiTheme="minorHAnsi" w:cstheme="minorBidi"/>
          <w:b w:val="0"/>
          <w:color w:val="auto"/>
          <w:sz w:val="22"/>
          <w:szCs w:val="22"/>
        </w:rPr>
        <w:t>La documentation concernant le montage et l’</w:t>
      </w:r>
      <w:r w:rsidRPr="0048659D">
        <w:rPr>
          <w:rFonts w:asciiTheme="minorHAnsi" w:eastAsiaTheme="minorHAnsi" w:hAnsiTheme="minorHAnsi" w:cstheme="minorBidi"/>
          <w:b w:val="0"/>
          <w:color w:val="auto"/>
          <w:sz w:val="22"/>
          <w:szCs w:val="22"/>
        </w:rPr>
        <w:t xml:space="preserve">utilisation </w:t>
      </w:r>
      <w:r w:rsidR="00A70AD2">
        <w:rPr>
          <w:rFonts w:asciiTheme="minorHAnsi" w:eastAsiaTheme="minorHAnsi" w:hAnsiTheme="minorHAnsi" w:cstheme="minorBidi"/>
          <w:b w:val="0"/>
          <w:color w:val="auto"/>
          <w:sz w:val="22"/>
          <w:szCs w:val="22"/>
        </w:rPr>
        <w:t xml:space="preserve">du mobilier </w:t>
      </w:r>
      <w:r w:rsidRPr="0048659D">
        <w:rPr>
          <w:rFonts w:asciiTheme="minorHAnsi" w:eastAsiaTheme="minorHAnsi" w:hAnsiTheme="minorHAnsi" w:cstheme="minorBidi"/>
          <w:b w:val="0"/>
          <w:color w:val="auto"/>
          <w:sz w:val="22"/>
          <w:szCs w:val="22"/>
        </w:rPr>
        <w:t>devra être remis</w:t>
      </w:r>
      <w:r w:rsidR="00A70AD2">
        <w:rPr>
          <w:rFonts w:asciiTheme="minorHAnsi" w:eastAsiaTheme="minorHAnsi" w:hAnsiTheme="minorHAnsi" w:cstheme="minorBidi"/>
          <w:b w:val="0"/>
          <w:color w:val="auto"/>
          <w:sz w:val="22"/>
          <w:szCs w:val="22"/>
        </w:rPr>
        <w:t>e</w:t>
      </w:r>
      <w:r w:rsidRPr="0048659D">
        <w:rPr>
          <w:rFonts w:asciiTheme="minorHAnsi" w:eastAsiaTheme="minorHAnsi" w:hAnsiTheme="minorHAnsi" w:cstheme="minorBidi"/>
          <w:b w:val="0"/>
          <w:color w:val="auto"/>
          <w:sz w:val="22"/>
          <w:szCs w:val="22"/>
        </w:rPr>
        <w:t xml:space="preserve"> en version papier et numérique.</w:t>
      </w:r>
    </w:p>
    <w:sectPr w:rsidR="009757DD" w:rsidRPr="0048659D" w:rsidSect="008961BD">
      <w:headerReference w:type="default" r:id="rId7"/>
      <w:footerReference w:type="even" r:id="rId8"/>
      <w:footerReference w:type="default" r:id="rId9"/>
      <w:pgSz w:w="11900" w:h="16840"/>
      <w:pgMar w:top="1702" w:right="1417" w:bottom="1417" w:left="1417" w:header="14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B622E3" w14:textId="77777777" w:rsidR="00D938BC" w:rsidRDefault="00D938BC" w:rsidP="0021215F">
      <w:r>
        <w:separator/>
      </w:r>
    </w:p>
  </w:endnote>
  <w:endnote w:type="continuationSeparator" w:id="0">
    <w:p w14:paraId="29D1B2A3" w14:textId="77777777" w:rsidR="00D938BC" w:rsidRDefault="00D938BC" w:rsidP="002121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BookAntiqua">
    <w:altName w:val="Japanese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796327753"/>
      <w:docPartObj>
        <w:docPartGallery w:val="Page Numbers (Bottom of Page)"/>
        <w:docPartUnique/>
      </w:docPartObj>
    </w:sdtPr>
    <w:sdtEndPr>
      <w:rPr>
        <w:rStyle w:val="Numrodepage"/>
      </w:rPr>
    </w:sdtEndPr>
    <w:sdtContent>
      <w:p w14:paraId="585FA9FF" w14:textId="77777777" w:rsidR="0021215F" w:rsidRDefault="0021215F" w:rsidP="00F46EB3">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69097121" w14:textId="77777777" w:rsidR="0021215F" w:rsidRDefault="0021215F" w:rsidP="0021215F">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EDE01" w14:textId="394A0B31" w:rsidR="0021215F" w:rsidRPr="000103C7" w:rsidRDefault="000103C7" w:rsidP="0021215F">
    <w:pPr>
      <w:pStyle w:val="Pieddepage"/>
      <w:ind w:right="360"/>
      <w:rPr>
        <w:sz w:val="20"/>
        <w:szCs w:val="20"/>
      </w:rPr>
    </w:pPr>
    <w:r w:rsidRPr="000103C7">
      <w:rPr>
        <w:sz w:val="20"/>
        <w:szCs w:val="20"/>
      </w:rPr>
      <w:t xml:space="preserve">CCTP </w:t>
    </w:r>
    <w:r w:rsidR="00E87861">
      <w:rPr>
        <w:sz w:val="20"/>
        <w:szCs w:val="20"/>
      </w:rPr>
      <w:t>2025A011</w:t>
    </w:r>
    <w:r w:rsidRPr="000103C7">
      <w:rPr>
        <w:sz w:val="20"/>
        <w:szCs w:val="20"/>
      </w:rPr>
      <w:tab/>
    </w:r>
    <w:r w:rsidRPr="000103C7">
      <w:rPr>
        <w:sz w:val="20"/>
        <w:szCs w:val="20"/>
      </w:rPr>
      <w:tab/>
      <w:t xml:space="preserve">Page </w:t>
    </w:r>
    <w:r w:rsidRPr="000103C7">
      <w:rPr>
        <w:b/>
        <w:bCs/>
        <w:sz w:val="20"/>
        <w:szCs w:val="20"/>
      </w:rPr>
      <w:fldChar w:fldCharType="begin"/>
    </w:r>
    <w:r w:rsidRPr="000103C7">
      <w:rPr>
        <w:b/>
        <w:bCs/>
        <w:sz w:val="20"/>
        <w:szCs w:val="20"/>
      </w:rPr>
      <w:instrText>PAGE  \* Arabic  \* MERGEFORMAT</w:instrText>
    </w:r>
    <w:r w:rsidRPr="000103C7">
      <w:rPr>
        <w:b/>
        <w:bCs/>
        <w:sz w:val="20"/>
        <w:szCs w:val="20"/>
      </w:rPr>
      <w:fldChar w:fldCharType="separate"/>
    </w:r>
    <w:r w:rsidR="00CD3B98">
      <w:rPr>
        <w:b/>
        <w:bCs/>
        <w:noProof/>
        <w:sz w:val="20"/>
        <w:szCs w:val="20"/>
      </w:rPr>
      <w:t>2</w:t>
    </w:r>
    <w:r w:rsidRPr="000103C7">
      <w:rPr>
        <w:b/>
        <w:bCs/>
        <w:sz w:val="20"/>
        <w:szCs w:val="20"/>
      </w:rPr>
      <w:fldChar w:fldCharType="end"/>
    </w:r>
    <w:r w:rsidRPr="000103C7">
      <w:rPr>
        <w:sz w:val="20"/>
        <w:szCs w:val="20"/>
      </w:rPr>
      <w:t xml:space="preserve"> sur </w:t>
    </w:r>
    <w:r w:rsidRPr="000103C7">
      <w:rPr>
        <w:b/>
        <w:bCs/>
        <w:sz w:val="20"/>
        <w:szCs w:val="20"/>
      </w:rPr>
      <w:fldChar w:fldCharType="begin"/>
    </w:r>
    <w:r w:rsidRPr="000103C7">
      <w:rPr>
        <w:b/>
        <w:bCs/>
        <w:sz w:val="20"/>
        <w:szCs w:val="20"/>
      </w:rPr>
      <w:instrText>NUMPAGES  \* Arabic  \* MERGEFORMAT</w:instrText>
    </w:r>
    <w:r w:rsidRPr="000103C7">
      <w:rPr>
        <w:b/>
        <w:bCs/>
        <w:sz w:val="20"/>
        <w:szCs w:val="20"/>
      </w:rPr>
      <w:fldChar w:fldCharType="separate"/>
    </w:r>
    <w:r w:rsidR="00CD3B98">
      <w:rPr>
        <w:b/>
        <w:bCs/>
        <w:noProof/>
        <w:sz w:val="20"/>
        <w:szCs w:val="20"/>
      </w:rPr>
      <w:t>2</w:t>
    </w:r>
    <w:r w:rsidRPr="000103C7">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75E90" w14:textId="77777777" w:rsidR="00D938BC" w:rsidRDefault="00D938BC" w:rsidP="0021215F">
      <w:r>
        <w:separator/>
      </w:r>
    </w:p>
  </w:footnote>
  <w:footnote w:type="continuationSeparator" w:id="0">
    <w:p w14:paraId="43A9D155" w14:textId="77777777" w:rsidR="00D938BC" w:rsidRDefault="00D938BC" w:rsidP="002121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463FE" w14:textId="77777777" w:rsidR="008961BD" w:rsidRDefault="008961BD">
    <w:pPr>
      <w:pStyle w:val="En-tte"/>
    </w:pPr>
    <w:r>
      <w:rPr>
        <w:rFonts w:ascii="Calibri" w:eastAsia="Calibri" w:hAnsi="Calibri" w:cs="Calibri"/>
        <w:b/>
        <w:noProof/>
        <w:color w:val="000000"/>
        <w:sz w:val="28"/>
        <w:szCs w:val="28"/>
      </w:rPr>
      <w:drawing>
        <wp:inline distT="0" distB="0" distL="114300" distR="114300" wp14:anchorId="79242660" wp14:editId="7AE11833">
          <wp:extent cx="1231265" cy="929005"/>
          <wp:effectExtent l="0" t="0" r="0" b="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1231265" cy="92900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069AC"/>
    <w:multiLevelType w:val="multilevel"/>
    <w:tmpl w:val="10B201D0"/>
    <w:lvl w:ilvl="0">
      <w:start w:val="1"/>
      <w:numFmt w:val="upperRoman"/>
      <w:lvlText w:val="%1."/>
      <w:lvlJc w:val="right"/>
      <w:pPr>
        <w:ind w:left="720" w:hanging="36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E8B1FB2"/>
    <w:multiLevelType w:val="hybridMultilevel"/>
    <w:tmpl w:val="BFAA925E"/>
    <w:lvl w:ilvl="0" w:tplc="3460B5FA">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0A11CF"/>
    <w:multiLevelType w:val="hybridMultilevel"/>
    <w:tmpl w:val="57EC7434"/>
    <w:lvl w:ilvl="0" w:tplc="D52A330E">
      <w:start w:val="1"/>
      <w:numFmt w:val="upperLetter"/>
      <w:pStyle w:val="Titre2"/>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 w15:restartNumberingAfterBreak="0">
    <w:nsid w:val="1D80638B"/>
    <w:multiLevelType w:val="hybridMultilevel"/>
    <w:tmpl w:val="54B048AE"/>
    <w:lvl w:ilvl="0" w:tplc="72A23596">
      <w:numFmt w:val="bullet"/>
      <w:lvlText w:val="-"/>
      <w:lvlJc w:val="left"/>
      <w:pPr>
        <w:ind w:left="720" w:hanging="360"/>
      </w:pPr>
      <w:rPr>
        <w:rFonts w:ascii="Cambria" w:eastAsiaTheme="minorEastAsia" w:hAnsi="Cambr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7BD2AA8"/>
    <w:multiLevelType w:val="hybridMultilevel"/>
    <w:tmpl w:val="D07823F0"/>
    <w:lvl w:ilvl="0" w:tplc="5400D8E2">
      <w:start w:val="2"/>
      <w:numFmt w:val="bullet"/>
      <w:lvlText w:val="-"/>
      <w:lvlJc w:val="left"/>
      <w:pPr>
        <w:ind w:left="1069" w:hanging="360"/>
      </w:pPr>
      <w:rPr>
        <w:rFonts w:ascii="Century Gothic" w:eastAsia="Times New Roman" w:hAnsi="Century Gothic" w:cs="Times New Roman"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5" w15:restartNumberingAfterBreak="0">
    <w:nsid w:val="28685CAA"/>
    <w:multiLevelType w:val="hybridMultilevel"/>
    <w:tmpl w:val="86828FBA"/>
    <w:lvl w:ilvl="0" w:tplc="62AA7CE2">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C0A4552"/>
    <w:multiLevelType w:val="hybridMultilevel"/>
    <w:tmpl w:val="87764DA2"/>
    <w:lvl w:ilvl="0" w:tplc="A88EF19C">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2B471D"/>
    <w:multiLevelType w:val="hybridMultilevel"/>
    <w:tmpl w:val="FFAE5EB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BE57E1D"/>
    <w:multiLevelType w:val="hybridMultilevel"/>
    <w:tmpl w:val="1728A0BA"/>
    <w:lvl w:ilvl="0" w:tplc="B0984CD2">
      <w:start w:val="1"/>
      <w:numFmt w:val="decimal"/>
      <w:lvlText w:val="%1."/>
      <w:lvlJc w:val="left"/>
      <w:pPr>
        <w:ind w:left="360" w:hanging="360"/>
      </w:pPr>
      <w:rPr>
        <w:rFonts w:hint="default"/>
        <w:b/>
        <w:i w:val="0"/>
        <w:color w:val="auto"/>
        <w:sz w:val="22"/>
        <w:szCs w:val="22"/>
        <w:u w:val="none"/>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9" w15:restartNumberingAfterBreak="0">
    <w:nsid w:val="403A2ECA"/>
    <w:multiLevelType w:val="multilevel"/>
    <w:tmpl w:val="95C4E3E8"/>
    <w:lvl w:ilvl="0">
      <w:start w:val="1"/>
      <w:numFmt w:val="decimal"/>
      <w:pStyle w:val="Titre3"/>
      <w:lvlText w:val="%1)"/>
      <w:lvlJc w:val="left"/>
      <w:pPr>
        <w:ind w:left="720" w:hanging="360"/>
      </w:pPr>
      <w:rPr>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44F10E49"/>
    <w:multiLevelType w:val="hybridMultilevel"/>
    <w:tmpl w:val="FB1A99BC"/>
    <w:lvl w:ilvl="0" w:tplc="60BA3D02">
      <w:start w:val="1"/>
      <w:numFmt w:val="lowerLetter"/>
      <w:pStyle w:val="Titre4"/>
      <w:lvlText w:val="%1)"/>
      <w:lvlJc w:val="left"/>
      <w:pPr>
        <w:ind w:left="1776" w:hanging="360"/>
      </w:p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11" w15:restartNumberingAfterBreak="0">
    <w:nsid w:val="4CBA2EEB"/>
    <w:multiLevelType w:val="multilevel"/>
    <w:tmpl w:val="194E2F44"/>
    <w:lvl w:ilvl="0">
      <w:start w:val="1"/>
      <w:numFmt w:val="decimal"/>
      <w:lvlText w:val="%1."/>
      <w:lvlJc w:val="left"/>
      <w:pPr>
        <w:ind w:left="720" w:hanging="360"/>
      </w:pPr>
      <w:rPr>
        <w:rFonts w:hint="default"/>
        <w:b/>
        <w:i w:val="0"/>
      </w:rPr>
    </w:lvl>
    <w:lvl w:ilvl="1">
      <w:start w:val="1"/>
      <w:numFmt w:val="decimal"/>
      <w:isLgl/>
      <w:lvlText w:val="%1.%2"/>
      <w:lvlJc w:val="left"/>
      <w:pPr>
        <w:ind w:left="720" w:hanging="360"/>
      </w:pPr>
      <w:rPr>
        <w:rFonts w:hint="default"/>
        <w:b/>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1800" w:hanging="1440"/>
      </w:pPr>
      <w:rPr>
        <w:rFonts w:hint="default"/>
        <w:b/>
        <w:u w:val="single"/>
      </w:rPr>
    </w:lvl>
  </w:abstractNum>
  <w:abstractNum w:abstractNumId="12" w15:restartNumberingAfterBreak="0">
    <w:nsid w:val="4F8B5A65"/>
    <w:multiLevelType w:val="hybridMultilevel"/>
    <w:tmpl w:val="2A0C7E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447C08"/>
    <w:multiLevelType w:val="hybridMultilevel"/>
    <w:tmpl w:val="41604D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E9666E3"/>
    <w:multiLevelType w:val="hybridMultilevel"/>
    <w:tmpl w:val="AC7A64C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4D5031E"/>
    <w:multiLevelType w:val="hybridMultilevel"/>
    <w:tmpl w:val="74D0B350"/>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A522A00"/>
    <w:multiLevelType w:val="hybridMultilevel"/>
    <w:tmpl w:val="89A85E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D7044F"/>
    <w:multiLevelType w:val="hybridMultilevel"/>
    <w:tmpl w:val="BDD405F2"/>
    <w:lvl w:ilvl="0" w:tplc="873A3D5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8"/>
  </w:num>
  <w:num w:numId="4">
    <w:abstractNumId w:val="15"/>
  </w:num>
  <w:num w:numId="5">
    <w:abstractNumId w:val="17"/>
  </w:num>
  <w:num w:numId="6">
    <w:abstractNumId w:val="16"/>
  </w:num>
  <w:num w:numId="7">
    <w:abstractNumId w:val="14"/>
  </w:num>
  <w:num w:numId="8">
    <w:abstractNumId w:val="11"/>
  </w:num>
  <w:num w:numId="9">
    <w:abstractNumId w:val="6"/>
  </w:num>
  <w:num w:numId="10">
    <w:abstractNumId w:val="5"/>
  </w:num>
  <w:num w:numId="11">
    <w:abstractNumId w:val="4"/>
  </w:num>
  <w:num w:numId="12">
    <w:abstractNumId w:val="0"/>
  </w:num>
  <w:num w:numId="13">
    <w:abstractNumId w:val="2"/>
  </w:num>
  <w:num w:numId="14">
    <w:abstractNumId w:val="9"/>
  </w:num>
  <w:num w:numId="15">
    <w:abstractNumId w:val="10"/>
  </w:num>
  <w:num w:numId="16">
    <w:abstractNumId w:val="0"/>
  </w:num>
  <w:num w:numId="17">
    <w:abstractNumId w:val="2"/>
  </w:num>
  <w:num w:numId="18">
    <w:abstractNumId w:val="9"/>
  </w:num>
  <w:num w:numId="19">
    <w:abstractNumId w:val="10"/>
  </w:num>
  <w:num w:numId="20">
    <w:abstractNumId w:val="3"/>
  </w:num>
  <w:num w:numId="21">
    <w:abstractNumId w:val="13"/>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15F"/>
    <w:rsid w:val="000103C7"/>
    <w:rsid w:val="00196E3C"/>
    <w:rsid w:val="001B383D"/>
    <w:rsid w:val="001E6306"/>
    <w:rsid w:val="0021215F"/>
    <w:rsid w:val="00234B35"/>
    <w:rsid w:val="00364111"/>
    <w:rsid w:val="003A782F"/>
    <w:rsid w:val="0048659D"/>
    <w:rsid w:val="004D1A29"/>
    <w:rsid w:val="004E1C20"/>
    <w:rsid w:val="004E65B9"/>
    <w:rsid w:val="00500578"/>
    <w:rsid w:val="00504CAF"/>
    <w:rsid w:val="00512116"/>
    <w:rsid w:val="005D7FE9"/>
    <w:rsid w:val="006116C5"/>
    <w:rsid w:val="006B0B65"/>
    <w:rsid w:val="006F0FAA"/>
    <w:rsid w:val="00744C33"/>
    <w:rsid w:val="00744DFC"/>
    <w:rsid w:val="0074578F"/>
    <w:rsid w:val="0078011C"/>
    <w:rsid w:val="0078377C"/>
    <w:rsid w:val="007D3DEA"/>
    <w:rsid w:val="00826507"/>
    <w:rsid w:val="008543AA"/>
    <w:rsid w:val="00871A2C"/>
    <w:rsid w:val="008961BD"/>
    <w:rsid w:val="00971C82"/>
    <w:rsid w:val="009757DD"/>
    <w:rsid w:val="009B7D49"/>
    <w:rsid w:val="00A058D3"/>
    <w:rsid w:val="00A12ABA"/>
    <w:rsid w:val="00A70AD2"/>
    <w:rsid w:val="00B3239E"/>
    <w:rsid w:val="00C52516"/>
    <w:rsid w:val="00C96099"/>
    <w:rsid w:val="00CB7771"/>
    <w:rsid w:val="00CD3B98"/>
    <w:rsid w:val="00D03C5B"/>
    <w:rsid w:val="00D32167"/>
    <w:rsid w:val="00D328EE"/>
    <w:rsid w:val="00D938BC"/>
    <w:rsid w:val="00DA1958"/>
    <w:rsid w:val="00E15EC9"/>
    <w:rsid w:val="00E36636"/>
    <w:rsid w:val="00E74CAC"/>
    <w:rsid w:val="00E87861"/>
    <w:rsid w:val="00EA2EAE"/>
    <w:rsid w:val="00EC3F48"/>
    <w:rsid w:val="00F30480"/>
    <w:rsid w:val="00F33E68"/>
    <w:rsid w:val="00F90AB3"/>
    <w:rsid w:val="00FB14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7D65D3"/>
  <w15:chartTrackingRefBased/>
  <w15:docId w15:val="{1120678D-8691-834A-8F7A-C8002CC86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28EE"/>
    <w:rPr>
      <w:sz w:val="22"/>
      <w:szCs w:val="22"/>
    </w:rPr>
  </w:style>
  <w:style w:type="paragraph" w:styleId="Titre1">
    <w:name w:val="heading 1"/>
    <w:basedOn w:val="Normal"/>
    <w:next w:val="Normal"/>
    <w:link w:val="Titre1Car"/>
    <w:autoRedefine/>
    <w:uiPriority w:val="9"/>
    <w:qFormat/>
    <w:rsid w:val="0048659D"/>
    <w:pPr>
      <w:keepNext/>
      <w:keepLines/>
      <w:spacing w:before="240"/>
      <w:outlineLvl w:val="0"/>
    </w:pPr>
    <w:rPr>
      <w:rFonts w:asciiTheme="majorHAnsi" w:eastAsiaTheme="majorEastAsia" w:hAnsiTheme="majorHAnsi" w:cstheme="majorBidi"/>
      <w:b/>
      <w:color w:val="2F5496" w:themeColor="accent1" w:themeShade="BF"/>
      <w:sz w:val="32"/>
      <w:szCs w:val="32"/>
    </w:rPr>
  </w:style>
  <w:style w:type="paragraph" w:styleId="Titre2">
    <w:name w:val="heading 2"/>
    <w:basedOn w:val="Normal"/>
    <w:next w:val="Normal"/>
    <w:link w:val="Titre2Car"/>
    <w:autoRedefine/>
    <w:uiPriority w:val="9"/>
    <w:unhideWhenUsed/>
    <w:qFormat/>
    <w:rsid w:val="00D328EE"/>
    <w:pPr>
      <w:keepNext/>
      <w:keepLines/>
      <w:numPr>
        <w:numId w:val="17"/>
      </w:numPr>
      <w:tabs>
        <w:tab w:val="num" w:pos="720"/>
      </w:tabs>
      <w:spacing w:before="40"/>
      <w:outlineLvl w:val="1"/>
    </w:pPr>
    <w:rPr>
      <w:rFonts w:asciiTheme="majorHAnsi" w:eastAsiaTheme="majorEastAsia" w:hAnsiTheme="majorHAnsi" w:cstheme="majorBidi"/>
      <w:b/>
      <w:color w:val="2F5496" w:themeColor="accent1" w:themeShade="BF"/>
      <w:sz w:val="26"/>
      <w:szCs w:val="26"/>
    </w:rPr>
  </w:style>
  <w:style w:type="paragraph" w:styleId="Titre3">
    <w:name w:val="heading 3"/>
    <w:basedOn w:val="Normal"/>
    <w:next w:val="Normal"/>
    <w:link w:val="Titre3Car"/>
    <w:autoRedefine/>
    <w:uiPriority w:val="9"/>
    <w:unhideWhenUsed/>
    <w:qFormat/>
    <w:rsid w:val="00D328EE"/>
    <w:pPr>
      <w:keepNext/>
      <w:keepLines/>
      <w:numPr>
        <w:numId w:val="18"/>
      </w:numPr>
      <w:spacing w:before="40"/>
      <w:outlineLvl w:val="2"/>
    </w:pPr>
    <w:rPr>
      <w:rFonts w:asciiTheme="majorHAnsi" w:eastAsiaTheme="majorEastAsia" w:hAnsiTheme="majorHAnsi" w:cstheme="majorBidi"/>
      <w:color w:val="1F3763" w:themeColor="accent1" w:themeShade="7F"/>
    </w:rPr>
  </w:style>
  <w:style w:type="paragraph" w:styleId="Titre4">
    <w:name w:val="heading 4"/>
    <w:basedOn w:val="Normal"/>
    <w:next w:val="Normal"/>
    <w:link w:val="Titre4Car"/>
    <w:uiPriority w:val="9"/>
    <w:unhideWhenUsed/>
    <w:qFormat/>
    <w:rsid w:val="00D328EE"/>
    <w:pPr>
      <w:keepNext/>
      <w:keepLines/>
      <w:numPr>
        <w:numId w:val="19"/>
      </w:numPr>
      <w:spacing w:before="40"/>
      <w:outlineLvl w:val="3"/>
    </w:pPr>
    <w:rPr>
      <w:rFonts w:asciiTheme="majorHAnsi" w:eastAsiaTheme="majorEastAsia" w:hAnsiTheme="majorHAnsi" w:cstheme="majorBidi"/>
      <w:i/>
      <w:iCs/>
      <w:color w:val="2F5496"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21215F"/>
    <w:pPr>
      <w:tabs>
        <w:tab w:val="center" w:pos="4536"/>
        <w:tab w:val="right" w:pos="9072"/>
      </w:tabs>
    </w:pPr>
  </w:style>
  <w:style w:type="character" w:customStyle="1" w:styleId="PieddepageCar">
    <w:name w:val="Pied de page Car"/>
    <w:basedOn w:val="Policepardfaut"/>
    <w:link w:val="Pieddepage"/>
    <w:uiPriority w:val="99"/>
    <w:rsid w:val="0021215F"/>
  </w:style>
  <w:style w:type="character" w:styleId="Numrodepage">
    <w:name w:val="page number"/>
    <w:basedOn w:val="Policepardfaut"/>
    <w:uiPriority w:val="99"/>
    <w:semiHidden/>
    <w:unhideWhenUsed/>
    <w:rsid w:val="0021215F"/>
  </w:style>
  <w:style w:type="character" w:styleId="Lienhypertexte">
    <w:name w:val="Hyperlink"/>
    <w:basedOn w:val="Policepardfaut"/>
    <w:uiPriority w:val="99"/>
    <w:unhideWhenUsed/>
    <w:rsid w:val="0021215F"/>
    <w:rPr>
      <w:color w:val="0563C1" w:themeColor="hyperlink"/>
      <w:u w:val="single"/>
    </w:rPr>
  </w:style>
  <w:style w:type="character" w:customStyle="1" w:styleId="Mentionnonrsolue1">
    <w:name w:val="Mention non résolue1"/>
    <w:basedOn w:val="Policepardfaut"/>
    <w:uiPriority w:val="99"/>
    <w:semiHidden/>
    <w:unhideWhenUsed/>
    <w:rsid w:val="0021215F"/>
    <w:rPr>
      <w:color w:val="605E5C"/>
      <w:shd w:val="clear" w:color="auto" w:fill="E1DFDD"/>
    </w:rPr>
  </w:style>
  <w:style w:type="paragraph" w:styleId="Paragraphedeliste">
    <w:name w:val="List Paragraph"/>
    <w:basedOn w:val="Normal"/>
    <w:uiPriority w:val="34"/>
    <w:qFormat/>
    <w:rsid w:val="0074578F"/>
    <w:pPr>
      <w:ind w:left="720"/>
      <w:contextualSpacing/>
    </w:pPr>
  </w:style>
  <w:style w:type="table" w:styleId="Grilledutableau">
    <w:name w:val="Table Grid"/>
    <w:basedOn w:val="TableauNormal"/>
    <w:uiPriority w:val="39"/>
    <w:rsid w:val="00A058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103C7"/>
    <w:pPr>
      <w:tabs>
        <w:tab w:val="center" w:pos="4536"/>
        <w:tab w:val="right" w:pos="9072"/>
      </w:tabs>
    </w:pPr>
  </w:style>
  <w:style w:type="character" w:customStyle="1" w:styleId="En-tteCar">
    <w:name w:val="En-tête Car"/>
    <w:basedOn w:val="Policepardfaut"/>
    <w:link w:val="En-tte"/>
    <w:uiPriority w:val="99"/>
    <w:rsid w:val="000103C7"/>
  </w:style>
  <w:style w:type="paragraph" w:customStyle="1" w:styleId="Titre0">
    <w:name w:val="Titre 0"/>
    <w:basedOn w:val="Normal"/>
    <w:link w:val="Titre0Car"/>
    <w:rsid w:val="00D328EE"/>
    <w:rPr>
      <w:b/>
      <w:color w:val="2F5496" w:themeColor="accent1" w:themeShade="BF"/>
      <w:sz w:val="36"/>
    </w:rPr>
  </w:style>
  <w:style w:type="character" w:customStyle="1" w:styleId="Titre0Car">
    <w:name w:val="Titre 0 Car"/>
    <w:basedOn w:val="Policepardfaut"/>
    <w:link w:val="Titre0"/>
    <w:rsid w:val="00D328EE"/>
    <w:rPr>
      <w:b/>
      <w:color w:val="2F5496" w:themeColor="accent1" w:themeShade="BF"/>
      <w:sz w:val="36"/>
      <w:szCs w:val="22"/>
    </w:rPr>
  </w:style>
  <w:style w:type="character" w:customStyle="1" w:styleId="Titre1Car">
    <w:name w:val="Titre 1 Car"/>
    <w:basedOn w:val="Policepardfaut"/>
    <w:link w:val="Titre1"/>
    <w:uiPriority w:val="9"/>
    <w:rsid w:val="0048659D"/>
    <w:rPr>
      <w:rFonts w:asciiTheme="majorHAnsi" w:eastAsiaTheme="majorEastAsia" w:hAnsiTheme="majorHAnsi" w:cstheme="majorBidi"/>
      <w:b/>
      <w:color w:val="2F5496" w:themeColor="accent1" w:themeShade="BF"/>
      <w:sz w:val="32"/>
      <w:szCs w:val="32"/>
    </w:rPr>
  </w:style>
  <w:style w:type="character" w:customStyle="1" w:styleId="Titre2Car">
    <w:name w:val="Titre 2 Car"/>
    <w:basedOn w:val="Policepardfaut"/>
    <w:link w:val="Titre2"/>
    <w:uiPriority w:val="9"/>
    <w:rsid w:val="00D328EE"/>
    <w:rPr>
      <w:rFonts w:asciiTheme="majorHAnsi" w:eastAsiaTheme="majorEastAsia" w:hAnsiTheme="majorHAnsi" w:cstheme="majorBidi"/>
      <w:b/>
      <w:color w:val="2F5496" w:themeColor="accent1" w:themeShade="BF"/>
      <w:sz w:val="26"/>
      <w:szCs w:val="26"/>
    </w:rPr>
  </w:style>
  <w:style w:type="character" w:customStyle="1" w:styleId="Titre3Car">
    <w:name w:val="Titre 3 Car"/>
    <w:basedOn w:val="Policepardfaut"/>
    <w:link w:val="Titre3"/>
    <w:uiPriority w:val="9"/>
    <w:rsid w:val="00D328EE"/>
    <w:rPr>
      <w:rFonts w:asciiTheme="majorHAnsi" w:eastAsiaTheme="majorEastAsia" w:hAnsiTheme="majorHAnsi" w:cstheme="majorBidi"/>
      <w:color w:val="1F3763" w:themeColor="accent1" w:themeShade="7F"/>
      <w:sz w:val="22"/>
      <w:szCs w:val="22"/>
    </w:rPr>
  </w:style>
  <w:style w:type="character" w:customStyle="1" w:styleId="Titre4Car">
    <w:name w:val="Titre 4 Car"/>
    <w:basedOn w:val="Policepardfaut"/>
    <w:link w:val="Titre4"/>
    <w:uiPriority w:val="9"/>
    <w:rsid w:val="00D328EE"/>
    <w:rPr>
      <w:rFonts w:asciiTheme="majorHAnsi" w:eastAsiaTheme="majorEastAsia" w:hAnsiTheme="majorHAnsi" w:cstheme="majorBidi"/>
      <w:i/>
      <w:iCs/>
      <w:color w:val="2F5496" w:themeColor="accent1" w:themeShade="BF"/>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854713">
      <w:bodyDiv w:val="1"/>
      <w:marLeft w:val="0"/>
      <w:marRight w:val="0"/>
      <w:marTop w:val="0"/>
      <w:marBottom w:val="0"/>
      <w:divBdr>
        <w:top w:val="none" w:sz="0" w:space="0" w:color="auto"/>
        <w:left w:val="none" w:sz="0" w:space="0" w:color="auto"/>
        <w:bottom w:val="none" w:sz="0" w:space="0" w:color="auto"/>
        <w:right w:val="none" w:sz="0" w:space="0" w:color="auto"/>
      </w:divBdr>
      <w:divsChild>
        <w:div w:id="268511512">
          <w:marLeft w:val="0"/>
          <w:marRight w:val="0"/>
          <w:marTop w:val="0"/>
          <w:marBottom w:val="0"/>
          <w:divBdr>
            <w:top w:val="none" w:sz="0" w:space="0" w:color="auto"/>
            <w:left w:val="none" w:sz="0" w:space="0" w:color="auto"/>
            <w:bottom w:val="none" w:sz="0" w:space="0" w:color="auto"/>
            <w:right w:val="none" w:sz="0" w:space="0" w:color="auto"/>
          </w:divBdr>
        </w:div>
        <w:div w:id="595212903">
          <w:marLeft w:val="0"/>
          <w:marRight w:val="0"/>
          <w:marTop w:val="0"/>
          <w:marBottom w:val="0"/>
          <w:divBdr>
            <w:top w:val="none" w:sz="0" w:space="0" w:color="auto"/>
            <w:left w:val="none" w:sz="0" w:space="0" w:color="auto"/>
            <w:bottom w:val="none" w:sz="0" w:space="0" w:color="auto"/>
            <w:right w:val="none" w:sz="0" w:space="0" w:color="auto"/>
          </w:divBdr>
        </w:div>
        <w:div w:id="336735999">
          <w:marLeft w:val="0"/>
          <w:marRight w:val="0"/>
          <w:marTop w:val="0"/>
          <w:marBottom w:val="0"/>
          <w:divBdr>
            <w:top w:val="none" w:sz="0" w:space="0" w:color="auto"/>
            <w:left w:val="none" w:sz="0" w:space="0" w:color="auto"/>
            <w:bottom w:val="none" w:sz="0" w:space="0" w:color="auto"/>
            <w:right w:val="none" w:sz="0" w:space="0" w:color="auto"/>
          </w:divBdr>
        </w:div>
        <w:div w:id="124087680">
          <w:marLeft w:val="0"/>
          <w:marRight w:val="0"/>
          <w:marTop w:val="0"/>
          <w:marBottom w:val="0"/>
          <w:divBdr>
            <w:top w:val="none" w:sz="0" w:space="0" w:color="auto"/>
            <w:left w:val="none" w:sz="0" w:space="0" w:color="auto"/>
            <w:bottom w:val="none" w:sz="0" w:space="0" w:color="auto"/>
            <w:right w:val="none" w:sz="0" w:space="0" w:color="auto"/>
          </w:divBdr>
        </w:div>
        <w:div w:id="17555441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816</Words>
  <Characters>4490</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Guille Aurelien</cp:lastModifiedBy>
  <cp:revision>3</cp:revision>
  <dcterms:created xsi:type="dcterms:W3CDTF">2025-06-24T15:32:00Z</dcterms:created>
  <dcterms:modified xsi:type="dcterms:W3CDTF">2025-06-25T12:20:00Z</dcterms:modified>
</cp:coreProperties>
</file>