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0157E72E"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6283CF23" w14:textId="5EC22A4D" w:rsidR="00631775" w:rsidRPr="00631775" w:rsidRDefault="00631775" w:rsidP="00631775">
      <w:pPr>
        <w:pBdr>
          <w:top w:val="single" w:sz="4" w:space="1" w:color="auto"/>
          <w:left w:val="single" w:sz="4" w:space="4" w:color="auto"/>
          <w:bottom w:val="single" w:sz="4" w:space="1" w:color="auto"/>
          <w:right w:val="single" w:sz="4" w:space="4" w:color="auto"/>
        </w:pBdr>
        <w:ind w:right="-1"/>
        <w:jc w:val="center"/>
        <w:rPr>
          <w:b/>
          <w:sz w:val="28"/>
        </w:rPr>
      </w:pPr>
      <w:r w:rsidRPr="00631775">
        <w:rPr>
          <w:b/>
          <w:sz w:val="28"/>
        </w:rPr>
        <w:t xml:space="preserve">Service </w:t>
      </w:r>
      <w:r w:rsidR="00875AE3">
        <w:rPr>
          <w:b/>
          <w:sz w:val="28"/>
        </w:rPr>
        <w:t>D</w:t>
      </w:r>
      <w:r w:rsidRPr="00631775">
        <w:rPr>
          <w:b/>
          <w:sz w:val="28"/>
        </w:rPr>
        <w:t xml:space="preserve">éveloppement des </w:t>
      </w:r>
      <w:r w:rsidR="00875AE3">
        <w:rPr>
          <w:b/>
          <w:sz w:val="28"/>
        </w:rPr>
        <w:t>R</w:t>
      </w:r>
      <w:r w:rsidRPr="00631775">
        <w:rPr>
          <w:b/>
          <w:sz w:val="28"/>
        </w:rPr>
        <w:t>essources</w:t>
      </w:r>
    </w:p>
    <w:p w14:paraId="75AE6B9F" w14:textId="7FFBAE1D" w:rsidR="00631775" w:rsidRPr="00631775" w:rsidRDefault="00631775" w:rsidP="00631775">
      <w:pPr>
        <w:pBdr>
          <w:top w:val="single" w:sz="4" w:space="1" w:color="auto"/>
          <w:left w:val="single" w:sz="4" w:space="4" w:color="auto"/>
          <w:bottom w:val="single" w:sz="4" w:space="1" w:color="auto"/>
          <w:right w:val="single" w:sz="4" w:space="4" w:color="auto"/>
        </w:pBdr>
        <w:ind w:right="-1"/>
        <w:jc w:val="center"/>
        <w:rPr>
          <w:b/>
          <w:sz w:val="28"/>
        </w:rPr>
      </w:pPr>
      <w:r w:rsidRPr="00631775">
        <w:rPr>
          <w:b/>
          <w:sz w:val="28"/>
        </w:rPr>
        <w:t xml:space="preserve">Département des </w:t>
      </w:r>
      <w:r w:rsidR="00875AE3">
        <w:rPr>
          <w:b/>
          <w:sz w:val="28"/>
        </w:rPr>
        <w:t>B</w:t>
      </w:r>
      <w:r w:rsidRPr="00631775">
        <w:rPr>
          <w:b/>
          <w:sz w:val="28"/>
        </w:rPr>
        <w:t>âtiments et de l’</w:t>
      </w:r>
      <w:r w:rsidR="00875AE3">
        <w:rPr>
          <w:b/>
          <w:sz w:val="28"/>
        </w:rPr>
        <w:t>E</w:t>
      </w:r>
      <w:r w:rsidRPr="00631775">
        <w:rPr>
          <w:b/>
          <w:sz w:val="28"/>
        </w:rPr>
        <w:t>xploitation</w:t>
      </w:r>
    </w:p>
    <w:p w14:paraId="41473F9D" w14:textId="77777777" w:rsidR="00DD35BC" w:rsidRDefault="00DD35BC" w:rsidP="00CD093A">
      <w:pPr>
        <w:jc w:val="center"/>
        <w:rPr>
          <w:b/>
          <w:color w:val="0070C0"/>
          <w:sz w:val="56"/>
        </w:rPr>
      </w:pPr>
    </w:p>
    <w:p w14:paraId="03AC2A1E" w14:textId="20410CDC" w:rsidR="00CD093A" w:rsidRDefault="00CD093A" w:rsidP="00CD093A">
      <w:pPr>
        <w:jc w:val="center"/>
        <w:rPr>
          <w:b/>
          <w:color w:val="0070C0"/>
          <w:sz w:val="56"/>
        </w:rPr>
      </w:pPr>
      <w:r w:rsidRPr="00AD5244">
        <w:rPr>
          <w:b/>
          <w:color w:val="0070C0"/>
          <w:sz w:val="56"/>
        </w:rPr>
        <w:t>C</w:t>
      </w:r>
      <w:r w:rsidR="00217D99">
        <w:rPr>
          <w:b/>
          <w:color w:val="0070C0"/>
          <w:sz w:val="56"/>
        </w:rPr>
        <w:t>ONVENTION D’AUTORISATION TEMPORAIRE D’OCCUPATION DU DOMAINE PUBLIC</w:t>
      </w:r>
      <w:r w:rsidR="005D1C55">
        <w:rPr>
          <w:b/>
          <w:color w:val="0070C0"/>
          <w:sz w:val="56"/>
        </w:rPr>
        <w:t xml:space="preserve"> (AOT)</w:t>
      </w:r>
    </w:p>
    <w:p w14:paraId="656049F1" w14:textId="191C3E5B" w:rsidR="00DD35BC" w:rsidRDefault="00624408" w:rsidP="00CD093A">
      <w:pPr>
        <w:jc w:val="center"/>
      </w:pPr>
      <w:r>
        <w:t>Articles L. 2122-6 et suivant</w:t>
      </w:r>
      <w:r w:rsidR="00873D6B">
        <w:t>s</w:t>
      </w:r>
      <w:r>
        <w:t xml:space="preserve"> du </w:t>
      </w:r>
      <w:r w:rsidR="00CD354A">
        <w:t>C</w:t>
      </w:r>
      <w:r w:rsidR="00776DE9">
        <w:t xml:space="preserve">ode général de la propriété des personnes publiques </w:t>
      </w:r>
    </w:p>
    <w:p w14:paraId="3D82B8F8" w14:textId="77777777" w:rsidR="00624408" w:rsidRPr="00AD5244" w:rsidRDefault="00624408" w:rsidP="00CD093A">
      <w:pPr>
        <w:jc w:val="center"/>
        <w:rPr>
          <w:b/>
          <w:color w:val="0070C0"/>
          <w:sz w:val="56"/>
        </w:rPr>
      </w:pPr>
    </w:p>
    <w:p w14:paraId="7ED882C2" w14:textId="77777777" w:rsidR="00CD093A" w:rsidRDefault="00CD093A" w:rsidP="00CD093A">
      <w:pPr>
        <w:pBdr>
          <w:top w:val="single" w:sz="4" w:space="1" w:color="auto"/>
          <w:left w:val="single" w:sz="4" w:space="4" w:color="auto"/>
          <w:bottom w:val="single" w:sz="4" w:space="1" w:color="auto"/>
          <w:right w:val="single" w:sz="4" w:space="4" w:color="auto"/>
        </w:pBdr>
      </w:pPr>
    </w:p>
    <w:p w14:paraId="531D3FB7" w14:textId="77777777" w:rsidR="00CD093A" w:rsidRPr="00AD5244" w:rsidRDefault="00CD093A"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1D0509AA" w:rsidR="00CD093A" w:rsidRDefault="00F03BAC"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Pr>
          <w:rFonts w:ascii="NeueHaasGroteskText Pro" w:hAnsi="NeueHaasGroteskText Pro" w:cs="Arial"/>
          <w:b/>
          <w:sz w:val="36"/>
        </w:rPr>
        <w:t>M</w:t>
      </w:r>
      <w:r w:rsidR="00DD35BC">
        <w:rPr>
          <w:rFonts w:ascii="NeueHaasGroteskText Pro" w:hAnsi="NeueHaasGroteskText Pro" w:cs="Arial"/>
          <w:b/>
          <w:sz w:val="36"/>
        </w:rPr>
        <w:t>ise à disposition, maintenance et réapprovisionnement de distributeurs automatiques de boissons</w:t>
      </w:r>
      <w:r w:rsidR="001936E5">
        <w:rPr>
          <w:rFonts w:ascii="NeueHaasGroteskText Pro" w:hAnsi="NeueHaasGroteskText Pro" w:cs="Arial"/>
          <w:b/>
          <w:sz w:val="36"/>
        </w:rPr>
        <w:t xml:space="preserve">, </w:t>
      </w:r>
      <w:r w:rsidR="00DD35BC">
        <w:rPr>
          <w:rFonts w:ascii="NeueHaasGroteskText Pro" w:hAnsi="NeueHaasGroteskText Pro" w:cs="Arial"/>
          <w:b/>
          <w:sz w:val="36"/>
        </w:rPr>
        <w:t>denrées alimentaires</w:t>
      </w:r>
      <w:r w:rsidR="001936E5">
        <w:rPr>
          <w:rFonts w:ascii="NeueHaasGroteskText Pro" w:hAnsi="NeueHaasGroteskText Pro" w:cs="Arial"/>
          <w:b/>
          <w:sz w:val="36"/>
        </w:rPr>
        <w:t xml:space="preserve"> et produits d’hygiène</w:t>
      </w:r>
    </w:p>
    <w:p w14:paraId="41252553" w14:textId="77777777" w:rsidR="00CD093A" w:rsidRDefault="00CD093A" w:rsidP="00CD093A">
      <w:pPr>
        <w:pBdr>
          <w:top w:val="single" w:sz="4" w:space="1" w:color="auto"/>
          <w:left w:val="single" w:sz="4" w:space="4" w:color="auto"/>
          <w:bottom w:val="single" w:sz="4" w:space="1" w:color="auto"/>
          <w:right w:val="single" w:sz="4" w:space="4" w:color="auto"/>
        </w:pBdr>
        <w:jc w:val="center"/>
      </w:pPr>
    </w:p>
    <w:p w14:paraId="2A2192DC" w14:textId="0F092FFA" w:rsidR="00CD093A" w:rsidRPr="00AD5244" w:rsidRDefault="00CD093A" w:rsidP="00CD093A">
      <w:pPr>
        <w:pBdr>
          <w:top w:val="single" w:sz="4" w:space="1" w:color="auto"/>
          <w:left w:val="single" w:sz="4" w:space="4" w:color="auto"/>
          <w:bottom w:val="single" w:sz="4" w:space="1" w:color="auto"/>
          <w:right w:val="single" w:sz="4" w:space="4" w:color="auto"/>
        </w:pBdr>
        <w:jc w:val="center"/>
        <w:rPr>
          <w:sz w:val="32"/>
        </w:rPr>
      </w:pPr>
    </w:p>
    <w:p w14:paraId="650BC4FB" w14:textId="77777777" w:rsidR="00CD093A" w:rsidRDefault="00CD093A" w:rsidP="00CD093A">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Référence du contrat</w:t>
      </w:r>
      <w:r w:rsidRPr="00AD5244">
        <w:rPr>
          <w:sz w:val="32"/>
        </w:rPr>
        <w:t xml:space="preserve"> :</w:t>
      </w:r>
    </w:p>
    <w:p w14:paraId="3F425138" w14:textId="65506D49" w:rsidR="00CD093A" w:rsidRDefault="00152243" w:rsidP="00CD093A">
      <w:pPr>
        <w:pBdr>
          <w:top w:val="single" w:sz="4" w:space="1" w:color="auto"/>
          <w:left w:val="single" w:sz="4" w:space="4" w:color="auto"/>
          <w:bottom w:val="single" w:sz="4" w:space="1" w:color="auto"/>
          <w:right w:val="single" w:sz="4" w:space="4" w:color="auto"/>
        </w:pBdr>
        <w:jc w:val="center"/>
        <w:rPr>
          <w:sz w:val="32"/>
        </w:rPr>
      </w:pPr>
      <w:r>
        <w:rPr>
          <w:sz w:val="32"/>
        </w:rPr>
        <w:t>C202</w:t>
      </w:r>
      <w:r w:rsidR="001936E5">
        <w:rPr>
          <w:sz w:val="32"/>
        </w:rPr>
        <w:t>5</w:t>
      </w:r>
      <w:r>
        <w:rPr>
          <w:sz w:val="32"/>
        </w:rPr>
        <w:t>_SDR_AOTDA</w:t>
      </w:r>
    </w:p>
    <w:p w14:paraId="4B5E1432" w14:textId="77777777" w:rsidR="00CD093A" w:rsidRDefault="00CD093A" w:rsidP="00CD093A">
      <w:pPr>
        <w:pBdr>
          <w:top w:val="single" w:sz="4" w:space="1" w:color="auto"/>
          <w:left w:val="single" w:sz="4" w:space="4" w:color="auto"/>
          <w:bottom w:val="single" w:sz="4" w:space="1" w:color="auto"/>
          <w:right w:val="single" w:sz="4" w:space="4" w:color="auto"/>
        </w:pBdr>
        <w:jc w:val="center"/>
        <w:rPr>
          <w:sz w:val="32"/>
        </w:rPr>
      </w:pPr>
    </w:p>
    <w:p w14:paraId="06D4290E" w14:textId="77777777" w:rsidR="00CD093A" w:rsidRPr="00AD5244" w:rsidRDefault="00CD093A" w:rsidP="00CD093A">
      <w:pPr>
        <w:pBdr>
          <w:top w:val="single" w:sz="4" w:space="1" w:color="auto"/>
          <w:left w:val="single" w:sz="4" w:space="4" w:color="auto"/>
          <w:bottom w:val="single" w:sz="4" w:space="1" w:color="auto"/>
          <w:right w:val="single" w:sz="4" w:space="4" w:color="auto"/>
        </w:pBdr>
        <w:jc w:val="center"/>
        <w:rPr>
          <w:sz w:val="32"/>
        </w:rPr>
      </w:pPr>
    </w:p>
    <w:p w14:paraId="28954BDC" w14:textId="77777777" w:rsidR="00152243" w:rsidRDefault="00152243">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5DE4AB87"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332768AF" w14:textId="6EF0C65B" w:rsidR="00E34AAF"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01743741" w:history="1">
        <w:r w:rsidR="00E34AAF" w:rsidRPr="005B6612">
          <w:rPr>
            <w:rStyle w:val="Lienhypertexte"/>
            <w:rFonts w:cs="Times New Roman"/>
            <w:noProof/>
          </w:rPr>
          <w:t>Article 1</w:t>
        </w:r>
        <w:r w:rsidR="00E34AAF" w:rsidRPr="005B6612">
          <w:rPr>
            <w:rStyle w:val="Lienhypertexte"/>
            <w:noProof/>
          </w:rPr>
          <w:t xml:space="preserve"> Présentation des parties</w:t>
        </w:r>
        <w:r w:rsidR="00E34AAF">
          <w:rPr>
            <w:noProof/>
            <w:webHidden/>
          </w:rPr>
          <w:tab/>
        </w:r>
        <w:r w:rsidR="00E34AAF">
          <w:rPr>
            <w:noProof/>
            <w:webHidden/>
          </w:rPr>
          <w:fldChar w:fldCharType="begin"/>
        </w:r>
        <w:r w:rsidR="00E34AAF">
          <w:rPr>
            <w:noProof/>
            <w:webHidden/>
          </w:rPr>
          <w:instrText xml:space="preserve"> PAGEREF _Toc201743741 \h </w:instrText>
        </w:r>
        <w:r w:rsidR="00E34AAF">
          <w:rPr>
            <w:noProof/>
            <w:webHidden/>
          </w:rPr>
        </w:r>
        <w:r w:rsidR="00E34AAF">
          <w:rPr>
            <w:noProof/>
            <w:webHidden/>
          </w:rPr>
          <w:fldChar w:fldCharType="separate"/>
        </w:r>
        <w:r w:rsidR="00E34AAF">
          <w:rPr>
            <w:noProof/>
            <w:webHidden/>
          </w:rPr>
          <w:t>4</w:t>
        </w:r>
        <w:r w:rsidR="00E34AAF">
          <w:rPr>
            <w:noProof/>
            <w:webHidden/>
          </w:rPr>
          <w:fldChar w:fldCharType="end"/>
        </w:r>
      </w:hyperlink>
    </w:p>
    <w:p w14:paraId="09E7D4C0" w14:textId="55200718" w:rsidR="00E34AAF" w:rsidRDefault="00E34AAF">
      <w:pPr>
        <w:pStyle w:val="TM1"/>
        <w:rPr>
          <w:rFonts w:asciiTheme="minorHAnsi" w:eastAsiaTheme="minorEastAsia" w:hAnsiTheme="minorHAnsi" w:cstheme="minorBidi"/>
          <w:b w:val="0"/>
          <w:bCs w:val="0"/>
          <w:iCs w:val="0"/>
          <w:noProof/>
          <w:sz w:val="22"/>
          <w:szCs w:val="22"/>
        </w:rPr>
      </w:pPr>
      <w:hyperlink w:anchor="_Toc201743742" w:history="1">
        <w:r w:rsidRPr="005B6612">
          <w:rPr>
            <w:rStyle w:val="Lienhypertexte"/>
            <w:rFonts w:cs="Times New Roman"/>
            <w:noProof/>
          </w:rPr>
          <w:t>Article 2</w:t>
        </w:r>
        <w:r w:rsidRPr="005B6612">
          <w:rPr>
            <w:rStyle w:val="Lienhypertexte"/>
            <w:noProof/>
          </w:rPr>
          <w:t xml:space="preserve"> Caractère et objet de l’AOT</w:t>
        </w:r>
        <w:r>
          <w:rPr>
            <w:noProof/>
            <w:webHidden/>
          </w:rPr>
          <w:tab/>
        </w:r>
        <w:r>
          <w:rPr>
            <w:noProof/>
            <w:webHidden/>
          </w:rPr>
          <w:fldChar w:fldCharType="begin"/>
        </w:r>
        <w:r>
          <w:rPr>
            <w:noProof/>
            <w:webHidden/>
          </w:rPr>
          <w:instrText xml:space="preserve"> PAGEREF _Toc201743742 \h </w:instrText>
        </w:r>
        <w:r>
          <w:rPr>
            <w:noProof/>
            <w:webHidden/>
          </w:rPr>
        </w:r>
        <w:r>
          <w:rPr>
            <w:noProof/>
            <w:webHidden/>
          </w:rPr>
          <w:fldChar w:fldCharType="separate"/>
        </w:r>
        <w:r>
          <w:rPr>
            <w:noProof/>
            <w:webHidden/>
          </w:rPr>
          <w:t>5</w:t>
        </w:r>
        <w:r>
          <w:rPr>
            <w:noProof/>
            <w:webHidden/>
          </w:rPr>
          <w:fldChar w:fldCharType="end"/>
        </w:r>
      </w:hyperlink>
    </w:p>
    <w:p w14:paraId="1DD96EB1" w14:textId="2228FD98" w:rsidR="00E34AAF" w:rsidRDefault="00E34AAF">
      <w:pPr>
        <w:pStyle w:val="TM1"/>
        <w:rPr>
          <w:rFonts w:asciiTheme="minorHAnsi" w:eastAsiaTheme="minorEastAsia" w:hAnsiTheme="minorHAnsi" w:cstheme="minorBidi"/>
          <w:b w:val="0"/>
          <w:bCs w:val="0"/>
          <w:iCs w:val="0"/>
          <w:noProof/>
          <w:sz w:val="22"/>
          <w:szCs w:val="22"/>
        </w:rPr>
      </w:pPr>
      <w:hyperlink w:anchor="_Toc201743743" w:history="1">
        <w:r w:rsidRPr="005B6612">
          <w:rPr>
            <w:rStyle w:val="Lienhypertexte"/>
            <w:rFonts w:cs="Times New Roman"/>
            <w:noProof/>
          </w:rPr>
          <w:t>Article 3</w:t>
        </w:r>
        <w:r w:rsidRPr="005B6612">
          <w:rPr>
            <w:rStyle w:val="Lienhypertexte"/>
            <w:noProof/>
          </w:rPr>
          <w:t xml:space="preserve"> Pièces contractuelles</w:t>
        </w:r>
        <w:r>
          <w:rPr>
            <w:noProof/>
            <w:webHidden/>
          </w:rPr>
          <w:tab/>
        </w:r>
        <w:r>
          <w:rPr>
            <w:noProof/>
            <w:webHidden/>
          </w:rPr>
          <w:fldChar w:fldCharType="begin"/>
        </w:r>
        <w:r>
          <w:rPr>
            <w:noProof/>
            <w:webHidden/>
          </w:rPr>
          <w:instrText xml:space="preserve"> PAGEREF _Toc201743743 \h </w:instrText>
        </w:r>
        <w:r>
          <w:rPr>
            <w:noProof/>
            <w:webHidden/>
          </w:rPr>
        </w:r>
        <w:r>
          <w:rPr>
            <w:noProof/>
            <w:webHidden/>
          </w:rPr>
          <w:fldChar w:fldCharType="separate"/>
        </w:r>
        <w:r>
          <w:rPr>
            <w:noProof/>
            <w:webHidden/>
          </w:rPr>
          <w:t>5</w:t>
        </w:r>
        <w:r>
          <w:rPr>
            <w:noProof/>
            <w:webHidden/>
          </w:rPr>
          <w:fldChar w:fldCharType="end"/>
        </w:r>
      </w:hyperlink>
    </w:p>
    <w:p w14:paraId="397844D5" w14:textId="2F9DC828" w:rsidR="00E34AAF" w:rsidRDefault="00E34AAF">
      <w:pPr>
        <w:pStyle w:val="TM1"/>
        <w:rPr>
          <w:rFonts w:asciiTheme="minorHAnsi" w:eastAsiaTheme="minorEastAsia" w:hAnsiTheme="minorHAnsi" w:cstheme="minorBidi"/>
          <w:b w:val="0"/>
          <w:bCs w:val="0"/>
          <w:iCs w:val="0"/>
          <w:noProof/>
          <w:sz w:val="22"/>
          <w:szCs w:val="22"/>
        </w:rPr>
      </w:pPr>
      <w:hyperlink w:anchor="_Toc201743744" w:history="1">
        <w:r w:rsidRPr="005B6612">
          <w:rPr>
            <w:rStyle w:val="Lienhypertexte"/>
            <w:rFonts w:cs="Times New Roman"/>
            <w:noProof/>
          </w:rPr>
          <w:t>Article 4</w:t>
        </w:r>
        <w:r w:rsidRPr="005B6612">
          <w:rPr>
            <w:rStyle w:val="Lienhypertexte"/>
            <w:noProof/>
          </w:rPr>
          <w:t xml:space="preserve"> Durée de l’AOT – entrée en vigueur</w:t>
        </w:r>
        <w:r>
          <w:rPr>
            <w:noProof/>
            <w:webHidden/>
          </w:rPr>
          <w:tab/>
        </w:r>
        <w:r>
          <w:rPr>
            <w:noProof/>
            <w:webHidden/>
          </w:rPr>
          <w:fldChar w:fldCharType="begin"/>
        </w:r>
        <w:r>
          <w:rPr>
            <w:noProof/>
            <w:webHidden/>
          </w:rPr>
          <w:instrText xml:space="preserve"> PAGEREF _Toc201743744 \h </w:instrText>
        </w:r>
        <w:r>
          <w:rPr>
            <w:noProof/>
            <w:webHidden/>
          </w:rPr>
        </w:r>
        <w:r>
          <w:rPr>
            <w:noProof/>
            <w:webHidden/>
          </w:rPr>
          <w:fldChar w:fldCharType="separate"/>
        </w:r>
        <w:r>
          <w:rPr>
            <w:noProof/>
            <w:webHidden/>
          </w:rPr>
          <w:t>5</w:t>
        </w:r>
        <w:r>
          <w:rPr>
            <w:noProof/>
            <w:webHidden/>
          </w:rPr>
          <w:fldChar w:fldCharType="end"/>
        </w:r>
      </w:hyperlink>
    </w:p>
    <w:p w14:paraId="55F572A0" w14:textId="6C991419" w:rsidR="00E34AAF" w:rsidRDefault="00E34AAF">
      <w:pPr>
        <w:pStyle w:val="TM1"/>
        <w:rPr>
          <w:rFonts w:asciiTheme="minorHAnsi" w:eastAsiaTheme="minorEastAsia" w:hAnsiTheme="minorHAnsi" w:cstheme="minorBidi"/>
          <w:b w:val="0"/>
          <w:bCs w:val="0"/>
          <w:iCs w:val="0"/>
          <w:noProof/>
          <w:sz w:val="22"/>
          <w:szCs w:val="22"/>
        </w:rPr>
      </w:pPr>
      <w:hyperlink w:anchor="_Toc201743745" w:history="1">
        <w:r w:rsidRPr="005B6612">
          <w:rPr>
            <w:rStyle w:val="Lienhypertexte"/>
            <w:rFonts w:cs="Times New Roman"/>
            <w:noProof/>
          </w:rPr>
          <w:t>Article 5</w:t>
        </w:r>
        <w:r w:rsidRPr="005B6612">
          <w:rPr>
            <w:rStyle w:val="Lienhypertexte"/>
            <w:noProof/>
          </w:rPr>
          <w:t xml:space="preserve"> Retrait des documents de consultation</w:t>
        </w:r>
        <w:r>
          <w:rPr>
            <w:noProof/>
            <w:webHidden/>
          </w:rPr>
          <w:tab/>
        </w:r>
        <w:r>
          <w:rPr>
            <w:noProof/>
            <w:webHidden/>
          </w:rPr>
          <w:fldChar w:fldCharType="begin"/>
        </w:r>
        <w:r>
          <w:rPr>
            <w:noProof/>
            <w:webHidden/>
          </w:rPr>
          <w:instrText xml:space="preserve"> PAGEREF _Toc201743745 \h </w:instrText>
        </w:r>
        <w:r>
          <w:rPr>
            <w:noProof/>
            <w:webHidden/>
          </w:rPr>
        </w:r>
        <w:r>
          <w:rPr>
            <w:noProof/>
            <w:webHidden/>
          </w:rPr>
          <w:fldChar w:fldCharType="separate"/>
        </w:r>
        <w:r>
          <w:rPr>
            <w:noProof/>
            <w:webHidden/>
          </w:rPr>
          <w:t>5</w:t>
        </w:r>
        <w:r>
          <w:rPr>
            <w:noProof/>
            <w:webHidden/>
          </w:rPr>
          <w:fldChar w:fldCharType="end"/>
        </w:r>
      </w:hyperlink>
    </w:p>
    <w:p w14:paraId="443B3665" w14:textId="178A761A" w:rsidR="00E34AAF" w:rsidRDefault="00E34AAF">
      <w:pPr>
        <w:pStyle w:val="TM1"/>
        <w:rPr>
          <w:rFonts w:asciiTheme="minorHAnsi" w:eastAsiaTheme="minorEastAsia" w:hAnsiTheme="minorHAnsi" w:cstheme="minorBidi"/>
          <w:b w:val="0"/>
          <w:bCs w:val="0"/>
          <w:iCs w:val="0"/>
          <w:noProof/>
          <w:sz w:val="22"/>
          <w:szCs w:val="22"/>
        </w:rPr>
      </w:pPr>
      <w:hyperlink w:anchor="_Toc201743746" w:history="1">
        <w:r w:rsidRPr="005B6612">
          <w:rPr>
            <w:rStyle w:val="Lienhypertexte"/>
            <w:rFonts w:cs="Times New Roman"/>
            <w:noProof/>
          </w:rPr>
          <w:t>Article 6</w:t>
        </w:r>
        <w:r w:rsidRPr="005B6612">
          <w:rPr>
            <w:rStyle w:val="Lienhypertexte"/>
            <w:noProof/>
          </w:rPr>
          <w:t xml:space="preserve"> Modalités de réponse à la consultation</w:t>
        </w:r>
        <w:r>
          <w:rPr>
            <w:noProof/>
            <w:webHidden/>
          </w:rPr>
          <w:tab/>
        </w:r>
        <w:r>
          <w:rPr>
            <w:noProof/>
            <w:webHidden/>
          </w:rPr>
          <w:fldChar w:fldCharType="begin"/>
        </w:r>
        <w:r>
          <w:rPr>
            <w:noProof/>
            <w:webHidden/>
          </w:rPr>
          <w:instrText xml:space="preserve"> PAGEREF _Toc201743746 \h </w:instrText>
        </w:r>
        <w:r>
          <w:rPr>
            <w:noProof/>
            <w:webHidden/>
          </w:rPr>
        </w:r>
        <w:r>
          <w:rPr>
            <w:noProof/>
            <w:webHidden/>
          </w:rPr>
          <w:fldChar w:fldCharType="separate"/>
        </w:r>
        <w:r>
          <w:rPr>
            <w:noProof/>
            <w:webHidden/>
          </w:rPr>
          <w:t>5</w:t>
        </w:r>
        <w:r>
          <w:rPr>
            <w:noProof/>
            <w:webHidden/>
          </w:rPr>
          <w:fldChar w:fldCharType="end"/>
        </w:r>
      </w:hyperlink>
    </w:p>
    <w:p w14:paraId="2EA2AB77" w14:textId="1E7F0997" w:rsidR="00E34AAF" w:rsidRDefault="00E34AAF">
      <w:pPr>
        <w:pStyle w:val="TM2"/>
        <w:rPr>
          <w:rFonts w:asciiTheme="minorHAnsi" w:eastAsiaTheme="minorEastAsia" w:hAnsiTheme="minorHAnsi" w:cstheme="minorBidi"/>
          <w:bCs w:val="0"/>
          <w:noProof/>
          <w:color w:val="auto"/>
          <w:sz w:val="22"/>
        </w:rPr>
      </w:pPr>
      <w:hyperlink w:anchor="_Toc201743747" w:history="1">
        <w:r w:rsidRPr="005B6612">
          <w:rPr>
            <w:rStyle w:val="Lienhypertexte"/>
            <w:rFonts w:cs="Times New Roman"/>
            <w:noProof/>
          </w:rPr>
          <w:t>6.1</w:t>
        </w:r>
        <w:r w:rsidRPr="005B6612">
          <w:rPr>
            <w:rStyle w:val="Lienhypertexte"/>
            <w:noProof/>
          </w:rPr>
          <w:t xml:space="preserve"> Echanges de questions-réponses</w:t>
        </w:r>
        <w:r>
          <w:rPr>
            <w:noProof/>
            <w:webHidden/>
          </w:rPr>
          <w:tab/>
        </w:r>
        <w:r>
          <w:rPr>
            <w:noProof/>
            <w:webHidden/>
          </w:rPr>
          <w:fldChar w:fldCharType="begin"/>
        </w:r>
        <w:r>
          <w:rPr>
            <w:noProof/>
            <w:webHidden/>
          </w:rPr>
          <w:instrText xml:space="preserve"> PAGEREF _Toc201743747 \h </w:instrText>
        </w:r>
        <w:r>
          <w:rPr>
            <w:noProof/>
            <w:webHidden/>
          </w:rPr>
        </w:r>
        <w:r>
          <w:rPr>
            <w:noProof/>
            <w:webHidden/>
          </w:rPr>
          <w:fldChar w:fldCharType="separate"/>
        </w:r>
        <w:r>
          <w:rPr>
            <w:noProof/>
            <w:webHidden/>
          </w:rPr>
          <w:t>5</w:t>
        </w:r>
        <w:r>
          <w:rPr>
            <w:noProof/>
            <w:webHidden/>
          </w:rPr>
          <w:fldChar w:fldCharType="end"/>
        </w:r>
      </w:hyperlink>
    </w:p>
    <w:p w14:paraId="3198C7DA" w14:textId="63BD38D0" w:rsidR="00E34AAF" w:rsidRDefault="00E34AAF">
      <w:pPr>
        <w:pStyle w:val="TM2"/>
        <w:rPr>
          <w:rFonts w:asciiTheme="minorHAnsi" w:eastAsiaTheme="minorEastAsia" w:hAnsiTheme="minorHAnsi" w:cstheme="minorBidi"/>
          <w:bCs w:val="0"/>
          <w:noProof/>
          <w:color w:val="auto"/>
          <w:sz w:val="22"/>
        </w:rPr>
      </w:pPr>
      <w:hyperlink w:anchor="_Toc201743748" w:history="1">
        <w:r w:rsidRPr="005B6612">
          <w:rPr>
            <w:rStyle w:val="Lienhypertexte"/>
            <w:rFonts w:cs="Times New Roman"/>
            <w:noProof/>
          </w:rPr>
          <w:t>6.2</w:t>
        </w:r>
        <w:r w:rsidRPr="005B6612">
          <w:rPr>
            <w:rStyle w:val="Lienhypertexte"/>
            <w:noProof/>
          </w:rPr>
          <w:t xml:space="preserve"> Dates principales de la procédure – date de réception des réponses</w:t>
        </w:r>
        <w:r>
          <w:rPr>
            <w:noProof/>
            <w:webHidden/>
          </w:rPr>
          <w:tab/>
        </w:r>
        <w:r>
          <w:rPr>
            <w:noProof/>
            <w:webHidden/>
          </w:rPr>
          <w:fldChar w:fldCharType="begin"/>
        </w:r>
        <w:r>
          <w:rPr>
            <w:noProof/>
            <w:webHidden/>
          </w:rPr>
          <w:instrText xml:space="preserve"> PAGEREF _Toc201743748 \h </w:instrText>
        </w:r>
        <w:r>
          <w:rPr>
            <w:noProof/>
            <w:webHidden/>
          </w:rPr>
        </w:r>
        <w:r>
          <w:rPr>
            <w:noProof/>
            <w:webHidden/>
          </w:rPr>
          <w:fldChar w:fldCharType="separate"/>
        </w:r>
        <w:r>
          <w:rPr>
            <w:noProof/>
            <w:webHidden/>
          </w:rPr>
          <w:t>6</w:t>
        </w:r>
        <w:r>
          <w:rPr>
            <w:noProof/>
            <w:webHidden/>
          </w:rPr>
          <w:fldChar w:fldCharType="end"/>
        </w:r>
      </w:hyperlink>
    </w:p>
    <w:p w14:paraId="4D37C4F2" w14:textId="4F484FE4" w:rsidR="00E34AAF" w:rsidRDefault="00E34AAF">
      <w:pPr>
        <w:pStyle w:val="TM2"/>
        <w:rPr>
          <w:rFonts w:asciiTheme="minorHAnsi" w:eastAsiaTheme="minorEastAsia" w:hAnsiTheme="minorHAnsi" w:cstheme="minorBidi"/>
          <w:bCs w:val="0"/>
          <w:noProof/>
          <w:color w:val="auto"/>
          <w:sz w:val="22"/>
        </w:rPr>
      </w:pPr>
      <w:hyperlink w:anchor="_Toc201743749" w:history="1">
        <w:r w:rsidRPr="005B6612">
          <w:rPr>
            <w:rStyle w:val="Lienhypertexte"/>
            <w:rFonts w:cs="Times New Roman"/>
            <w:noProof/>
          </w:rPr>
          <w:t>6.3</w:t>
        </w:r>
        <w:r w:rsidRPr="005B6612">
          <w:rPr>
            <w:rStyle w:val="Lienhypertexte"/>
            <w:noProof/>
          </w:rPr>
          <w:t xml:space="preserve"> Visite</w:t>
        </w:r>
        <w:r>
          <w:rPr>
            <w:noProof/>
            <w:webHidden/>
          </w:rPr>
          <w:tab/>
        </w:r>
        <w:r>
          <w:rPr>
            <w:noProof/>
            <w:webHidden/>
          </w:rPr>
          <w:fldChar w:fldCharType="begin"/>
        </w:r>
        <w:r>
          <w:rPr>
            <w:noProof/>
            <w:webHidden/>
          </w:rPr>
          <w:instrText xml:space="preserve"> PAGEREF _Toc201743749 \h </w:instrText>
        </w:r>
        <w:r>
          <w:rPr>
            <w:noProof/>
            <w:webHidden/>
          </w:rPr>
        </w:r>
        <w:r>
          <w:rPr>
            <w:noProof/>
            <w:webHidden/>
          </w:rPr>
          <w:fldChar w:fldCharType="separate"/>
        </w:r>
        <w:r>
          <w:rPr>
            <w:noProof/>
            <w:webHidden/>
          </w:rPr>
          <w:t>6</w:t>
        </w:r>
        <w:r>
          <w:rPr>
            <w:noProof/>
            <w:webHidden/>
          </w:rPr>
          <w:fldChar w:fldCharType="end"/>
        </w:r>
      </w:hyperlink>
    </w:p>
    <w:p w14:paraId="6F8B4E14" w14:textId="5BADCDBD" w:rsidR="00E34AAF" w:rsidRDefault="00E34AAF">
      <w:pPr>
        <w:pStyle w:val="TM2"/>
        <w:rPr>
          <w:rFonts w:asciiTheme="minorHAnsi" w:eastAsiaTheme="minorEastAsia" w:hAnsiTheme="minorHAnsi" w:cstheme="minorBidi"/>
          <w:bCs w:val="0"/>
          <w:noProof/>
          <w:color w:val="auto"/>
          <w:sz w:val="22"/>
        </w:rPr>
      </w:pPr>
      <w:hyperlink w:anchor="_Toc201743750" w:history="1">
        <w:r w:rsidRPr="005B6612">
          <w:rPr>
            <w:rStyle w:val="Lienhypertexte"/>
            <w:rFonts w:cs="Times New Roman"/>
            <w:noProof/>
          </w:rPr>
          <w:t>6.4</w:t>
        </w:r>
        <w:r w:rsidRPr="005B6612">
          <w:rPr>
            <w:rStyle w:val="Lienhypertexte"/>
            <w:noProof/>
          </w:rPr>
          <w:t xml:space="preserve"> Option</w:t>
        </w:r>
        <w:r>
          <w:rPr>
            <w:noProof/>
            <w:webHidden/>
          </w:rPr>
          <w:tab/>
        </w:r>
        <w:r>
          <w:rPr>
            <w:noProof/>
            <w:webHidden/>
          </w:rPr>
          <w:fldChar w:fldCharType="begin"/>
        </w:r>
        <w:r>
          <w:rPr>
            <w:noProof/>
            <w:webHidden/>
          </w:rPr>
          <w:instrText xml:space="preserve"> PAGEREF _Toc201743750 \h </w:instrText>
        </w:r>
        <w:r>
          <w:rPr>
            <w:noProof/>
            <w:webHidden/>
          </w:rPr>
        </w:r>
        <w:r>
          <w:rPr>
            <w:noProof/>
            <w:webHidden/>
          </w:rPr>
          <w:fldChar w:fldCharType="separate"/>
        </w:r>
        <w:r>
          <w:rPr>
            <w:noProof/>
            <w:webHidden/>
          </w:rPr>
          <w:t>6</w:t>
        </w:r>
        <w:r>
          <w:rPr>
            <w:noProof/>
            <w:webHidden/>
          </w:rPr>
          <w:fldChar w:fldCharType="end"/>
        </w:r>
      </w:hyperlink>
      <w:bookmarkStart w:id="0" w:name="_GoBack"/>
      <w:bookmarkEnd w:id="0"/>
    </w:p>
    <w:p w14:paraId="4E3F511F" w14:textId="50D465D8" w:rsidR="00E34AAF" w:rsidRDefault="00E34AAF">
      <w:pPr>
        <w:pStyle w:val="TM2"/>
        <w:rPr>
          <w:rFonts w:asciiTheme="minorHAnsi" w:eastAsiaTheme="minorEastAsia" w:hAnsiTheme="minorHAnsi" w:cstheme="minorBidi"/>
          <w:bCs w:val="0"/>
          <w:noProof/>
          <w:color w:val="auto"/>
          <w:sz w:val="22"/>
        </w:rPr>
      </w:pPr>
      <w:hyperlink w:anchor="_Toc201743751" w:history="1">
        <w:r w:rsidRPr="005B6612">
          <w:rPr>
            <w:rStyle w:val="Lienhypertexte"/>
            <w:rFonts w:cs="Times New Roman"/>
            <w:noProof/>
          </w:rPr>
          <w:t>6.5</w:t>
        </w:r>
        <w:r w:rsidRPr="005B6612">
          <w:rPr>
            <w:rStyle w:val="Lienhypertexte"/>
            <w:noProof/>
          </w:rPr>
          <w:t xml:space="preserve"> Modes et formes de remise des offres</w:t>
        </w:r>
        <w:r>
          <w:rPr>
            <w:noProof/>
            <w:webHidden/>
          </w:rPr>
          <w:tab/>
        </w:r>
        <w:r>
          <w:rPr>
            <w:noProof/>
            <w:webHidden/>
          </w:rPr>
          <w:fldChar w:fldCharType="begin"/>
        </w:r>
        <w:r>
          <w:rPr>
            <w:noProof/>
            <w:webHidden/>
          </w:rPr>
          <w:instrText xml:space="preserve"> PAGEREF _Toc201743751 \h </w:instrText>
        </w:r>
        <w:r>
          <w:rPr>
            <w:noProof/>
            <w:webHidden/>
          </w:rPr>
        </w:r>
        <w:r>
          <w:rPr>
            <w:noProof/>
            <w:webHidden/>
          </w:rPr>
          <w:fldChar w:fldCharType="separate"/>
        </w:r>
        <w:r>
          <w:rPr>
            <w:noProof/>
            <w:webHidden/>
          </w:rPr>
          <w:t>6</w:t>
        </w:r>
        <w:r>
          <w:rPr>
            <w:noProof/>
            <w:webHidden/>
          </w:rPr>
          <w:fldChar w:fldCharType="end"/>
        </w:r>
      </w:hyperlink>
    </w:p>
    <w:p w14:paraId="6E17F5D7" w14:textId="28A0D6B1" w:rsidR="00E34AAF" w:rsidRDefault="00E34AAF">
      <w:pPr>
        <w:pStyle w:val="TM2"/>
        <w:rPr>
          <w:rFonts w:asciiTheme="minorHAnsi" w:eastAsiaTheme="minorEastAsia" w:hAnsiTheme="minorHAnsi" w:cstheme="minorBidi"/>
          <w:bCs w:val="0"/>
          <w:noProof/>
          <w:color w:val="auto"/>
          <w:sz w:val="22"/>
        </w:rPr>
      </w:pPr>
      <w:hyperlink w:anchor="_Toc201743752" w:history="1">
        <w:r w:rsidRPr="005B6612">
          <w:rPr>
            <w:rStyle w:val="Lienhypertexte"/>
            <w:rFonts w:cs="Times New Roman"/>
            <w:noProof/>
          </w:rPr>
          <w:t>6.6</w:t>
        </w:r>
        <w:r w:rsidRPr="005B6612">
          <w:rPr>
            <w:rStyle w:val="Lienhypertexte"/>
            <w:noProof/>
          </w:rPr>
          <w:t xml:space="preserve"> Délai de validité des offres</w:t>
        </w:r>
        <w:r>
          <w:rPr>
            <w:noProof/>
            <w:webHidden/>
          </w:rPr>
          <w:tab/>
        </w:r>
        <w:r>
          <w:rPr>
            <w:noProof/>
            <w:webHidden/>
          </w:rPr>
          <w:fldChar w:fldCharType="begin"/>
        </w:r>
        <w:r>
          <w:rPr>
            <w:noProof/>
            <w:webHidden/>
          </w:rPr>
          <w:instrText xml:space="preserve"> PAGEREF _Toc201743752 \h </w:instrText>
        </w:r>
        <w:r>
          <w:rPr>
            <w:noProof/>
            <w:webHidden/>
          </w:rPr>
        </w:r>
        <w:r>
          <w:rPr>
            <w:noProof/>
            <w:webHidden/>
          </w:rPr>
          <w:fldChar w:fldCharType="separate"/>
        </w:r>
        <w:r>
          <w:rPr>
            <w:noProof/>
            <w:webHidden/>
          </w:rPr>
          <w:t>7</w:t>
        </w:r>
        <w:r>
          <w:rPr>
            <w:noProof/>
            <w:webHidden/>
          </w:rPr>
          <w:fldChar w:fldCharType="end"/>
        </w:r>
      </w:hyperlink>
    </w:p>
    <w:p w14:paraId="283F224E" w14:textId="64969DEF" w:rsidR="00E34AAF" w:rsidRDefault="00E34AAF">
      <w:pPr>
        <w:pStyle w:val="TM2"/>
        <w:rPr>
          <w:rFonts w:asciiTheme="minorHAnsi" w:eastAsiaTheme="minorEastAsia" w:hAnsiTheme="minorHAnsi" w:cstheme="minorBidi"/>
          <w:bCs w:val="0"/>
          <w:noProof/>
          <w:color w:val="auto"/>
          <w:sz w:val="22"/>
        </w:rPr>
      </w:pPr>
      <w:hyperlink w:anchor="_Toc201743753" w:history="1">
        <w:r w:rsidRPr="005B6612">
          <w:rPr>
            <w:rStyle w:val="Lienhypertexte"/>
            <w:rFonts w:cs="Times New Roman"/>
            <w:noProof/>
          </w:rPr>
          <w:t>6.7</w:t>
        </w:r>
        <w:r w:rsidRPr="005B6612">
          <w:rPr>
            <w:rStyle w:val="Lienhypertexte"/>
            <w:noProof/>
          </w:rPr>
          <w:t xml:space="preserve"> Documents à produire</w:t>
        </w:r>
        <w:r>
          <w:rPr>
            <w:noProof/>
            <w:webHidden/>
          </w:rPr>
          <w:tab/>
        </w:r>
        <w:r>
          <w:rPr>
            <w:noProof/>
            <w:webHidden/>
          </w:rPr>
          <w:fldChar w:fldCharType="begin"/>
        </w:r>
        <w:r>
          <w:rPr>
            <w:noProof/>
            <w:webHidden/>
          </w:rPr>
          <w:instrText xml:space="preserve"> PAGEREF _Toc201743753 \h </w:instrText>
        </w:r>
        <w:r>
          <w:rPr>
            <w:noProof/>
            <w:webHidden/>
          </w:rPr>
        </w:r>
        <w:r>
          <w:rPr>
            <w:noProof/>
            <w:webHidden/>
          </w:rPr>
          <w:fldChar w:fldCharType="separate"/>
        </w:r>
        <w:r>
          <w:rPr>
            <w:noProof/>
            <w:webHidden/>
          </w:rPr>
          <w:t>7</w:t>
        </w:r>
        <w:r>
          <w:rPr>
            <w:noProof/>
            <w:webHidden/>
          </w:rPr>
          <w:fldChar w:fldCharType="end"/>
        </w:r>
      </w:hyperlink>
    </w:p>
    <w:p w14:paraId="1913E514" w14:textId="366A31FB" w:rsidR="00E34AAF" w:rsidRDefault="00E34AAF">
      <w:pPr>
        <w:pStyle w:val="TM1"/>
        <w:rPr>
          <w:rFonts w:asciiTheme="minorHAnsi" w:eastAsiaTheme="minorEastAsia" w:hAnsiTheme="minorHAnsi" w:cstheme="minorBidi"/>
          <w:b w:val="0"/>
          <w:bCs w:val="0"/>
          <w:iCs w:val="0"/>
          <w:noProof/>
          <w:sz w:val="22"/>
          <w:szCs w:val="22"/>
        </w:rPr>
      </w:pPr>
      <w:hyperlink w:anchor="_Toc201743754" w:history="1">
        <w:r w:rsidRPr="005B6612">
          <w:rPr>
            <w:rStyle w:val="Lienhypertexte"/>
            <w:rFonts w:cs="Times New Roman"/>
            <w:noProof/>
          </w:rPr>
          <w:t>Article 7</w:t>
        </w:r>
        <w:r w:rsidRPr="005B6612">
          <w:rPr>
            <w:rStyle w:val="Lienhypertexte"/>
            <w:noProof/>
          </w:rPr>
          <w:t xml:space="preserve"> Conditions de jugement des offres</w:t>
        </w:r>
        <w:r>
          <w:rPr>
            <w:noProof/>
            <w:webHidden/>
          </w:rPr>
          <w:tab/>
        </w:r>
        <w:r>
          <w:rPr>
            <w:noProof/>
            <w:webHidden/>
          </w:rPr>
          <w:fldChar w:fldCharType="begin"/>
        </w:r>
        <w:r>
          <w:rPr>
            <w:noProof/>
            <w:webHidden/>
          </w:rPr>
          <w:instrText xml:space="preserve"> PAGEREF _Toc201743754 \h </w:instrText>
        </w:r>
        <w:r>
          <w:rPr>
            <w:noProof/>
            <w:webHidden/>
          </w:rPr>
        </w:r>
        <w:r>
          <w:rPr>
            <w:noProof/>
            <w:webHidden/>
          </w:rPr>
          <w:fldChar w:fldCharType="separate"/>
        </w:r>
        <w:r>
          <w:rPr>
            <w:noProof/>
            <w:webHidden/>
          </w:rPr>
          <w:t>8</w:t>
        </w:r>
        <w:r>
          <w:rPr>
            <w:noProof/>
            <w:webHidden/>
          </w:rPr>
          <w:fldChar w:fldCharType="end"/>
        </w:r>
      </w:hyperlink>
    </w:p>
    <w:p w14:paraId="2B47E278" w14:textId="7A0DCFED" w:rsidR="00E34AAF" w:rsidRDefault="00E34AAF">
      <w:pPr>
        <w:pStyle w:val="TM2"/>
        <w:rPr>
          <w:rFonts w:asciiTheme="minorHAnsi" w:eastAsiaTheme="minorEastAsia" w:hAnsiTheme="minorHAnsi" w:cstheme="minorBidi"/>
          <w:bCs w:val="0"/>
          <w:noProof/>
          <w:color w:val="auto"/>
          <w:sz w:val="22"/>
        </w:rPr>
      </w:pPr>
      <w:hyperlink w:anchor="_Toc201743755" w:history="1">
        <w:r w:rsidRPr="005B6612">
          <w:rPr>
            <w:rStyle w:val="Lienhypertexte"/>
            <w:rFonts w:cs="Times New Roman"/>
            <w:noProof/>
          </w:rPr>
          <w:t>7.1</w:t>
        </w:r>
        <w:r w:rsidRPr="005B6612">
          <w:rPr>
            <w:rStyle w:val="Lienhypertexte"/>
            <w:noProof/>
          </w:rPr>
          <w:t xml:space="preserve"> Analyse de la conformité des offres</w:t>
        </w:r>
        <w:r>
          <w:rPr>
            <w:noProof/>
            <w:webHidden/>
          </w:rPr>
          <w:tab/>
        </w:r>
        <w:r>
          <w:rPr>
            <w:noProof/>
            <w:webHidden/>
          </w:rPr>
          <w:fldChar w:fldCharType="begin"/>
        </w:r>
        <w:r>
          <w:rPr>
            <w:noProof/>
            <w:webHidden/>
          </w:rPr>
          <w:instrText xml:space="preserve"> PAGEREF _Toc201743755 \h </w:instrText>
        </w:r>
        <w:r>
          <w:rPr>
            <w:noProof/>
            <w:webHidden/>
          </w:rPr>
        </w:r>
        <w:r>
          <w:rPr>
            <w:noProof/>
            <w:webHidden/>
          </w:rPr>
          <w:fldChar w:fldCharType="separate"/>
        </w:r>
        <w:r>
          <w:rPr>
            <w:noProof/>
            <w:webHidden/>
          </w:rPr>
          <w:t>8</w:t>
        </w:r>
        <w:r>
          <w:rPr>
            <w:noProof/>
            <w:webHidden/>
          </w:rPr>
          <w:fldChar w:fldCharType="end"/>
        </w:r>
      </w:hyperlink>
    </w:p>
    <w:p w14:paraId="7FC7E3E4" w14:textId="3B2A8337" w:rsidR="00E34AAF" w:rsidRDefault="00E34AAF">
      <w:pPr>
        <w:pStyle w:val="TM2"/>
        <w:rPr>
          <w:rFonts w:asciiTheme="minorHAnsi" w:eastAsiaTheme="minorEastAsia" w:hAnsiTheme="minorHAnsi" w:cstheme="minorBidi"/>
          <w:bCs w:val="0"/>
          <w:noProof/>
          <w:color w:val="auto"/>
          <w:sz w:val="22"/>
        </w:rPr>
      </w:pPr>
      <w:hyperlink w:anchor="_Toc201743756" w:history="1">
        <w:r w:rsidRPr="005B6612">
          <w:rPr>
            <w:rStyle w:val="Lienhypertexte"/>
            <w:rFonts w:cs="Times New Roman"/>
            <w:noProof/>
          </w:rPr>
          <w:t>7.2</w:t>
        </w:r>
        <w:r w:rsidRPr="005B6612">
          <w:rPr>
            <w:rStyle w:val="Lienhypertexte"/>
            <w:noProof/>
          </w:rPr>
          <w:t xml:space="preserve"> Disposition pour la vérification des offres</w:t>
        </w:r>
        <w:r>
          <w:rPr>
            <w:noProof/>
            <w:webHidden/>
          </w:rPr>
          <w:tab/>
        </w:r>
        <w:r>
          <w:rPr>
            <w:noProof/>
            <w:webHidden/>
          </w:rPr>
          <w:fldChar w:fldCharType="begin"/>
        </w:r>
        <w:r>
          <w:rPr>
            <w:noProof/>
            <w:webHidden/>
          </w:rPr>
          <w:instrText xml:space="preserve"> PAGEREF _Toc201743756 \h </w:instrText>
        </w:r>
        <w:r>
          <w:rPr>
            <w:noProof/>
            <w:webHidden/>
          </w:rPr>
        </w:r>
        <w:r>
          <w:rPr>
            <w:noProof/>
            <w:webHidden/>
          </w:rPr>
          <w:fldChar w:fldCharType="separate"/>
        </w:r>
        <w:r>
          <w:rPr>
            <w:noProof/>
            <w:webHidden/>
          </w:rPr>
          <w:t>8</w:t>
        </w:r>
        <w:r>
          <w:rPr>
            <w:noProof/>
            <w:webHidden/>
          </w:rPr>
          <w:fldChar w:fldCharType="end"/>
        </w:r>
      </w:hyperlink>
    </w:p>
    <w:p w14:paraId="327E9AEA" w14:textId="29594856" w:rsidR="00E34AAF" w:rsidRDefault="00E34AAF">
      <w:pPr>
        <w:pStyle w:val="TM2"/>
        <w:rPr>
          <w:rFonts w:asciiTheme="minorHAnsi" w:eastAsiaTheme="minorEastAsia" w:hAnsiTheme="minorHAnsi" w:cstheme="minorBidi"/>
          <w:bCs w:val="0"/>
          <w:noProof/>
          <w:color w:val="auto"/>
          <w:sz w:val="22"/>
        </w:rPr>
      </w:pPr>
      <w:hyperlink w:anchor="_Toc201743757" w:history="1">
        <w:r w:rsidRPr="005B6612">
          <w:rPr>
            <w:rStyle w:val="Lienhypertexte"/>
            <w:rFonts w:cs="Times New Roman"/>
            <w:noProof/>
          </w:rPr>
          <w:t>7.3</w:t>
        </w:r>
        <w:r w:rsidRPr="005B6612">
          <w:rPr>
            <w:rStyle w:val="Lienhypertexte"/>
            <w:noProof/>
          </w:rPr>
          <w:t xml:space="preserve"> Choix de l’offre attributaire – critères d’évaluation des offres</w:t>
        </w:r>
        <w:r>
          <w:rPr>
            <w:noProof/>
            <w:webHidden/>
          </w:rPr>
          <w:tab/>
        </w:r>
        <w:r>
          <w:rPr>
            <w:noProof/>
            <w:webHidden/>
          </w:rPr>
          <w:fldChar w:fldCharType="begin"/>
        </w:r>
        <w:r>
          <w:rPr>
            <w:noProof/>
            <w:webHidden/>
          </w:rPr>
          <w:instrText xml:space="preserve"> PAGEREF _Toc201743757 \h </w:instrText>
        </w:r>
        <w:r>
          <w:rPr>
            <w:noProof/>
            <w:webHidden/>
          </w:rPr>
        </w:r>
        <w:r>
          <w:rPr>
            <w:noProof/>
            <w:webHidden/>
          </w:rPr>
          <w:fldChar w:fldCharType="separate"/>
        </w:r>
        <w:r>
          <w:rPr>
            <w:noProof/>
            <w:webHidden/>
          </w:rPr>
          <w:t>9</w:t>
        </w:r>
        <w:r>
          <w:rPr>
            <w:noProof/>
            <w:webHidden/>
          </w:rPr>
          <w:fldChar w:fldCharType="end"/>
        </w:r>
      </w:hyperlink>
    </w:p>
    <w:p w14:paraId="3E09CADD" w14:textId="4CD67519" w:rsidR="00E34AAF" w:rsidRDefault="00E34AAF">
      <w:pPr>
        <w:pStyle w:val="TM1"/>
        <w:rPr>
          <w:rFonts w:asciiTheme="minorHAnsi" w:eastAsiaTheme="minorEastAsia" w:hAnsiTheme="minorHAnsi" w:cstheme="minorBidi"/>
          <w:b w:val="0"/>
          <w:bCs w:val="0"/>
          <w:iCs w:val="0"/>
          <w:noProof/>
          <w:sz w:val="22"/>
          <w:szCs w:val="22"/>
        </w:rPr>
      </w:pPr>
      <w:hyperlink w:anchor="_Toc201743758" w:history="1">
        <w:r w:rsidRPr="005B6612">
          <w:rPr>
            <w:rStyle w:val="Lienhypertexte"/>
            <w:rFonts w:cs="Times New Roman"/>
            <w:noProof/>
          </w:rPr>
          <w:t>Article 8</w:t>
        </w:r>
        <w:r w:rsidRPr="005B6612">
          <w:rPr>
            <w:rStyle w:val="Lienhypertexte"/>
            <w:noProof/>
          </w:rPr>
          <w:t xml:space="preserve"> Négociation</w:t>
        </w:r>
        <w:r>
          <w:rPr>
            <w:noProof/>
            <w:webHidden/>
          </w:rPr>
          <w:tab/>
        </w:r>
        <w:r>
          <w:rPr>
            <w:noProof/>
            <w:webHidden/>
          </w:rPr>
          <w:fldChar w:fldCharType="begin"/>
        </w:r>
        <w:r>
          <w:rPr>
            <w:noProof/>
            <w:webHidden/>
          </w:rPr>
          <w:instrText xml:space="preserve"> PAGEREF _Toc201743758 \h </w:instrText>
        </w:r>
        <w:r>
          <w:rPr>
            <w:noProof/>
            <w:webHidden/>
          </w:rPr>
        </w:r>
        <w:r>
          <w:rPr>
            <w:noProof/>
            <w:webHidden/>
          </w:rPr>
          <w:fldChar w:fldCharType="separate"/>
        </w:r>
        <w:r>
          <w:rPr>
            <w:noProof/>
            <w:webHidden/>
          </w:rPr>
          <w:t>10</w:t>
        </w:r>
        <w:r>
          <w:rPr>
            <w:noProof/>
            <w:webHidden/>
          </w:rPr>
          <w:fldChar w:fldCharType="end"/>
        </w:r>
      </w:hyperlink>
    </w:p>
    <w:p w14:paraId="18B8618B" w14:textId="18BD552E" w:rsidR="00E34AAF" w:rsidRDefault="00E34AAF">
      <w:pPr>
        <w:pStyle w:val="TM1"/>
        <w:rPr>
          <w:rFonts w:asciiTheme="minorHAnsi" w:eastAsiaTheme="minorEastAsia" w:hAnsiTheme="minorHAnsi" w:cstheme="minorBidi"/>
          <w:b w:val="0"/>
          <w:bCs w:val="0"/>
          <w:iCs w:val="0"/>
          <w:noProof/>
          <w:sz w:val="22"/>
          <w:szCs w:val="22"/>
        </w:rPr>
      </w:pPr>
      <w:hyperlink w:anchor="_Toc201743759" w:history="1">
        <w:r w:rsidRPr="005B6612">
          <w:rPr>
            <w:rStyle w:val="Lienhypertexte"/>
            <w:rFonts w:cs="Times New Roman"/>
            <w:noProof/>
          </w:rPr>
          <w:t>Article 9</w:t>
        </w:r>
        <w:r w:rsidRPr="005B6612">
          <w:rPr>
            <w:rStyle w:val="Lienhypertexte"/>
            <w:noProof/>
          </w:rPr>
          <w:t xml:space="preserve"> Autorisation d’occupation des bâtiments</w:t>
        </w:r>
        <w:r>
          <w:rPr>
            <w:noProof/>
            <w:webHidden/>
          </w:rPr>
          <w:tab/>
        </w:r>
        <w:r>
          <w:rPr>
            <w:noProof/>
            <w:webHidden/>
          </w:rPr>
          <w:fldChar w:fldCharType="begin"/>
        </w:r>
        <w:r>
          <w:rPr>
            <w:noProof/>
            <w:webHidden/>
          </w:rPr>
          <w:instrText xml:space="preserve"> PAGEREF _Toc201743759 \h </w:instrText>
        </w:r>
        <w:r>
          <w:rPr>
            <w:noProof/>
            <w:webHidden/>
          </w:rPr>
        </w:r>
        <w:r>
          <w:rPr>
            <w:noProof/>
            <w:webHidden/>
          </w:rPr>
          <w:fldChar w:fldCharType="separate"/>
        </w:r>
        <w:r>
          <w:rPr>
            <w:noProof/>
            <w:webHidden/>
          </w:rPr>
          <w:t>10</w:t>
        </w:r>
        <w:r>
          <w:rPr>
            <w:noProof/>
            <w:webHidden/>
          </w:rPr>
          <w:fldChar w:fldCharType="end"/>
        </w:r>
      </w:hyperlink>
    </w:p>
    <w:p w14:paraId="7482E27E" w14:textId="1A99AF92" w:rsidR="00E34AAF" w:rsidRDefault="00E34AAF">
      <w:pPr>
        <w:pStyle w:val="TM2"/>
        <w:rPr>
          <w:rFonts w:asciiTheme="minorHAnsi" w:eastAsiaTheme="minorEastAsia" w:hAnsiTheme="minorHAnsi" w:cstheme="minorBidi"/>
          <w:bCs w:val="0"/>
          <w:noProof/>
          <w:color w:val="auto"/>
          <w:sz w:val="22"/>
        </w:rPr>
      </w:pPr>
      <w:hyperlink w:anchor="_Toc201743760" w:history="1">
        <w:r w:rsidRPr="005B6612">
          <w:rPr>
            <w:rStyle w:val="Lienhypertexte"/>
            <w:rFonts w:cs="Times New Roman"/>
            <w:noProof/>
          </w:rPr>
          <w:t>9.1</w:t>
        </w:r>
        <w:r w:rsidRPr="005B6612">
          <w:rPr>
            <w:rStyle w:val="Lienhypertexte"/>
            <w:noProof/>
          </w:rPr>
          <w:t xml:space="preserve"> Objet de l’autorisation</w:t>
        </w:r>
        <w:r>
          <w:rPr>
            <w:noProof/>
            <w:webHidden/>
          </w:rPr>
          <w:tab/>
        </w:r>
        <w:r>
          <w:rPr>
            <w:noProof/>
            <w:webHidden/>
          </w:rPr>
          <w:fldChar w:fldCharType="begin"/>
        </w:r>
        <w:r>
          <w:rPr>
            <w:noProof/>
            <w:webHidden/>
          </w:rPr>
          <w:instrText xml:space="preserve"> PAGEREF _Toc201743760 \h </w:instrText>
        </w:r>
        <w:r>
          <w:rPr>
            <w:noProof/>
            <w:webHidden/>
          </w:rPr>
        </w:r>
        <w:r>
          <w:rPr>
            <w:noProof/>
            <w:webHidden/>
          </w:rPr>
          <w:fldChar w:fldCharType="separate"/>
        </w:r>
        <w:r>
          <w:rPr>
            <w:noProof/>
            <w:webHidden/>
          </w:rPr>
          <w:t>10</w:t>
        </w:r>
        <w:r>
          <w:rPr>
            <w:noProof/>
            <w:webHidden/>
          </w:rPr>
          <w:fldChar w:fldCharType="end"/>
        </w:r>
      </w:hyperlink>
    </w:p>
    <w:p w14:paraId="5C37E32C" w14:textId="6EE2388B" w:rsidR="00E34AAF" w:rsidRDefault="00E34AAF">
      <w:pPr>
        <w:pStyle w:val="TM2"/>
        <w:rPr>
          <w:rFonts w:asciiTheme="minorHAnsi" w:eastAsiaTheme="minorEastAsia" w:hAnsiTheme="minorHAnsi" w:cstheme="minorBidi"/>
          <w:bCs w:val="0"/>
          <w:noProof/>
          <w:color w:val="auto"/>
          <w:sz w:val="22"/>
        </w:rPr>
      </w:pPr>
      <w:hyperlink w:anchor="_Toc201743761" w:history="1">
        <w:r w:rsidRPr="005B6612">
          <w:rPr>
            <w:rStyle w:val="Lienhypertexte"/>
            <w:rFonts w:cs="Times New Roman"/>
            <w:noProof/>
          </w:rPr>
          <w:t>9.2</w:t>
        </w:r>
        <w:r w:rsidRPr="005B6612">
          <w:rPr>
            <w:rStyle w:val="Lienhypertexte"/>
            <w:noProof/>
          </w:rPr>
          <w:t xml:space="preserve"> Caractère personnel de l’autorisation</w:t>
        </w:r>
        <w:r>
          <w:rPr>
            <w:noProof/>
            <w:webHidden/>
          </w:rPr>
          <w:tab/>
        </w:r>
        <w:r>
          <w:rPr>
            <w:noProof/>
            <w:webHidden/>
          </w:rPr>
          <w:fldChar w:fldCharType="begin"/>
        </w:r>
        <w:r>
          <w:rPr>
            <w:noProof/>
            <w:webHidden/>
          </w:rPr>
          <w:instrText xml:space="preserve"> PAGEREF _Toc201743761 \h </w:instrText>
        </w:r>
        <w:r>
          <w:rPr>
            <w:noProof/>
            <w:webHidden/>
          </w:rPr>
        </w:r>
        <w:r>
          <w:rPr>
            <w:noProof/>
            <w:webHidden/>
          </w:rPr>
          <w:fldChar w:fldCharType="separate"/>
        </w:r>
        <w:r>
          <w:rPr>
            <w:noProof/>
            <w:webHidden/>
          </w:rPr>
          <w:t>10</w:t>
        </w:r>
        <w:r>
          <w:rPr>
            <w:noProof/>
            <w:webHidden/>
          </w:rPr>
          <w:fldChar w:fldCharType="end"/>
        </w:r>
      </w:hyperlink>
    </w:p>
    <w:p w14:paraId="6713024C" w14:textId="57D511C9" w:rsidR="00E34AAF" w:rsidRDefault="00E34AAF">
      <w:pPr>
        <w:pStyle w:val="TM1"/>
        <w:rPr>
          <w:rFonts w:asciiTheme="minorHAnsi" w:eastAsiaTheme="minorEastAsia" w:hAnsiTheme="minorHAnsi" w:cstheme="minorBidi"/>
          <w:b w:val="0"/>
          <w:bCs w:val="0"/>
          <w:iCs w:val="0"/>
          <w:noProof/>
          <w:sz w:val="22"/>
          <w:szCs w:val="22"/>
        </w:rPr>
      </w:pPr>
      <w:hyperlink w:anchor="_Toc201743762" w:history="1">
        <w:r w:rsidRPr="005B6612">
          <w:rPr>
            <w:rStyle w:val="Lienhypertexte"/>
            <w:rFonts w:cs="Times New Roman"/>
            <w:noProof/>
          </w:rPr>
          <w:t>Article 10</w:t>
        </w:r>
        <w:r w:rsidRPr="005B6612">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_Toc201743762 \h </w:instrText>
        </w:r>
        <w:r>
          <w:rPr>
            <w:noProof/>
            <w:webHidden/>
          </w:rPr>
        </w:r>
        <w:r>
          <w:rPr>
            <w:noProof/>
            <w:webHidden/>
          </w:rPr>
          <w:fldChar w:fldCharType="separate"/>
        </w:r>
        <w:r>
          <w:rPr>
            <w:noProof/>
            <w:webHidden/>
          </w:rPr>
          <w:t>10</w:t>
        </w:r>
        <w:r>
          <w:rPr>
            <w:noProof/>
            <w:webHidden/>
          </w:rPr>
          <w:fldChar w:fldCharType="end"/>
        </w:r>
      </w:hyperlink>
    </w:p>
    <w:p w14:paraId="5F4C0C5A" w14:textId="7AB81645" w:rsidR="00E34AAF" w:rsidRDefault="00E34AAF">
      <w:pPr>
        <w:pStyle w:val="TM2"/>
        <w:rPr>
          <w:rFonts w:asciiTheme="minorHAnsi" w:eastAsiaTheme="minorEastAsia" w:hAnsiTheme="minorHAnsi" w:cstheme="minorBidi"/>
          <w:bCs w:val="0"/>
          <w:noProof/>
          <w:color w:val="auto"/>
          <w:sz w:val="22"/>
        </w:rPr>
      </w:pPr>
      <w:hyperlink w:anchor="_Toc201743763" w:history="1">
        <w:r w:rsidRPr="005B6612">
          <w:rPr>
            <w:rStyle w:val="Lienhypertexte"/>
            <w:rFonts w:cs="Times New Roman"/>
            <w:noProof/>
          </w:rPr>
          <w:t>10.1</w:t>
        </w:r>
        <w:r w:rsidRPr="005B6612">
          <w:rPr>
            <w:rStyle w:val="Lienhypertexte"/>
            <w:noProof/>
          </w:rPr>
          <w:t xml:space="preserve"> Représentant(s) du Bénéficiaire</w:t>
        </w:r>
        <w:r>
          <w:rPr>
            <w:noProof/>
            <w:webHidden/>
          </w:rPr>
          <w:tab/>
        </w:r>
        <w:r>
          <w:rPr>
            <w:noProof/>
            <w:webHidden/>
          </w:rPr>
          <w:fldChar w:fldCharType="begin"/>
        </w:r>
        <w:r>
          <w:rPr>
            <w:noProof/>
            <w:webHidden/>
          </w:rPr>
          <w:instrText xml:space="preserve"> PAGEREF _Toc201743763 \h </w:instrText>
        </w:r>
        <w:r>
          <w:rPr>
            <w:noProof/>
            <w:webHidden/>
          </w:rPr>
        </w:r>
        <w:r>
          <w:rPr>
            <w:noProof/>
            <w:webHidden/>
          </w:rPr>
          <w:fldChar w:fldCharType="separate"/>
        </w:r>
        <w:r>
          <w:rPr>
            <w:noProof/>
            <w:webHidden/>
          </w:rPr>
          <w:t>10</w:t>
        </w:r>
        <w:r>
          <w:rPr>
            <w:noProof/>
            <w:webHidden/>
          </w:rPr>
          <w:fldChar w:fldCharType="end"/>
        </w:r>
      </w:hyperlink>
    </w:p>
    <w:p w14:paraId="0382C45F" w14:textId="57E1843D" w:rsidR="00E34AAF" w:rsidRDefault="00E34AAF">
      <w:pPr>
        <w:pStyle w:val="TM2"/>
        <w:rPr>
          <w:rFonts w:asciiTheme="minorHAnsi" w:eastAsiaTheme="minorEastAsia" w:hAnsiTheme="minorHAnsi" w:cstheme="minorBidi"/>
          <w:bCs w:val="0"/>
          <w:noProof/>
          <w:color w:val="auto"/>
          <w:sz w:val="22"/>
        </w:rPr>
      </w:pPr>
      <w:hyperlink w:anchor="_Toc201743764" w:history="1">
        <w:r w:rsidRPr="005B6612">
          <w:rPr>
            <w:rStyle w:val="Lienhypertexte"/>
            <w:rFonts w:cs="Times New Roman"/>
            <w:noProof/>
          </w:rPr>
          <w:t>10.2</w:t>
        </w:r>
        <w:r w:rsidRPr="005B6612">
          <w:rPr>
            <w:rStyle w:val="Lienhypertexte"/>
            <w:noProof/>
          </w:rPr>
          <w:t xml:space="preserve"> Représentants du Mucem</w:t>
        </w:r>
        <w:r>
          <w:rPr>
            <w:noProof/>
            <w:webHidden/>
          </w:rPr>
          <w:tab/>
        </w:r>
        <w:r>
          <w:rPr>
            <w:noProof/>
            <w:webHidden/>
          </w:rPr>
          <w:fldChar w:fldCharType="begin"/>
        </w:r>
        <w:r>
          <w:rPr>
            <w:noProof/>
            <w:webHidden/>
          </w:rPr>
          <w:instrText xml:space="preserve"> PAGEREF _Toc201743764 \h </w:instrText>
        </w:r>
        <w:r>
          <w:rPr>
            <w:noProof/>
            <w:webHidden/>
          </w:rPr>
        </w:r>
        <w:r>
          <w:rPr>
            <w:noProof/>
            <w:webHidden/>
          </w:rPr>
          <w:fldChar w:fldCharType="separate"/>
        </w:r>
        <w:r>
          <w:rPr>
            <w:noProof/>
            <w:webHidden/>
          </w:rPr>
          <w:t>11</w:t>
        </w:r>
        <w:r>
          <w:rPr>
            <w:noProof/>
            <w:webHidden/>
          </w:rPr>
          <w:fldChar w:fldCharType="end"/>
        </w:r>
      </w:hyperlink>
    </w:p>
    <w:p w14:paraId="4AB424A9" w14:textId="1EDDA6F2" w:rsidR="00E34AAF" w:rsidRDefault="00E34AAF">
      <w:pPr>
        <w:pStyle w:val="TM2"/>
        <w:rPr>
          <w:rFonts w:asciiTheme="minorHAnsi" w:eastAsiaTheme="minorEastAsia" w:hAnsiTheme="minorHAnsi" w:cstheme="minorBidi"/>
          <w:bCs w:val="0"/>
          <w:noProof/>
          <w:color w:val="auto"/>
          <w:sz w:val="22"/>
        </w:rPr>
      </w:pPr>
      <w:hyperlink w:anchor="_Toc201743765" w:history="1">
        <w:r w:rsidRPr="005B6612">
          <w:rPr>
            <w:rStyle w:val="Lienhypertexte"/>
            <w:rFonts w:cs="Times New Roman"/>
            <w:noProof/>
          </w:rPr>
          <w:t>10.3</w:t>
        </w:r>
        <w:r w:rsidRPr="005B6612">
          <w:rPr>
            <w:rStyle w:val="Lienhypertexte"/>
            <w:noProof/>
          </w:rPr>
          <w:t xml:space="preserve"> Modalités de communication entre les parties</w:t>
        </w:r>
        <w:r>
          <w:rPr>
            <w:noProof/>
            <w:webHidden/>
          </w:rPr>
          <w:tab/>
        </w:r>
        <w:r>
          <w:rPr>
            <w:noProof/>
            <w:webHidden/>
          </w:rPr>
          <w:fldChar w:fldCharType="begin"/>
        </w:r>
        <w:r>
          <w:rPr>
            <w:noProof/>
            <w:webHidden/>
          </w:rPr>
          <w:instrText xml:space="preserve"> PAGEREF _Toc201743765 \h </w:instrText>
        </w:r>
        <w:r>
          <w:rPr>
            <w:noProof/>
            <w:webHidden/>
          </w:rPr>
        </w:r>
        <w:r>
          <w:rPr>
            <w:noProof/>
            <w:webHidden/>
          </w:rPr>
          <w:fldChar w:fldCharType="separate"/>
        </w:r>
        <w:r>
          <w:rPr>
            <w:noProof/>
            <w:webHidden/>
          </w:rPr>
          <w:t>11</w:t>
        </w:r>
        <w:r>
          <w:rPr>
            <w:noProof/>
            <w:webHidden/>
          </w:rPr>
          <w:fldChar w:fldCharType="end"/>
        </w:r>
      </w:hyperlink>
    </w:p>
    <w:p w14:paraId="7BEF516A" w14:textId="22D3E378" w:rsidR="00E34AAF" w:rsidRDefault="00E34AAF">
      <w:pPr>
        <w:pStyle w:val="TM1"/>
        <w:rPr>
          <w:rFonts w:asciiTheme="minorHAnsi" w:eastAsiaTheme="minorEastAsia" w:hAnsiTheme="minorHAnsi" w:cstheme="minorBidi"/>
          <w:b w:val="0"/>
          <w:bCs w:val="0"/>
          <w:iCs w:val="0"/>
          <w:noProof/>
          <w:sz w:val="22"/>
          <w:szCs w:val="22"/>
        </w:rPr>
      </w:pPr>
      <w:hyperlink w:anchor="_Toc201743766" w:history="1">
        <w:r w:rsidRPr="005B6612">
          <w:rPr>
            <w:rStyle w:val="Lienhypertexte"/>
            <w:rFonts w:cs="Times New Roman"/>
            <w:noProof/>
          </w:rPr>
          <w:t>Article 11</w:t>
        </w:r>
        <w:r w:rsidRPr="005B6612">
          <w:rPr>
            <w:rStyle w:val="Lienhypertexte"/>
            <w:noProof/>
          </w:rPr>
          <w:t xml:space="preserve"> Désignation des espaces</w:t>
        </w:r>
        <w:r>
          <w:rPr>
            <w:noProof/>
            <w:webHidden/>
          </w:rPr>
          <w:tab/>
        </w:r>
        <w:r>
          <w:rPr>
            <w:noProof/>
            <w:webHidden/>
          </w:rPr>
          <w:fldChar w:fldCharType="begin"/>
        </w:r>
        <w:r>
          <w:rPr>
            <w:noProof/>
            <w:webHidden/>
          </w:rPr>
          <w:instrText xml:space="preserve"> PAGEREF _Toc201743766 \h </w:instrText>
        </w:r>
        <w:r>
          <w:rPr>
            <w:noProof/>
            <w:webHidden/>
          </w:rPr>
        </w:r>
        <w:r>
          <w:rPr>
            <w:noProof/>
            <w:webHidden/>
          </w:rPr>
          <w:fldChar w:fldCharType="separate"/>
        </w:r>
        <w:r>
          <w:rPr>
            <w:noProof/>
            <w:webHidden/>
          </w:rPr>
          <w:t>11</w:t>
        </w:r>
        <w:r>
          <w:rPr>
            <w:noProof/>
            <w:webHidden/>
          </w:rPr>
          <w:fldChar w:fldCharType="end"/>
        </w:r>
      </w:hyperlink>
    </w:p>
    <w:p w14:paraId="27135089" w14:textId="21C7DE9D" w:rsidR="00E34AAF" w:rsidRDefault="00E34AAF">
      <w:pPr>
        <w:pStyle w:val="TM2"/>
        <w:rPr>
          <w:rFonts w:asciiTheme="minorHAnsi" w:eastAsiaTheme="minorEastAsia" w:hAnsiTheme="minorHAnsi" w:cstheme="minorBidi"/>
          <w:bCs w:val="0"/>
          <w:noProof/>
          <w:color w:val="auto"/>
          <w:sz w:val="22"/>
        </w:rPr>
      </w:pPr>
      <w:hyperlink w:anchor="_Toc201743767" w:history="1">
        <w:r w:rsidRPr="005B6612">
          <w:rPr>
            <w:rStyle w:val="Lienhypertexte"/>
            <w:rFonts w:cs="Times New Roman"/>
            <w:noProof/>
          </w:rPr>
          <w:t>11.1</w:t>
        </w:r>
        <w:r w:rsidRPr="005B6612">
          <w:rPr>
            <w:rStyle w:val="Lienhypertexte"/>
            <w:noProof/>
          </w:rPr>
          <w:t xml:space="preserve"> Stipulations générales</w:t>
        </w:r>
        <w:r>
          <w:rPr>
            <w:noProof/>
            <w:webHidden/>
          </w:rPr>
          <w:tab/>
        </w:r>
        <w:r>
          <w:rPr>
            <w:noProof/>
            <w:webHidden/>
          </w:rPr>
          <w:fldChar w:fldCharType="begin"/>
        </w:r>
        <w:r>
          <w:rPr>
            <w:noProof/>
            <w:webHidden/>
          </w:rPr>
          <w:instrText xml:space="preserve"> PAGEREF _Toc201743767 \h </w:instrText>
        </w:r>
        <w:r>
          <w:rPr>
            <w:noProof/>
            <w:webHidden/>
          </w:rPr>
        </w:r>
        <w:r>
          <w:rPr>
            <w:noProof/>
            <w:webHidden/>
          </w:rPr>
          <w:fldChar w:fldCharType="separate"/>
        </w:r>
        <w:r>
          <w:rPr>
            <w:noProof/>
            <w:webHidden/>
          </w:rPr>
          <w:t>11</w:t>
        </w:r>
        <w:r>
          <w:rPr>
            <w:noProof/>
            <w:webHidden/>
          </w:rPr>
          <w:fldChar w:fldCharType="end"/>
        </w:r>
      </w:hyperlink>
    </w:p>
    <w:p w14:paraId="2B056985" w14:textId="75E2EEE8" w:rsidR="00E34AAF" w:rsidRDefault="00E34AAF">
      <w:pPr>
        <w:pStyle w:val="TM2"/>
        <w:rPr>
          <w:rFonts w:asciiTheme="minorHAnsi" w:eastAsiaTheme="minorEastAsia" w:hAnsiTheme="minorHAnsi" w:cstheme="minorBidi"/>
          <w:bCs w:val="0"/>
          <w:noProof/>
          <w:color w:val="auto"/>
          <w:sz w:val="22"/>
        </w:rPr>
      </w:pPr>
      <w:hyperlink w:anchor="_Toc201743768" w:history="1">
        <w:r w:rsidRPr="005B6612">
          <w:rPr>
            <w:rStyle w:val="Lienhypertexte"/>
            <w:rFonts w:cs="Times New Roman"/>
            <w:noProof/>
          </w:rPr>
          <w:t>11.2</w:t>
        </w:r>
        <w:r w:rsidRPr="005B6612">
          <w:rPr>
            <w:rStyle w:val="Lienhypertexte"/>
            <w:noProof/>
          </w:rPr>
          <w:t xml:space="preserve"> Localisation des espaces et nombre de distributeurs</w:t>
        </w:r>
        <w:r>
          <w:rPr>
            <w:noProof/>
            <w:webHidden/>
          </w:rPr>
          <w:tab/>
        </w:r>
        <w:r>
          <w:rPr>
            <w:noProof/>
            <w:webHidden/>
          </w:rPr>
          <w:fldChar w:fldCharType="begin"/>
        </w:r>
        <w:r>
          <w:rPr>
            <w:noProof/>
            <w:webHidden/>
          </w:rPr>
          <w:instrText xml:space="preserve"> PAGEREF _Toc201743768 \h </w:instrText>
        </w:r>
        <w:r>
          <w:rPr>
            <w:noProof/>
            <w:webHidden/>
          </w:rPr>
        </w:r>
        <w:r>
          <w:rPr>
            <w:noProof/>
            <w:webHidden/>
          </w:rPr>
          <w:fldChar w:fldCharType="separate"/>
        </w:r>
        <w:r>
          <w:rPr>
            <w:noProof/>
            <w:webHidden/>
          </w:rPr>
          <w:t>12</w:t>
        </w:r>
        <w:r>
          <w:rPr>
            <w:noProof/>
            <w:webHidden/>
          </w:rPr>
          <w:fldChar w:fldCharType="end"/>
        </w:r>
      </w:hyperlink>
    </w:p>
    <w:p w14:paraId="09ADCD51" w14:textId="4B3E95D5" w:rsidR="00E34AAF" w:rsidRDefault="00E34AAF">
      <w:pPr>
        <w:pStyle w:val="TM2"/>
        <w:rPr>
          <w:rFonts w:asciiTheme="minorHAnsi" w:eastAsiaTheme="minorEastAsia" w:hAnsiTheme="minorHAnsi" w:cstheme="minorBidi"/>
          <w:bCs w:val="0"/>
          <w:noProof/>
          <w:color w:val="auto"/>
          <w:sz w:val="22"/>
        </w:rPr>
      </w:pPr>
      <w:hyperlink w:anchor="_Toc201743769" w:history="1">
        <w:r w:rsidRPr="005B6612">
          <w:rPr>
            <w:rStyle w:val="Lienhypertexte"/>
            <w:rFonts w:cs="Times New Roman"/>
            <w:noProof/>
          </w:rPr>
          <w:t>11.3</w:t>
        </w:r>
        <w:r w:rsidRPr="005B6612">
          <w:rPr>
            <w:rStyle w:val="Lienhypertexte"/>
            <w:noProof/>
          </w:rPr>
          <w:t xml:space="preserve"> Contraintes techniques</w:t>
        </w:r>
        <w:r>
          <w:rPr>
            <w:noProof/>
            <w:webHidden/>
          </w:rPr>
          <w:tab/>
        </w:r>
        <w:r>
          <w:rPr>
            <w:noProof/>
            <w:webHidden/>
          </w:rPr>
          <w:fldChar w:fldCharType="begin"/>
        </w:r>
        <w:r>
          <w:rPr>
            <w:noProof/>
            <w:webHidden/>
          </w:rPr>
          <w:instrText xml:space="preserve"> PAGEREF _Toc201743769 \h </w:instrText>
        </w:r>
        <w:r>
          <w:rPr>
            <w:noProof/>
            <w:webHidden/>
          </w:rPr>
        </w:r>
        <w:r>
          <w:rPr>
            <w:noProof/>
            <w:webHidden/>
          </w:rPr>
          <w:fldChar w:fldCharType="separate"/>
        </w:r>
        <w:r>
          <w:rPr>
            <w:noProof/>
            <w:webHidden/>
          </w:rPr>
          <w:t>13</w:t>
        </w:r>
        <w:r>
          <w:rPr>
            <w:noProof/>
            <w:webHidden/>
          </w:rPr>
          <w:fldChar w:fldCharType="end"/>
        </w:r>
      </w:hyperlink>
    </w:p>
    <w:p w14:paraId="6BAA402A" w14:textId="2EA77DE3" w:rsidR="00E34AAF" w:rsidRDefault="00E34AAF">
      <w:pPr>
        <w:pStyle w:val="TM1"/>
        <w:rPr>
          <w:rFonts w:asciiTheme="minorHAnsi" w:eastAsiaTheme="minorEastAsia" w:hAnsiTheme="minorHAnsi" w:cstheme="minorBidi"/>
          <w:b w:val="0"/>
          <w:bCs w:val="0"/>
          <w:iCs w:val="0"/>
          <w:noProof/>
          <w:sz w:val="22"/>
          <w:szCs w:val="22"/>
        </w:rPr>
      </w:pPr>
      <w:hyperlink w:anchor="_Toc201743770" w:history="1">
        <w:r w:rsidRPr="005B6612">
          <w:rPr>
            <w:rStyle w:val="Lienhypertexte"/>
            <w:rFonts w:cs="Times New Roman"/>
            <w:noProof/>
          </w:rPr>
          <w:t>Article 12</w:t>
        </w:r>
        <w:r w:rsidRPr="005B6612">
          <w:rPr>
            <w:rStyle w:val="Lienhypertexte"/>
            <w:noProof/>
          </w:rPr>
          <w:t xml:space="preserve"> Exploitation des distributeurs</w:t>
        </w:r>
        <w:r>
          <w:rPr>
            <w:noProof/>
            <w:webHidden/>
          </w:rPr>
          <w:tab/>
        </w:r>
        <w:r>
          <w:rPr>
            <w:noProof/>
            <w:webHidden/>
          </w:rPr>
          <w:fldChar w:fldCharType="begin"/>
        </w:r>
        <w:r>
          <w:rPr>
            <w:noProof/>
            <w:webHidden/>
          </w:rPr>
          <w:instrText xml:space="preserve"> PAGEREF _Toc201743770 \h </w:instrText>
        </w:r>
        <w:r>
          <w:rPr>
            <w:noProof/>
            <w:webHidden/>
          </w:rPr>
        </w:r>
        <w:r>
          <w:rPr>
            <w:noProof/>
            <w:webHidden/>
          </w:rPr>
          <w:fldChar w:fldCharType="separate"/>
        </w:r>
        <w:r>
          <w:rPr>
            <w:noProof/>
            <w:webHidden/>
          </w:rPr>
          <w:t>14</w:t>
        </w:r>
        <w:r>
          <w:rPr>
            <w:noProof/>
            <w:webHidden/>
          </w:rPr>
          <w:fldChar w:fldCharType="end"/>
        </w:r>
      </w:hyperlink>
    </w:p>
    <w:p w14:paraId="7D6C7DBF" w14:textId="3DE71708" w:rsidR="00E34AAF" w:rsidRDefault="00E34AAF">
      <w:pPr>
        <w:pStyle w:val="TM2"/>
        <w:rPr>
          <w:rFonts w:asciiTheme="minorHAnsi" w:eastAsiaTheme="minorEastAsia" w:hAnsiTheme="minorHAnsi" w:cstheme="minorBidi"/>
          <w:bCs w:val="0"/>
          <w:noProof/>
          <w:color w:val="auto"/>
          <w:sz w:val="22"/>
        </w:rPr>
      </w:pPr>
      <w:hyperlink w:anchor="_Toc201743771" w:history="1">
        <w:r w:rsidRPr="005B6612">
          <w:rPr>
            <w:rStyle w:val="Lienhypertexte"/>
            <w:rFonts w:cs="Times New Roman"/>
            <w:noProof/>
          </w:rPr>
          <w:t>12.1</w:t>
        </w:r>
        <w:r w:rsidRPr="005B6612">
          <w:rPr>
            <w:rStyle w:val="Lienhypertexte"/>
            <w:noProof/>
          </w:rPr>
          <w:t xml:space="preserve"> Conditions générales</w:t>
        </w:r>
        <w:r>
          <w:rPr>
            <w:noProof/>
            <w:webHidden/>
          </w:rPr>
          <w:tab/>
        </w:r>
        <w:r>
          <w:rPr>
            <w:noProof/>
            <w:webHidden/>
          </w:rPr>
          <w:fldChar w:fldCharType="begin"/>
        </w:r>
        <w:r>
          <w:rPr>
            <w:noProof/>
            <w:webHidden/>
          </w:rPr>
          <w:instrText xml:space="preserve"> PAGEREF _Toc201743771 \h </w:instrText>
        </w:r>
        <w:r>
          <w:rPr>
            <w:noProof/>
            <w:webHidden/>
          </w:rPr>
        </w:r>
        <w:r>
          <w:rPr>
            <w:noProof/>
            <w:webHidden/>
          </w:rPr>
          <w:fldChar w:fldCharType="separate"/>
        </w:r>
        <w:r>
          <w:rPr>
            <w:noProof/>
            <w:webHidden/>
          </w:rPr>
          <w:t>14</w:t>
        </w:r>
        <w:r>
          <w:rPr>
            <w:noProof/>
            <w:webHidden/>
          </w:rPr>
          <w:fldChar w:fldCharType="end"/>
        </w:r>
      </w:hyperlink>
    </w:p>
    <w:p w14:paraId="4620F735" w14:textId="0503B144" w:rsidR="00E34AAF" w:rsidRDefault="00E34AAF">
      <w:pPr>
        <w:pStyle w:val="TM2"/>
        <w:rPr>
          <w:rFonts w:asciiTheme="minorHAnsi" w:eastAsiaTheme="minorEastAsia" w:hAnsiTheme="minorHAnsi" w:cstheme="minorBidi"/>
          <w:bCs w:val="0"/>
          <w:noProof/>
          <w:color w:val="auto"/>
          <w:sz w:val="22"/>
        </w:rPr>
      </w:pPr>
      <w:hyperlink w:anchor="_Toc201743772" w:history="1">
        <w:r w:rsidRPr="005B6612">
          <w:rPr>
            <w:rStyle w:val="Lienhypertexte"/>
            <w:rFonts w:cs="Times New Roman"/>
            <w:noProof/>
          </w:rPr>
          <w:t>12.2</w:t>
        </w:r>
        <w:r w:rsidRPr="005B6612">
          <w:rPr>
            <w:rStyle w:val="Lienhypertexte"/>
            <w:noProof/>
          </w:rPr>
          <w:t xml:space="preserve"> Caractéristiques des appareils mis en place</w:t>
        </w:r>
        <w:r>
          <w:rPr>
            <w:noProof/>
            <w:webHidden/>
          </w:rPr>
          <w:tab/>
        </w:r>
        <w:r>
          <w:rPr>
            <w:noProof/>
            <w:webHidden/>
          </w:rPr>
          <w:fldChar w:fldCharType="begin"/>
        </w:r>
        <w:r>
          <w:rPr>
            <w:noProof/>
            <w:webHidden/>
          </w:rPr>
          <w:instrText xml:space="preserve"> PAGEREF _Toc201743772 \h </w:instrText>
        </w:r>
        <w:r>
          <w:rPr>
            <w:noProof/>
            <w:webHidden/>
          </w:rPr>
        </w:r>
        <w:r>
          <w:rPr>
            <w:noProof/>
            <w:webHidden/>
          </w:rPr>
          <w:fldChar w:fldCharType="separate"/>
        </w:r>
        <w:r>
          <w:rPr>
            <w:noProof/>
            <w:webHidden/>
          </w:rPr>
          <w:t>14</w:t>
        </w:r>
        <w:r>
          <w:rPr>
            <w:noProof/>
            <w:webHidden/>
          </w:rPr>
          <w:fldChar w:fldCharType="end"/>
        </w:r>
      </w:hyperlink>
    </w:p>
    <w:p w14:paraId="79B8789A" w14:textId="5D7AA573" w:rsidR="00E34AAF" w:rsidRDefault="00E34AAF">
      <w:pPr>
        <w:pStyle w:val="TM2"/>
        <w:rPr>
          <w:rFonts w:asciiTheme="minorHAnsi" w:eastAsiaTheme="minorEastAsia" w:hAnsiTheme="minorHAnsi" w:cstheme="minorBidi"/>
          <w:bCs w:val="0"/>
          <w:noProof/>
          <w:color w:val="auto"/>
          <w:sz w:val="22"/>
        </w:rPr>
      </w:pPr>
      <w:hyperlink w:anchor="_Toc201743773" w:history="1">
        <w:r w:rsidRPr="005B6612">
          <w:rPr>
            <w:rStyle w:val="Lienhypertexte"/>
            <w:rFonts w:cs="Times New Roman"/>
            <w:noProof/>
          </w:rPr>
          <w:t>12.3</w:t>
        </w:r>
        <w:r w:rsidRPr="005B6612">
          <w:rPr>
            <w:rStyle w:val="Lienhypertexte"/>
            <w:noProof/>
          </w:rPr>
          <w:t xml:space="preserve"> Détail de l’offre des distributeurs</w:t>
        </w:r>
        <w:r>
          <w:rPr>
            <w:noProof/>
            <w:webHidden/>
          </w:rPr>
          <w:tab/>
        </w:r>
        <w:r>
          <w:rPr>
            <w:noProof/>
            <w:webHidden/>
          </w:rPr>
          <w:fldChar w:fldCharType="begin"/>
        </w:r>
        <w:r>
          <w:rPr>
            <w:noProof/>
            <w:webHidden/>
          </w:rPr>
          <w:instrText xml:space="preserve"> PAGEREF _Toc201743773 \h </w:instrText>
        </w:r>
        <w:r>
          <w:rPr>
            <w:noProof/>
            <w:webHidden/>
          </w:rPr>
        </w:r>
        <w:r>
          <w:rPr>
            <w:noProof/>
            <w:webHidden/>
          </w:rPr>
          <w:fldChar w:fldCharType="separate"/>
        </w:r>
        <w:r>
          <w:rPr>
            <w:noProof/>
            <w:webHidden/>
          </w:rPr>
          <w:t>14</w:t>
        </w:r>
        <w:r>
          <w:rPr>
            <w:noProof/>
            <w:webHidden/>
          </w:rPr>
          <w:fldChar w:fldCharType="end"/>
        </w:r>
      </w:hyperlink>
    </w:p>
    <w:p w14:paraId="34F7AFAC" w14:textId="08B2FB7C" w:rsidR="00E34AAF" w:rsidRDefault="00E34AAF">
      <w:pPr>
        <w:pStyle w:val="TM2"/>
        <w:rPr>
          <w:rFonts w:asciiTheme="minorHAnsi" w:eastAsiaTheme="minorEastAsia" w:hAnsiTheme="minorHAnsi" w:cstheme="minorBidi"/>
          <w:bCs w:val="0"/>
          <w:noProof/>
          <w:color w:val="auto"/>
          <w:sz w:val="22"/>
        </w:rPr>
      </w:pPr>
      <w:hyperlink w:anchor="_Toc201743774" w:history="1">
        <w:r w:rsidRPr="005B6612">
          <w:rPr>
            <w:rStyle w:val="Lienhypertexte"/>
            <w:rFonts w:cs="Times New Roman"/>
            <w:noProof/>
          </w:rPr>
          <w:t>12.4</w:t>
        </w:r>
        <w:r w:rsidRPr="005B6612">
          <w:rPr>
            <w:rStyle w:val="Lienhypertexte"/>
            <w:noProof/>
          </w:rPr>
          <w:t xml:space="preserve"> Période d’exploitation/approvisionnement des produits</w:t>
        </w:r>
        <w:r>
          <w:rPr>
            <w:noProof/>
            <w:webHidden/>
          </w:rPr>
          <w:tab/>
        </w:r>
        <w:r>
          <w:rPr>
            <w:noProof/>
            <w:webHidden/>
          </w:rPr>
          <w:fldChar w:fldCharType="begin"/>
        </w:r>
        <w:r>
          <w:rPr>
            <w:noProof/>
            <w:webHidden/>
          </w:rPr>
          <w:instrText xml:space="preserve"> PAGEREF _Toc201743774 \h </w:instrText>
        </w:r>
        <w:r>
          <w:rPr>
            <w:noProof/>
            <w:webHidden/>
          </w:rPr>
        </w:r>
        <w:r>
          <w:rPr>
            <w:noProof/>
            <w:webHidden/>
          </w:rPr>
          <w:fldChar w:fldCharType="separate"/>
        </w:r>
        <w:r>
          <w:rPr>
            <w:noProof/>
            <w:webHidden/>
          </w:rPr>
          <w:t>15</w:t>
        </w:r>
        <w:r>
          <w:rPr>
            <w:noProof/>
            <w:webHidden/>
          </w:rPr>
          <w:fldChar w:fldCharType="end"/>
        </w:r>
      </w:hyperlink>
    </w:p>
    <w:p w14:paraId="1D1B198D" w14:textId="08065675" w:rsidR="00E34AAF" w:rsidRDefault="00E34AAF">
      <w:pPr>
        <w:pStyle w:val="TM2"/>
        <w:rPr>
          <w:rFonts w:asciiTheme="minorHAnsi" w:eastAsiaTheme="minorEastAsia" w:hAnsiTheme="minorHAnsi" w:cstheme="minorBidi"/>
          <w:bCs w:val="0"/>
          <w:noProof/>
          <w:color w:val="auto"/>
          <w:sz w:val="22"/>
        </w:rPr>
      </w:pPr>
      <w:hyperlink w:anchor="_Toc201743775" w:history="1">
        <w:r w:rsidRPr="005B6612">
          <w:rPr>
            <w:rStyle w:val="Lienhypertexte"/>
            <w:rFonts w:cs="Times New Roman"/>
            <w:noProof/>
          </w:rPr>
          <w:t>12.5</w:t>
        </w:r>
        <w:r w:rsidRPr="005B6612">
          <w:rPr>
            <w:rStyle w:val="Lienhypertexte"/>
            <w:noProof/>
          </w:rPr>
          <w:t xml:space="preserve"> Hygiène et sécurité</w:t>
        </w:r>
        <w:r>
          <w:rPr>
            <w:noProof/>
            <w:webHidden/>
          </w:rPr>
          <w:tab/>
        </w:r>
        <w:r>
          <w:rPr>
            <w:noProof/>
            <w:webHidden/>
          </w:rPr>
          <w:fldChar w:fldCharType="begin"/>
        </w:r>
        <w:r>
          <w:rPr>
            <w:noProof/>
            <w:webHidden/>
          </w:rPr>
          <w:instrText xml:space="preserve"> PAGEREF _Toc201743775 \h </w:instrText>
        </w:r>
        <w:r>
          <w:rPr>
            <w:noProof/>
            <w:webHidden/>
          </w:rPr>
        </w:r>
        <w:r>
          <w:rPr>
            <w:noProof/>
            <w:webHidden/>
          </w:rPr>
          <w:fldChar w:fldCharType="separate"/>
        </w:r>
        <w:r>
          <w:rPr>
            <w:noProof/>
            <w:webHidden/>
          </w:rPr>
          <w:t>16</w:t>
        </w:r>
        <w:r>
          <w:rPr>
            <w:noProof/>
            <w:webHidden/>
          </w:rPr>
          <w:fldChar w:fldCharType="end"/>
        </w:r>
      </w:hyperlink>
    </w:p>
    <w:p w14:paraId="33AFF550" w14:textId="1E5D83A6" w:rsidR="00E34AAF" w:rsidRDefault="00E34AAF">
      <w:pPr>
        <w:pStyle w:val="TM2"/>
        <w:rPr>
          <w:rFonts w:asciiTheme="minorHAnsi" w:eastAsiaTheme="minorEastAsia" w:hAnsiTheme="minorHAnsi" w:cstheme="minorBidi"/>
          <w:bCs w:val="0"/>
          <w:noProof/>
          <w:color w:val="auto"/>
          <w:sz w:val="22"/>
        </w:rPr>
      </w:pPr>
      <w:hyperlink w:anchor="_Toc201743776" w:history="1">
        <w:r w:rsidRPr="005B6612">
          <w:rPr>
            <w:rStyle w:val="Lienhypertexte"/>
            <w:rFonts w:cs="Times New Roman"/>
            <w:noProof/>
          </w:rPr>
          <w:t>12.6</w:t>
        </w:r>
        <w:r w:rsidRPr="005B6612">
          <w:rPr>
            <w:rStyle w:val="Lienhypertexte"/>
            <w:noProof/>
          </w:rPr>
          <w:t xml:space="preserve"> Charges de fonctionnement liées à l’exploitation.</w:t>
        </w:r>
        <w:r>
          <w:rPr>
            <w:noProof/>
            <w:webHidden/>
          </w:rPr>
          <w:tab/>
        </w:r>
        <w:r>
          <w:rPr>
            <w:noProof/>
            <w:webHidden/>
          </w:rPr>
          <w:fldChar w:fldCharType="begin"/>
        </w:r>
        <w:r>
          <w:rPr>
            <w:noProof/>
            <w:webHidden/>
          </w:rPr>
          <w:instrText xml:space="preserve"> PAGEREF _Toc201743776 \h </w:instrText>
        </w:r>
        <w:r>
          <w:rPr>
            <w:noProof/>
            <w:webHidden/>
          </w:rPr>
        </w:r>
        <w:r>
          <w:rPr>
            <w:noProof/>
            <w:webHidden/>
          </w:rPr>
          <w:fldChar w:fldCharType="separate"/>
        </w:r>
        <w:r>
          <w:rPr>
            <w:noProof/>
            <w:webHidden/>
          </w:rPr>
          <w:t>16</w:t>
        </w:r>
        <w:r>
          <w:rPr>
            <w:noProof/>
            <w:webHidden/>
          </w:rPr>
          <w:fldChar w:fldCharType="end"/>
        </w:r>
      </w:hyperlink>
    </w:p>
    <w:p w14:paraId="0062D5A8" w14:textId="7B25166E" w:rsidR="00E34AAF" w:rsidRDefault="00E34AAF">
      <w:pPr>
        <w:pStyle w:val="TM2"/>
        <w:rPr>
          <w:rFonts w:asciiTheme="minorHAnsi" w:eastAsiaTheme="minorEastAsia" w:hAnsiTheme="minorHAnsi" w:cstheme="minorBidi"/>
          <w:bCs w:val="0"/>
          <w:noProof/>
          <w:color w:val="auto"/>
          <w:sz w:val="22"/>
        </w:rPr>
      </w:pPr>
      <w:hyperlink w:anchor="_Toc201743777" w:history="1">
        <w:r w:rsidRPr="005B6612">
          <w:rPr>
            <w:rStyle w:val="Lienhypertexte"/>
            <w:rFonts w:cs="Times New Roman"/>
            <w:noProof/>
          </w:rPr>
          <w:t>12.7</w:t>
        </w:r>
        <w:r w:rsidRPr="005B6612">
          <w:rPr>
            <w:rStyle w:val="Lienhypertexte"/>
            <w:noProof/>
          </w:rPr>
          <w:t xml:space="preserve"> Publicité et promotion</w:t>
        </w:r>
        <w:r>
          <w:rPr>
            <w:noProof/>
            <w:webHidden/>
          </w:rPr>
          <w:tab/>
        </w:r>
        <w:r>
          <w:rPr>
            <w:noProof/>
            <w:webHidden/>
          </w:rPr>
          <w:fldChar w:fldCharType="begin"/>
        </w:r>
        <w:r>
          <w:rPr>
            <w:noProof/>
            <w:webHidden/>
          </w:rPr>
          <w:instrText xml:space="preserve"> PAGEREF _Toc201743777 \h </w:instrText>
        </w:r>
        <w:r>
          <w:rPr>
            <w:noProof/>
            <w:webHidden/>
          </w:rPr>
        </w:r>
        <w:r>
          <w:rPr>
            <w:noProof/>
            <w:webHidden/>
          </w:rPr>
          <w:fldChar w:fldCharType="separate"/>
        </w:r>
        <w:r>
          <w:rPr>
            <w:noProof/>
            <w:webHidden/>
          </w:rPr>
          <w:t>16</w:t>
        </w:r>
        <w:r>
          <w:rPr>
            <w:noProof/>
            <w:webHidden/>
          </w:rPr>
          <w:fldChar w:fldCharType="end"/>
        </w:r>
      </w:hyperlink>
    </w:p>
    <w:p w14:paraId="6AAB4E78" w14:textId="2C4A9535" w:rsidR="00E34AAF" w:rsidRDefault="00E34AAF">
      <w:pPr>
        <w:pStyle w:val="TM2"/>
        <w:rPr>
          <w:rFonts w:asciiTheme="minorHAnsi" w:eastAsiaTheme="minorEastAsia" w:hAnsiTheme="minorHAnsi" w:cstheme="minorBidi"/>
          <w:bCs w:val="0"/>
          <w:noProof/>
          <w:color w:val="auto"/>
          <w:sz w:val="22"/>
        </w:rPr>
      </w:pPr>
      <w:hyperlink w:anchor="_Toc201743778" w:history="1">
        <w:r w:rsidRPr="005B6612">
          <w:rPr>
            <w:rStyle w:val="Lienhypertexte"/>
            <w:rFonts w:cs="Times New Roman"/>
            <w:noProof/>
          </w:rPr>
          <w:t>12.8</w:t>
        </w:r>
        <w:r w:rsidRPr="005B6612">
          <w:rPr>
            <w:rStyle w:val="Lienhypertexte"/>
            <w:noProof/>
          </w:rPr>
          <w:t xml:space="preserve"> Prestations complémentaires : statistiques et analyse des CA</w:t>
        </w:r>
        <w:r>
          <w:rPr>
            <w:noProof/>
            <w:webHidden/>
          </w:rPr>
          <w:tab/>
        </w:r>
        <w:r>
          <w:rPr>
            <w:noProof/>
            <w:webHidden/>
          </w:rPr>
          <w:fldChar w:fldCharType="begin"/>
        </w:r>
        <w:r>
          <w:rPr>
            <w:noProof/>
            <w:webHidden/>
          </w:rPr>
          <w:instrText xml:space="preserve"> PAGEREF _Toc201743778 \h </w:instrText>
        </w:r>
        <w:r>
          <w:rPr>
            <w:noProof/>
            <w:webHidden/>
          </w:rPr>
        </w:r>
        <w:r>
          <w:rPr>
            <w:noProof/>
            <w:webHidden/>
          </w:rPr>
          <w:fldChar w:fldCharType="separate"/>
        </w:r>
        <w:r>
          <w:rPr>
            <w:noProof/>
            <w:webHidden/>
          </w:rPr>
          <w:t>16</w:t>
        </w:r>
        <w:r>
          <w:rPr>
            <w:noProof/>
            <w:webHidden/>
          </w:rPr>
          <w:fldChar w:fldCharType="end"/>
        </w:r>
      </w:hyperlink>
    </w:p>
    <w:p w14:paraId="48EE3387" w14:textId="0A83713F" w:rsidR="00E34AAF" w:rsidRDefault="00E34AAF">
      <w:pPr>
        <w:pStyle w:val="TM1"/>
        <w:rPr>
          <w:rFonts w:asciiTheme="minorHAnsi" w:eastAsiaTheme="minorEastAsia" w:hAnsiTheme="minorHAnsi" w:cstheme="minorBidi"/>
          <w:b w:val="0"/>
          <w:bCs w:val="0"/>
          <w:iCs w:val="0"/>
          <w:noProof/>
          <w:sz w:val="22"/>
          <w:szCs w:val="22"/>
        </w:rPr>
      </w:pPr>
      <w:hyperlink w:anchor="_Toc201743779" w:history="1">
        <w:r w:rsidRPr="005B6612">
          <w:rPr>
            <w:rStyle w:val="Lienhypertexte"/>
            <w:rFonts w:cs="Times New Roman"/>
            <w:noProof/>
          </w:rPr>
          <w:t>Article 13</w:t>
        </w:r>
        <w:r w:rsidRPr="005B6612">
          <w:rPr>
            <w:rStyle w:val="Lienhypertexte"/>
            <w:noProof/>
          </w:rPr>
          <w:t xml:space="preserve"> Modalités tarifaires</w:t>
        </w:r>
        <w:r>
          <w:rPr>
            <w:noProof/>
            <w:webHidden/>
          </w:rPr>
          <w:tab/>
        </w:r>
        <w:r>
          <w:rPr>
            <w:noProof/>
            <w:webHidden/>
          </w:rPr>
          <w:fldChar w:fldCharType="begin"/>
        </w:r>
        <w:r>
          <w:rPr>
            <w:noProof/>
            <w:webHidden/>
          </w:rPr>
          <w:instrText xml:space="preserve"> PAGEREF _Toc201743779 \h </w:instrText>
        </w:r>
        <w:r>
          <w:rPr>
            <w:noProof/>
            <w:webHidden/>
          </w:rPr>
        </w:r>
        <w:r>
          <w:rPr>
            <w:noProof/>
            <w:webHidden/>
          </w:rPr>
          <w:fldChar w:fldCharType="separate"/>
        </w:r>
        <w:r>
          <w:rPr>
            <w:noProof/>
            <w:webHidden/>
          </w:rPr>
          <w:t>17</w:t>
        </w:r>
        <w:r>
          <w:rPr>
            <w:noProof/>
            <w:webHidden/>
          </w:rPr>
          <w:fldChar w:fldCharType="end"/>
        </w:r>
      </w:hyperlink>
    </w:p>
    <w:p w14:paraId="753B936A" w14:textId="1F0EAA17" w:rsidR="00E34AAF" w:rsidRDefault="00E34AAF">
      <w:pPr>
        <w:pStyle w:val="TM1"/>
        <w:rPr>
          <w:rFonts w:asciiTheme="minorHAnsi" w:eastAsiaTheme="minorEastAsia" w:hAnsiTheme="minorHAnsi" w:cstheme="minorBidi"/>
          <w:b w:val="0"/>
          <w:bCs w:val="0"/>
          <w:iCs w:val="0"/>
          <w:noProof/>
          <w:sz w:val="22"/>
          <w:szCs w:val="22"/>
        </w:rPr>
      </w:pPr>
      <w:hyperlink w:anchor="_Toc201743780" w:history="1">
        <w:r w:rsidRPr="005B6612">
          <w:rPr>
            <w:rStyle w:val="Lienhypertexte"/>
            <w:rFonts w:cs="Times New Roman"/>
            <w:noProof/>
          </w:rPr>
          <w:t>Article 14</w:t>
        </w:r>
        <w:r w:rsidRPr="005B6612">
          <w:rPr>
            <w:rStyle w:val="Lienhypertexte"/>
            <w:noProof/>
          </w:rPr>
          <w:t xml:space="preserve"> Dispositions financières et comptables</w:t>
        </w:r>
        <w:r>
          <w:rPr>
            <w:noProof/>
            <w:webHidden/>
          </w:rPr>
          <w:tab/>
        </w:r>
        <w:r>
          <w:rPr>
            <w:noProof/>
            <w:webHidden/>
          </w:rPr>
          <w:fldChar w:fldCharType="begin"/>
        </w:r>
        <w:r>
          <w:rPr>
            <w:noProof/>
            <w:webHidden/>
          </w:rPr>
          <w:instrText xml:space="preserve"> PAGEREF _Toc201743780 \h </w:instrText>
        </w:r>
        <w:r>
          <w:rPr>
            <w:noProof/>
            <w:webHidden/>
          </w:rPr>
        </w:r>
        <w:r>
          <w:rPr>
            <w:noProof/>
            <w:webHidden/>
          </w:rPr>
          <w:fldChar w:fldCharType="separate"/>
        </w:r>
        <w:r>
          <w:rPr>
            <w:noProof/>
            <w:webHidden/>
          </w:rPr>
          <w:t>17</w:t>
        </w:r>
        <w:r>
          <w:rPr>
            <w:noProof/>
            <w:webHidden/>
          </w:rPr>
          <w:fldChar w:fldCharType="end"/>
        </w:r>
      </w:hyperlink>
    </w:p>
    <w:p w14:paraId="09932D64" w14:textId="12C11B36" w:rsidR="00E34AAF" w:rsidRDefault="00E34AAF">
      <w:pPr>
        <w:pStyle w:val="TM2"/>
        <w:rPr>
          <w:rFonts w:asciiTheme="minorHAnsi" w:eastAsiaTheme="minorEastAsia" w:hAnsiTheme="minorHAnsi" w:cstheme="minorBidi"/>
          <w:bCs w:val="0"/>
          <w:noProof/>
          <w:color w:val="auto"/>
          <w:sz w:val="22"/>
        </w:rPr>
      </w:pPr>
      <w:hyperlink w:anchor="_Toc201743781" w:history="1">
        <w:r w:rsidRPr="005B6612">
          <w:rPr>
            <w:rStyle w:val="Lienhypertexte"/>
            <w:rFonts w:cs="Times New Roman"/>
            <w:noProof/>
          </w:rPr>
          <w:t>14.1</w:t>
        </w:r>
        <w:r w:rsidRPr="005B6612">
          <w:rPr>
            <w:rStyle w:val="Lienhypertexte"/>
            <w:noProof/>
          </w:rPr>
          <w:t xml:space="preserve"> Perception des recettes</w:t>
        </w:r>
        <w:r>
          <w:rPr>
            <w:noProof/>
            <w:webHidden/>
          </w:rPr>
          <w:tab/>
        </w:r>
        <w:r>
          <w:rPr>
            <w:noProof/>
            <w:webHidden/>
          </w:rPr>
          <w:fldChar w:fldCharType="begin"/>
        </w:r>
        <w:r>
          <w:rPr>
            <w:noProof/>
            <w:webHidden/>
          </w:rPr>
          <w:instrText xml:space="preserve"> PAGEREF _Toc201743781 \h </w:instrText>
        </w:r>
        <w:r>
          <w:rPr>
            <w:noProof/>
            <w:webHidden/>
          </w:rPr>
        </w:r>
        <w:r>
          <w:rPr>
            <w:noProof/>
            <w:webHidden/>
          </w:rPr>
          <w:fldChar w:fldCharType="separate"/>
        </w:r>
        <w:r>
          <w:rPr>
            <w:noProof/>
            <w:webHidden/>
          </w:rPr>
          <w:t>17</w:t>
        </w:r>
        <w:r>
          <w:rPr>
            <w:noProof/>
            <w:webHidden/>
          </w:rPr>
          <w:fldChar w:fldCharType="end"/>
        </w:r>
      </w:hyperlink>
    </w:p>
    <w:p w14:paraId="6E410DBF" w14:textId="7AA5218C" w:rsidR="00E34AAF" w:rsidRDefault="00E34AAF">
      <w:pPr>
        <w:pStyle w:val="TM2"/>
        <w:rPr>
          <w:rFonts w:asciiTheme="minorHAnsi" w:eastAsiaTheme="minorEastAsia" w:hAnsiTheme="minorHAnsi" w:cstheme="minorBidi"/>
          <w:bCs w:val="0"/>
          <w:noProof/>
          <w:color w:val="auto"/>
          <w:sz w:val="22"/>
        </w:rPr>
      </w:pPr>
      <w:hyperlink w:anchor="_Toc201743782" w:history="1">
        <w:r w:rsidRPr="005B6612">
          <w:rPr>
            <w:rStyle w:val="Lienhypertexte"/>
            <w:rFonts w:cs="Times New Roman"/>
            <w:noProof/>
          </w:rPr>
          <w:t>14.2</w:t>
        </w:r>
        <w:r w:rsidRPr="005B6612">
          <w:rPr>
            <w:rStyle w:val="Lienhypertexte"/>
            <w:noProof/>
          </w:rPr>
          <w:t xml:space="preserve"> Redevance au titre de l’occupation du domaine public</w:t>
        </w:r>
        <w:r>
          <w:rPr>
            <w:noProof/>
            <w:webHidden/>
          </w:rPr>
          <w:tab/>
        </w:r>
        <w:r>
          <w:rPr>
            <w:noProof/>
            <w:webHidden/>
          </w:rPr>
          <w:fldChar w:fldCharType="begin"/>
        </w:r>
        <w:r>
          <w:rPr>
            <w:noProof/>
            <w:webHidden/>
          </w:rPr>
          <w:instrText xml:space="preserve"> PAGEREF _Toc201743782 \h </w:instrText>
        </w:r>
        <w:r>
          <w:rPr>
            <w:noProof/>
            <w:webHidden/>
          </w:rPr>
        </w:r>
        <w:r>
          <w:rPr>
            <w:noProof/>
            <w:webHidden/>
          </w:rPr>
          <w:fldChar w:fldCharType="separate"/>
        </w:r>
        <w:r>
          <w:rPr>
            <w:noProof/>
            <w:webHidden/>
          </w:rPr>
          <w:t>17</w:t>
        </w:r>
        <w:r>
          <w:rPr>
            <w:noProof/>
            <w:webHidden/>
          </w:rPr>
          <w:fldChar w:fldCharType="end"/>
        </w:r>
      </w:hyperlink>
    </w:p>
    <w:p w14:paraId="50B94FF9" w14:textId="6D07AC63" w:rsidR="00E34AAF" w:rsidRDefault="00E34AAF">
      <w:pPr>
        <w:pStyle w:val="TM2"/>
        <w:rPr>
          <w:rFonts w:asciiTheme="minorHAnsi" w:eastAsiaTheme="minorEastAsia" w:hAnsiTheme="minorHAnsi" w:cstheme="minorBidi"/>
          <w:bCs w:val="0"/>
          <w:noProof/>
          <w:color w:val="auto"/>
          <w:sz w:val="22"/>
        </w:rPr>
      </w:pPr>
      <w:hyperlink w:anchor="_Toc201743783" w:history="1">
        <w:r w:rsidRPr="005B6612">
          <w:rPr>
            <w:rStyle w:val="Lienhypertexte"/>
            <w:rFonts w:cs="Times New Roman"/>
            <w:noProof/>
          </w:rPr>
          <w:t>14.3</w:t>
        </w:r>
        <w:r w:rsidRPr="005B6612">
          <w:rPr>
            <w:rStyle w:val="Lienhypertexte"/>
            <w:noProof/>
          </w:rPr>
          <w:t xml:space="preserve"> Modalités de versement</w:t>
        </w:r>
        <w:r>
          <w:rPr>
            <w:noProof/>
            <w:webHidden/>
          </w:rPr>
          <w:tab/>
        </w:r>
        <w:r>
          <w:rPr>
            <w:noProof/>
            <w:webHidden/>
          </w:rPr>
          <w:fldChar w:fldCharType="begin"/>
        </w:r>
        <w:r>
          <w:rPr>
            <w:noProof/>
            <w:webHidden/>
          </w:rPr>
          <w:instrText xml:space="preserve"> PAGEREF _Toc201743783 \h </w:instrText>
        </w:r>
        <w:r>
          <w:rPr>
            <w:noProof/>
            <w:webHidden/>
          </w:rPr>
        </w:r>
        <w:r>
          <w:rPr>
            <w:noProof/>
            <w:webHidden/>
          </w:rPr>
          <w:fldChar w:fldCharType="separate"/>
        </w:r>
        <w:r>
          <w:rPr>
            <w:noProof/>
            <w:webHidden/>
          </w:rPr>
          <w:t>18</w:t>
        </w:r>
        <w:r>
          <w:rPr>
            <w:noProof/>
            <w:webHidden/>
          </w:rPr>
          <w:fldChar w:fldCharType="end"/>
        </w:r>
      </w:hyperlink>
    </w:p>
    <w:p w14:paraId="703DD966" w14:textId="2E7BC032" w:rsidR="00E34AAF" w:rsidRDefault="00E34AAF">
      <w:pPr>
        <w:pStyle w:val="TM1"/>
        <w:rPr>
          <w:rFonts w:asciiTheme="minorHAnsi" w:eastAsiaTheme="minorEastAsia" w:hAnsiTheme="minorHAnsi" w:cstheme="minorBidi"/>
          <w:b w:val="0"/>
          <w:bCs w:val="0"/>
          <w:iCs w:val="0"/>
          <w:noProof/>
          <w:sz w:val="22"/>
          <w:szCs w:val="22"/>
        </w:rPr>
      </w:pPr>
      <w:hyperlink w:anchor="_Toc201743784" w:history="1">
        <w:r w:rsidRPr="005B6612">
          <w:rPr>
            <w:rStyle w:val="Lienhypertexte"/>
            <w:rFonts w:cs="Times New Roman"/>
            <w:noProof/>
          </w:rPr>
          <w:t>Article 15</w:t>
        </w:r>
        <w:r w:rsidRPr="005B6612">
          <w:rPr>
            <w:rStyle w:val="Lienhypertexte"/>
            <w:noProof/>
          </w:rPr>
          <w:t xml:space="preserve"> Obligations du Bénéficiaire</w:t>
        </w:r>
        <w:r>
          <w:rPr>
            <w:noProof/>
            <w:webHidden/>
          </w:rPr>
          <w:tab/>
        </w:r>
        <w:r>
          <w:rPr>
            <w:noProof/>
            <w:webHidden/>
          </w:rPr>
          <w:fldChar w:fldCharType="begin"/>
        </w:r>
        <w:r>
          <w:rPr>
            <w:noProof/>
            <w:webHidden/>
          </w:rPr>
          <w:instrText xml:space="preserve"> PAGEREF _Toc201743784 \h </w:instrText>
        </w:r>
        <w:r>
          <w:rPr>
            <w:noProof/>
            <w:webHidden/>
          </w:rPr>
        </w:r>
        <w:r>
          <w:rPr>
            <w:noProof/>
            <w:webHidden/>
          </w:rPr>
          <w:fldChar w:fldCharType="separate"/>
        </w:r>
        <w:r>
          <w:rPr>
            <w:noProof/>
            <w:webHidden/>
          </w:rPr>
          <w:t>18</w:t>
        </w:r>
        <w:r>
          <w:rPr>
            <w:noProof/>
            <w:webHidden/>
          </w:rPr>
          <w:fldChar w:fldCharType="end"/>
        </w:r>
      </w:hyperlink>
    </w:p>
    <w:p w14:paraId="0FCA0502" w14:textId="5A646A31" w:rsidR="00E34AAF" w:rsidRDefault="00E34AAF">
      <w:pPr>
        <w:pStyle w:val="TM2"/>
        <w:rPr>
          <w:rFonts w:asciiTheme="minorHAnsi" w:eastAsiaTheme="minorEastAsia" w:hAnsiTheme="minorHAnsi" w:cstheme="minorBidi"/>
          <w:bCs w:val="0"/>
          <w:noProof/>
          <w:color w:val="auto"/>
          <w:sz w:val="22"/>
        </w:rPr>
      </w:pPr>
      <w:hyperlink w:anchor="_Toc201743785" w:history="1">
        <w:r w:rsidRPr="005B6612">
          <w:rPr>
            <w:rStyle w:val="Lienhypertexte"/>
            <w:rFonts w:cs="Times New Roman"/>
            <w:noProof/>
          </w:rPr>
          <w:t>15.1</w:t>
        </w:r>
        <w:r w:rsidRPr="005B6612">
          <w:rPr>
            <w:rStyle w:val="Lienhypertexte"/>
            <w:noProof/>
          </w:rPr>
          <w:t xml:space="preserve"> Nature de l’obligation du Bénéficiaire</w:t>
        </w:r>
        <w:r>
          <w:rPr>
            <w:noProof/>
            <w:webHidden/>
          </w:rPr>
          <w:tab/>
        </w:r>
        <w:r>
          <w:rPr>
            <w:noProof/>
            <w:webHidden/>
          </w:rPr>
          <w:fldChar w:fldCharType="begin"/>
        </w:r>
        <w:r>
          <w:rPr>
            <w:noProof/>
            <w:webHidden/>
          </w:rPr>
          <w:instrText xml:space="preserve"> PAGEREF _Toc201743785 \h </w:instrText>
        </w:r>
        <w:r>
          <w:rPr>
            <w:noProof/>
            <w:webHidden/>
          </w:rPr>
        </w:r>
        <w:r>
          <w:rPr>
            <w:noProof/>
            <w:webHidden/>
          </w:rPr>
          <w:fldChar w:fldCharType="separate"/>
        </w:r>
        <w:r>
          <w:rPr>
            <w:noProof/>
            <w:webHidden/>
          </w:rPr>
          <w:t>18</w:t>
        </w:r>
        <w:r>
          <w:rPr>
            <w:noProof/>
            <w:webHidden/>
          </w:rPr>
          <w:fldChar w:fldCharType="end"/>
        </w:r>
      </w:hyperlink>
    </w:p>
    <w:p w14:paraId="542EE761" w14:textId="10D21810" w:rsidR="00E34AAF" w:rsidRDefault="00E34AAF">
      <w:pPr>
        <w:pStyle w:val="TM2"/>
        <w:rPr>
          <w:rFonts w:asciiTheme="minorHAnsi" w:eastAsiaTheme="minorEastAsia" w:hAnsiTheme="minorHAnsi" w:cstheme="minorBidi"/>
          <w:bCs w:val="0"/>
          <w:noProof/>
          <w:color w:val="auto"/>
          <w:sz w:val="22"/>
        </w:rPr>
      </w:pPr>
      <w:hyperlink w:anchor="_Toc201743786" w:history="1">
        <w:r w:rsidRPr="005B6612">
          <w:rPr>
            <w:rStyle w:val="Lienhypertexte"/>
            <w:rFonts w:cs="Times New Roman"/>
            <w:noProof/>
          </w:rPr>
          <w:t>15.2</w:t>
        </w:r>
        <w:r w:rsidRPr="005B6612">
          <w:rPr>
            <w:rStyle w:val="Lienhypertexte"/>
            <w:noProof/>
          </w:rPr>
          <w:t xml:space="preserve"> Moyens techniques</w:t>
        </w:r>
        <w:r>
          <w:rPr>
            <w:noProof/>
            <w:webHidden/>
          </w:rPr>
          <w:tab/>
        </w:r>
        <w:r>
          <w:rPr>
            <w:noProof/>
            <w:webHidden/>
          </w:rPr>
          <w:fldChar w:fldCharType="begin"/>
        </w:r>
        <w:r>
          <w:rPr>
            <w:noProof/>
            <w:webHidden/>
          </w:rPr>
          <w:instrText xml:space="preserve"> PAGEREF _Toc201743786 \h </w:instrText>
        </w:r>
        <w:r>
          <w:rPr>
            <w:noProof/>
            <w:webHidden/>
          </w:rPr>
        </w:r>
        <w:r>
          <w:rPr>
            <w:noProof/>
            <w:webHidden/>
          </w:rPr>
          <w:fldChar w:fldCharType="separate"/>
        </w:r>
        <w:r>
          <w:rPr>
            <w:noProof/>
            <w:webHidden/>
          </w:rPr>
          <w:t>18</w:t>
        </w:r>
        <w:r>
          <w:rPr>
            <w:noProof/>
            <w:webHidden/>
          </w:rPr>
          <w:fldChar w:fldCharType="end"/>
        </w:r>
      </w:hyperlink>
    </w:p>
    <w:p w14:paraId="266F6349" w14:textId="1410BD45" w:rsidR="00E34AAF" w:rsidRDefault="00E34AAF">
      <w:pPr>
        <w:pStyle w:val="TM2"/>
        <w:rPr>
          <w:rFonts w:asciiTheme="minorHAnsi" w:eastAsiaTheme="minorEastAsia" w:hAnsiTheme="minorHAnsi" w:cstheme="minorBidi"/>
          <w:bCs w:val="0"/>
          <w:noProof/>
          <w:color w:val="auto"/>
          <w:sz w:val="22"/>
        </w:rPr>
      </w:pPr>
      <w:hyperlink w:anchor="_Toc201743787" w:history="1">
        <w:r w:rsidRPr="005B6612">
          <w:rPr>
            <w:rStyle w:val="Lienhypertexte"/>
            <w:rFonts w:cs="Times New Roman"/>
            <w:noProof/>
          </w:rPr>
          <w:t>15.3</w:t>
        </w:r>
        <w:r w:rsidRPr="005B6612">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_Toc201743787 \h </w:instrText>
        </w:r>
        <w:r>
          <w:rPr>
            <w:noProof/>
            <w:webHidden/>
          </w:rPr>
        </w:r>
        <w:r>
          <w:rPr>
            <w:noProof/>
            <w:webHidden/>
          </w:rPr>
          <w:fldChar w:fldCharType="separate"/>
        </w:r>
        <w:r>
          <w:rPr>
            <w:noProof/>
            <w:webHidden/>
          </w:rPr>
          <w:t>18</w:t>
        </w:r>
        <w:r>
          <w:rPr>
            <w:noProof/>
            <w:webHidden/>
          </w:rPr>
          <w:fldChar w:fldCharType="end"/>
        </w:r>
      </w:hyperlink>
    </w:p>
    <w:p w14:paraId="1A40A257" w14:textId="42DB5761" w:rsidR="00E34AAF" w:rsidRDefault="00E34AAF">
      <w:pPr>
        <w:pStyle w:val="TM2"/>
        <w:rPr>
          <w:rFonts w:asciiTheme="minorHAnsi" w:eastAsiaTheme="minorEastAsia" w:hAnsiTheme="minorHAnsi" w:cstheme="minorBidi"/>
          <w:bCs w:val="0"/>
          <w:noProof/>
          <w:color w:val="auto"/>
          <w:sz w:val="22"/>
        </w:rPr>
      </w:pPr>
      <w:hyperlink w:anchor="_Toc201743788" w:history="1">
        <w:r w:rsidRPr="005B6612">
          <w:rPr>
            <w:rStyle w:val="Lienhypertexte"/>
            <w:rFonts w:cs="Times New Roman"/>
            <w:noProof/>
          </w:rPr>
          <w:t>15.4</w:t>
        </w:r>
        <w:r w:rsidRPr="005B6612">
          <w:rPr>
            <w:rStyle w:val="Lienhypertexte"/>
            <w:noProof/>
          </w:rPr>
          <w:t xml:space="preserve"> Modalités d’accès et de circulation du personnel</w:t>
        </w:r>
        <w:r>
          <w:rPr>
            <w:noProof/>
            <w:webHidden/>
          </w:rPr>
          <w:tab/>
        </w:r>
        <w:r>
          <w:rPr>
            <w:noProof/>
            <w:webHidden/>
          </w:rPr>
          <w:fldChar w:fldCharType="begin"/>
        </w:r>
        <w:r>
          <w:rPr>
            <w:noProof/>
            <w:webHidden/>
          </w:rPr>
          <w:instrText xml:space="preserve"> PAGEREF _Toc201743788 \h </w:instrText>
        </w:r>
        <w:r>
          <w:rPr>
            <w:noProof/>
            <w:webHidden/>
          </w:rPr>
        </w:r>
        <w:r>
          <w:rPr>
            <w:noProof/>
            <w:webHidden/>
          </w:rPr>
          <w:fldChar w:fldCharType="separate"/>
        </w:r>
        <w:r>
          <w:rPr>
            <w:noProof/>
            <w:webHidden/>
          </w:rPr>
          <w:t>18</w:t>
        </w:r>
        <w:r>
          <w:rPr>
            <w:noProof/>
            <w:webHidden/>
          </w:rPr>
          <w:fldChar w:fldCharType="end"/>
        </w:r>
      </w:hyperlink>
    </w:p>
    <w:p w14:paraId="3CA0ADA3" w14:textId="234DCCAE" w:rsidR="00E34AAF" w:rsidRDefault="00E34AAF">
      <w:pPr>
        <w:pStyle w:val="TM2"/>
        <w:rPr>
          <w:rFonts w:asciiTheme="minorHAnsi" w:eastAsiaTheme="minorEastAsia" w:hAnsiTheme="minorHAnsi" w:cstheme="minorBidi"/>
          <w:bCs w:val="0"/>
          <w:noProof/>
          <w:color w:val="auto"/>
          <w:sz w:val="22"/>
        </w:rPr>
      </w:pPr>
      <w:hyperlink w:anchor="_Toc201743789" w:history="1">
        <w:r w:rsidRPr="005B6612">
          <w:rPr>
            <w:rStyle w:val="Lienhypertexte"/>
            <w:rFonts w:cs="Times New Roman"/>
            <w:noProof/>
          </w:rPr>
          <w:t>15.5</w:t>
        </w:r>
        <w:r w:rsidRPr="005B6612">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_Toc201743789 \h </w:instrText>
        </w:r>
        <w:r>
          <w:rPr>
            <w:noProof/>
            <w:webHidden/>
          </w:rPr>
        </w:r>
        <w:r>
          <w:rPr>
            <w:noProof/>
            <w:webHidden/>
          </w:rPr>
          <w:fldChar w:fldCharType="separate"/>
        </w:r>
        <w:r>
          <w:rPr>
            <w:noProof/>
            <w:webHidden/>
          </w:rPr>
          <w:t>18</w:t>
        </w:r>
        <w:r>
          <w:rPr>
            <w:noProof/>
            <w:webHidden/>
          </w:rPr>
          <w:fldChar w:fldCharType="end"/>
        </w:r>
      </w:hyperlink>
    </w:p>
    <w:p w14:paraId="7B320B5F" w14:textId="0E5CEBCA" w:rsidR="00E34AAF" w:rsidRDefault="00E34AAF">
      <w:pPr>
        <w:pStyle w:val="TM2"/>
        <w:rPr>
          <w:rFonts w:asciiTheme="minorHAnsi" w:eastAsiaTheme="minorEastAsia" w:hAnsiTheme="minorHAnsi" w:cstheme="minorBidi"/>
          <w:bCs w:val="0"/>
          <w:noProof/>
          <w:color w:val="auto"/>
          <w:sz w:val="22"/>
        </w:rPr>
      </w:pPr>
      <w:hyperlink w:anchor="_Toc201743790" w:history="1">
        <w:r w:rsidRPr="005B6612">
          <w:rPr>
            <w:rStyle w:val="Lienhypertexte"/>
            <w:rFonts w:cs="Times New Roman"/>
            <w:noProof/>
          </w:rPr>
          <w:t>15.6</w:t>
        </w:r>
        <w:r w:rsidRPr="005B6612">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_Toc201743790 \h </w:instrText>
        </w:r>
        <w:r>
          <w:rPr>
            <w:noProof/>
            <w:webHidden/>
          </w:rPr>
        </w:r>
        <w:r>
          <w:rPr>
            <w:noProof/>
            <w:webHidden/>
          </w:rPr>
          <w:fldChar w:fldCharType="separate"/>
        </w:r>
        <w:r>
          <w:rPr>
            <w:noProof/>
            <w:webHidden/>
          </w:rPr>
          <w:t>19</w:t>
        </w:r>
        <w:r>
          <w:rPr>
            <w:noProof/>
            <w:webHidden/>
          </w:rPr>
          <w:fldChar w:fldCharType="end"/>
        </w:r>
      </w:hyperlink>
    </w:p>
    <w:p w14:paraId="49EB2E74" w14:textId="7D91EA89" w:rsidR="00E34AAF" w:rsidRDefault="00E34AAF">
      <w:pPr>
        <w:pStyle w:val="TM1"/>
        <w:rPr>
          <w:rFonts w:asciiTheme="minorHAnsi" w:eastAsiaTheme="minorEastAsia" w:hAnsiTheme="minorHAnsi" w:cstheme="minorBidi"/>
          <w:b w:val="0"/>
          <w:bCs w:val="0"/>
          <w:iCs w:val="0"/>
          <w:noProof/>
          <w:sz w:val="22"/>
          <w:szCs w:val="22"/>
        </w:rPr>
      </w:pPr>
      <w:hyperlink w:anchor="_Toc201743791" w:history="1">
        <w:r w:rsidRPr="005B6612">
          <w:rPr>
            <w:rStyle w:val="Lienhypertexte"/>
            <w:rFonts w:cs="Times New Roman"/>
            <w:noProof/>
          </w:rPr>
          <w:t>Article 16</w:t>
        </w:r>
        <w:r w:rsidRPr="005B6612">
          <w:rPr>
            <w:rStyle w:val="Lienhypertexte"/>
            <w:noProof/>
          </w:rPr>
          <w:t xml:space="preserve"> Conditions d’exécution de la convention</w:t>
        </w:r>
        <w:r>
          <w:rPr>
            <w:noProof/>
            <w:webHidden/>
          </w:rPr>
          <w:tab/>
        </w:r>
        <w:r>
          <w:rPr>
            <w:noProof/>
            <w:webHidden/>
          </w:rPr>
          <w:fldChar w:fldCharType="begin"/>
        </w:r>
        <w:r>
          <w:rPr>
            <w:noProof/>
            <w:webHidden/>
          </w:rPr>
          <w:instrText xml:space="preserve"> PAGEREF _Toc201743791 \h </w:instrText>
        </w:r>
        <w:r>
          <w:rPr>
            <w:noProof/>
            <w:webHidden/>
          </w:rPr>
        </w:r>
        <w:r>
          <w:rPr>
            <w:noProof/>
            <w:webHidden/>
          </w:rPr>
          <w:fldChar w:fldCharType="separate"/>
        </w:r>
        <w:r>
          <w:rPr>
            <w:noProof/>
            <w:webHidden/>
          </w:rPr>
          <w:t>19</w:t>
        </w:r>
        <w:r>
          <w:rPr>
            <w:noProof/>
            <w:webHidden/>
          </w:rPr>
          <w:fldChar w:fldCharType="end"/>
        </w:r>
      </w:hyperlink>
    </w:p>
    <w:p w14:paraId="5E61E431" w14:textId="1D50A1BD" w:rsidR="00E34AAF" w:rsidRDefault="00E34AAF">
      <w:pPr>
        <w:pStyle w:val="TM2"/>
        <w:rPr>
          <w:rFonts w:asciiTheme="minorHAnsi" w:eastAsiaTheme="minorEastAsia" w:hAnsiTheme="minorHAnsi" w:cstheme="minorBidi"/>
          <w:bCs w:val="0"/>
          <w:noProof/>
          <w:color w:val="auto"/>
          <w:sz w:val="22"/>
        </w:rPr>
      </w:pPr>
      <w:hyperlink w:anchor="_Toc201743792" w:history="1">
        <w:r w:rsidRPr="005B6612">
          <w:rPr>
            <w:rStyle w:val="Lienhypertexte"/>
            <w:rFonts w:cs="Times New Roman"/>
            <w:noProof/>
          </w:rPr>
          <w:t>16.1</w:t>
        </w:r>
        <w:r w:rsidRPr="005B6612">
          <w:rPr>
            <w:rStyle w:val="Lienhypertexte"/>
            <w:noProof/>
          </w:rPr>
          <w:t xml:space="preserve"> Carence du Bénéficiaire</w:t>
        </w:r>
        <w:r>
          <w:rPr>
            <w:noProof/>
            <w:webHidden/>
          </w:rPr>
          <w:tab/>
        </w:r>
        <w:r>
          <w:rPr>
            <w:noProof/>
            <w:webHidden/>
          </w:rPr>
          <w:fldChar w:fldCharType="begin"/>
        </w:r>
        <w:r>
          <w:rPr>
            <w:noProof/>
            <w:webHidden/>
          </w:rPr>
          <w:instrText xml:space="preserve"> PAGEREF _Toc201743792 \h </w:instrText>
        </w:r>
        <w:r>
          <w:rPr>
            <w:noProof/>
            <w:webHidden/>
          </w:rPr>
        </w:r>
        <w:r>
          <w:rPr>
            <w:noProof/>
            <w:webHidden/>
          </w:rPr>
          <w:fldChar w:fldCharType="separate"/>
        </w:r>
        <w:r>
          <w:rPr>
            <w:noProof/>
            <w:webHidden/>
          </w:rPr>
          <w:t>19</w:t>
        </w:r>
        <w:r>
          <w:rPr>
            <w:noProof/>
            <w:webHidden/>
          </w:rPr>
          <w:fldChar w:fldCharType="end"/>
        </w:r>
      </w:hyperlink>
    </w:p>
    <w:p w14:paraId="6C7C13A6" w14:textId="0D98C944" w:rsidR="00E34AAF" w:rsidRDefault="00E34AAF">
      <w:pPr>
        <w:pStyle w:val="TM1"/>
        <w:rPr>
          <w:rFonts w:asciiTheme="minorHAnsi" w:eastAsiaTheme="minorEastAsia" w:hAnsiTheme="minorHAnsi" w:cstheme="minorBidi"/>
          <w:b w:val="0"/>
          <w:bCs w:val="0"/>
          <w:iCs w:val="0"/>
          <w:noProof/>
          <w:sz w:val="22"/>
          <w:szCs w:val="22"/>
        </w:rPr>
      </w:pPr>
      <w:hyperlink w:anchor="_Toc201743793" w:history="1">
        <w:r w:rsidRPr="005B6612">
          <w:rPr>
            <w:rStyle w:val="Lienhypertexte"/>
            <w:rFonts w:cs="Times New Roman"/>
            <w:noProof/>
          </w:rPr>
          <w:t>Article 17</w:t>
        </w:r>
        <w:r w:rsidRPr="005B6612">
          <w:rPr>
            <w:rStyle w:val="Lienhypertexte"/>
            <w:noProof/>
          </w:rPr>
          <w:t xml:space="preserve"> Pénalités</w:t>
        </w:r>
        <w:r>
          <w:rPr>
            <w:noProof/>
            <w:webHidden/>
          </w:rPr>
          <w:tab/>
        </w:r>
        <w:r>
          <w:rPr>
            <w:noProof/>
            <w:webHidden/>
          </w:rPr>
          <w:fldChar w:fldCharType="begin"/>
        </w:r>
        <w:r>
          <w:rPr>
            <w:noProof/>
            <w:webHidden/>
          </w:rPr>
          <w:instrText xml:space="preserve"> PAGEREF _Toc201743793 \h </w:instrText>
        </w:r>
        <w:r>
          <w:rPr>
            <w:noProof/>
            <w:webHidden/>
          </w:rPr>
        </w:r>
        <w:r>
          <w:rPr>
            <w:noProof/>
            <w:webHidden/>
          </w:rPr>
          <w:fldChar w:fldCharType="separate"/>
        </w:r>
        <w:r>
          <w:rPr>
            <w:noProof/>
            <w:webHidden/>
          </w:rPr>
          <w:t>19</w:t>
        </w:r>
        <w:r>
          <w:rPr>
            <w:noProof/>
            <w:webHidden/>
          </w:rPr>
          <w:fldChar w:fldCharType="end"/>
        </w:r>
      </w:hyperlink>
    </w:p>
    <w:p w14:paraId="6F0ABE10" w14:textId="24AF54A3" w:rsidR="00E34AAF" w:rsidRDefault="00E34AAF">
      <w:pPr>
        <w:pStyle w:val="TM2"/>
        <w:rPr>
          <w:rFonts w:asciiTheme="minorHAnsi" w:eastAsiaTheme="minorEastAsia" w:hAnsiTheme="minorHAnsi" w:cstheme="minorBidi"/>
          <w:bCs w:val="0"/>
          <w:noProof/>
          <w:color w:val="auto"/>
          <w:sz w:val="22"/>
        </w:rPr>
      </w:pPr>
      <w:hyperlink w:anchor="_Toc201743794" w:history="1">
        <w:r w:rsidRPr="005B6612">
          <w:rPr>
            <w:rStyle w:val="Lienhypertexte"/>
            <w:rFonts w:cs="Times New Roman"/>
            <w:noProof/>
          </w:rPr>
          <w:t>17.1</w:t>
        </w:r>
        <w:r w:rsidRPr="005B6612">
          <w:rPr>
            <w:rStyle w:val="Lienhypertexte"/>
            <w:noProof/>
          </w:rPr>
          <w:t xml:space="preserve"> Pénalités pour retard de paiement de la redevance</w:t>
        </w:r>
        <w:r>
          <w:rPr>
            <w:noProof/>
            <w:webHidden/>
          </w:rPr>
          <w:tab/>
        </w:r>
        <w:r>
          <w:rPr>
            <w:noProof/>
            <w:webHidden/>
          </w:rPr>
          <w:fldChar w:fldCharType="begin"/>
        </w:r>
        <w:r>
          <w:rPr>
            <w:noProof/>
            <w:webHidden/>
          </w:rPr>
          <w:instrText xml:space="preserve"> PAGEREF _Toc201743794 \h </w:instrText>
        </w:r>
        <w:r>
          <w:rPr>
            <w:noProof/>
            <w:webHidden/>
          </w:rPr>
        </w:r>
        <w:r>
          <w:rPr>
            <w:noProof/>
            <w:webHidden/>
          </w:rPr>
          <w:fldChar w:fldCharType="separate"/>
        </w:r>
        <w:r>
          <w:rPr>
            <w:noProof/>
            <w:webHidden/>
          </w:rPr>
          <w:t>19</w:t>
        </w:r>
        <w:r>
          <w:rPr>
            <w:noProof/>
            <w:webHidden/>
          </w:rPr>
          <w:fldChar w:fldCharType="end"/>
        </w:r>
      </w:hyperlink>
    </w:p>
    <w:p w14:paraId="0A2A6846" w14:textId="1F70D68D" w:rsidR="00E34AAF" w:rsidRDefault="00E34AAF">
      <w:pPr>
        <w:pStyle w:val="TM2"/>
        <w:rPr>
          <w:rFonts w:asciiTheme="minorHAnsi" w:eastAsiaTheme="minorEastAsia" w:hAnsiTheme="minorHAnsi" w:cstheme="minorBidi"/>
          <w:bCs w:val="0"/>
          <w:noProof/>
          <w:color w:val="auto"/>
          <w:sz w:val="22"/>
        </w:rPr>
      </w:pPr>
      <w:hyperlink w:anchor="_Toc201743795" w:history="1">
        <w:r w:rsidRPr="005B6612">
          <w:rPr>
            <w:rStyle w:val="Lienhypertexte"/>
            <w:rFonts w:cs="Times New Roman"/>
            <w:noProof/>
          </w:rPr>
          <w:t>17.2</w:t>
        </w:r>
        <w:r w:rsidRPr="005B6612">
          <w:rPr>
            <w:rStyle w:val="Lienhypertexte"/>
            <w:noProof/>
          </w:rPr>
          <w:t xml:space="preserve"> Pénalités pour non remise en service de l’équipement</w:t>
        </w:r>
        <w:r>
          <w:rPr>
            <w:noProof/>
            <w:webHidden/>
          </w:rPr>
          <w:tab/>
        </w:r>
        <w:r>
          <w:rPr>
            <w:noProof/>
            <w:webHidden/>
          </w:rPr>
          <w:fldChar w:fldCharType="begin"/>
        </w:r>
        <w:r>
          <w:rPr>
            <w:noProof/>
            <w:webHidden/>
          </w:rPr>
          <w:instrText xml:space="preserve"> PAGEREF _Toc201743795 \h </w:instrText>
        </w:r>
        <w:r>
          <w:rPr>
            <w:noProof/>
            <w:webHidden/>
          </w:rPr>
        </w:r>
        <w:r>
          <w:rPr>
            <w:noProof/>
            <w:webHidden/>
          </w:rPr>
          <w:fldChar w:fldCharType="separate"/>
        </w:r>
        <w:r>
          <w:rPr>
            <w:noProof/>
            <w:webHidden/>
          </w:rPr>
          <w:t>19</w:t>
        </w:r>
        <w:r>
          <w:rPr>
            <w:noProof/>
            <w:webHidden/>
          </w:rPr>
          <w:fldChar w:fldCharType="end"/>
        </w:r>
      </w:hyperlink>
    </w:p>
    <w:p w14:paraId="17EEEDAB" w14:textId="6F91BE58" w:rsidR="00E34AAF" w:rsidRDefault="00E34AAF">
      <w:pPr>
        <w:pStyle w:val="TM2"/>
        <w:rPr>
          <w:rFonts w:asciiTheme="minorHAnsi" w:eastAsiaTheme="minorEastAsia" w:hAnsiTheme="minorHAnsi" w:cstheme="minorBidi"/>
          <w:bCs w:val="0"/>
          <w:noProof/>
          <w:color w:val="auto"/>
          <w:sz w:val="22"/>
        </w:rPr>
      </w:pPr>
      <w:hyperlink w:anchor="_Toc201743796" w:history="1">
        <w:r w:rsidRPr="005B6612">
          <w:rPr>
            <w:rStyle w:val="Lienhypertexte"/>
            <w:rFonts w:cs="Times New Roman"/>
            <w:noProof/>
          </w:rPr>
          <w:t>17.3</w:t>
        </w:r>
        <w:r w:rsidRPr="005B6612">
          <w:rPr>
            <w:rStyle w:val="Lienhypertexte"/>
            <w:noProof/>
          </w:rPr>
          <w:t xml:space="preserve"> Pénalités pour présence de produits avariés</w:t>
        </w:r>
        <w:r>
          <w:rPr>
            <w:noProof/>
            <w:webHidden/>
          </w:rPr>
          <w:tab/>
        </w:r>
        <w:r>
          <w:rPr>
            <w:noProof/>
            <w:webHidden/>
          </w:rPr>
          <w:fldChar w:fldCharType="begin"/>
        </w:r>
        <w:r>
          <w:rPr>
            <w:noProof/>
            <w:webHidden/>
          </w:rPr>
          <w:instrText xml:space="preserve"> PAGEREF _Toc201743796 \h </w:instrText>
        </w:r>
        <w:r>
          <w:rPr>
            <w:noProof/>
            <w:webHidden/>
          </w:rPr>
        </w:r>
        <w:r>
          <w:rPr>
            <w:noProof/>
            <w:webHidden/>
          </w:rPr>
          <w:fldChar w:fldCharType="separate"/>
        </w:r>
        <w:r>
          <w:rPr>
            <w:noProof/>
            <w:webHidden/>
          </w:rPr>
          <w:t>19</w:t>
        </w:r>
        <w:r>
          <w:rPr>
            <w:noProof/>
            <w:webHidden/>
          </w:rPr>
          <w:fldChar w:fldCharType="end"/>
        </w:r>
      </w:hyperlink>
    </w:p>
    <w:p w14:paraId="4420815A" w14:textId="63D52F58" w:rsidR="00E34AAF" w:rsidRDefault="00E34AAF">
      <w:pPr>
        <w:pStyle w:val="TM2"/>
        <w:rPr>
          <w:rFonts w:asciiTheme="minorHAnsi" w:eastAsiaTheme="minorEastAsia" w:hAnsiTheme="minorHAnsi" w:cstheme="minorBidi"/>
          <w:bCs w:val="0"/>
          <w:noProof/>
          <w:color w:val="auto"/>
          <w:sz w:val="22"/>
        </w:rPr>
      </w:pPr>
      <w:hyperlink w:anchor="_Toc201743797" w:history="1">
        <w:r w:rsidRPr="005B6612">
          <w:rPr>
            <w:rStyle w:val="Lienhypertexte"/>
            <w:rFonts w:cs="Times New Roman"/>
            <w:noProof/>
          </w:rPr>
          <w:t>17.4</w:t>
        </w:r>
        <w:r w:rsidRPr="005B6612">
          <w:rPr>
            <w:rStyle w:val="Lienhypertexte"/>
            <w:noProof/>
          </w:rPr>
          <w:t xml:space="preserve"> Pénalités pour absence d’enquête de satisfaction</w:t>
        </w:r>
        <w:r>
          <w:rPr>
            <w:noProof/>
            <w:webHidden/>
          </w:rPr>
          <w:tab/>
        </w:r>
        <w:r>
          <w:rPr>
            <w:noProof/>
            <w:webHidden/>
          </w:rPr>
          <w:fldChar w:fldCharType="begin"/>
        </w:r>
        <w:r>
          <w:rPr>
            <w:noProof/>
            <w:webHidden/>
          </w:rPr>
          <w:instrText xml:space="preserve"> PAGEREF _Toc201743797 \h </w:instrText>
        </w:r>
        <w:r>
          <w:rPr>
            <w:noProof/>
            <w:webHidden/>
          </w:rPr>
        </w:r>
        <w:r>
          <w:rPr>
            <w:noProof/>
            <w:webHidden/>
          </w:rPr>
          <w:fldChar w:fldCharType="separate"/>
        </w:r>
        <w:r>
          <w:rPr>
            <w:noProof/>
            <w:webHidden/>
          </w:rPr>
          <w:t>19</w:t>
        </w:r>
        <w:r>
          <w:rPr>
            <w:noProof/>
            <w:webHidden/>
          </w:rPr>
          <w:fldChar w:fldCharType="end"/>
        </w:r>
      </w:hyperlink>
    </w:p>
    <w:p w14:paraId="2E0F376F" w14:textId="68749C0E" w:rsidR="00E34AAF" w:rsidRDefault="00E34AAF">
      <w:pPr>
        <w:pStyle w:val="TM2"/>
        <w:rPr>
          <w:rFonts w:asciiTheme="minorHAnsi" w:eastAsiaTheme="minorEastAsia" w:hAnsiTheme="minorHAnsi" w:cstheme="minorBidi"/>
          <w:bCs w:val="0"/>
          <w:noProof/>
          <w:color w:val="auto"/>
          <w:sz w:val="22"/>
        </w:rPr>
      </w:pPr>
      <w:hyperlink w:anchor="_Toc201743798" w:history="1">
        <w:r w:rsidRPr="005B6612">
          <w:rPr>
            <w:rStyle w:val="Lienhypertexte"/>
            <w:rFonts w:cs="Times New Roman"/>
            <w:noProof/>
          </w:rPr>
          <w:t>17.5</w:t>
        </w:r>
        <w:r w:rsidRPr="005B6612">
          <w:rPr>
            <w:rStyle w:val="Lienhypertexte"/>
            <w:noProof/>
          </w:rPr>
          <w:t xml:space="preserve"> Pénalités pour retard de remise des pièces listées à l’article 12.8 de la convention</w:t>
        </w:r>
        <w:r>
          <w:rPr>
            <w:noProof/>
            <w:webHidden/>
          </w:rPr>
          <w:tab/>
        </w:r>
        <w:r>
          <w:rPr>
            <w:noProof/>
            <w:webHidden/>
          </w:rPr>
          <w:fldChar w:fldCharType="begin"/>
        </w:r>
        <w:r>
          <w:rPr>
            <w:noProof/>
            <w:webHidden/>
          </w:rPr>
          <w:instrText xml:space="preserve"> PAGEREF _Toc201743798 \h </w:instrText>
        </w:r>
        <w:r>
          <w:rPr>
            <w:noProof/>
            <w:webHidden/>
          </w:rPr>
        </w:r>
        <w:r>
          <w:rPr>
            <w:noProof/>
            <w:webHidden/>
          </w:rPr>
          <w:fldChar w:fldCharType="separate"/>
        </w:r>
        <w:r>
          <w:rPr>
            <w:noProof/>
            <w:webHidden/>
          </w:rPr>
          <w:t>19</w:t>
        </w:r>
        <w:r>
          <w:rPr>
            <w:noProof/>
            <w:webHidden/>
          </w:rPr>
          <w:fldChar w:fldCharType="end"/>
        </w:r>
      </w:hyperlink>
    </w:p>
    <w:p w14:paraId="18CE59B8" w14:textId="5182A6FF" w:rsidR="00E34AAF" w:rsidRDefault="00E34AAF">
      <w:pPr>
        <w:pStyle w:val="TM2"/>
        <w:rPr>
          <w:rFonts w:asciiTheme="minorHAnsi" w:eastAsiaTheme="minorEastAsia" w:hAnsiTheme="minorHAnsi" w:cstheme="minorBidi"/>
          <w:bCs w:val="0"/>
          <w:noProof/>
          <w:color w:val="auto"/>
          <w:sz w:val="22"/>
        </w:rPr>
      </w:pPr>
      <w:hyperlink w:anchor="_Toc201743799" w:history="1">
        <w:r w:rsidRPr="005B6612">
          <w:rPr>
            <w:rStyle w:val="Lienhypertexte"/>
            <w:rFonts w:cs="Times New Roman"/>
            <w:noProof/>
          </w:rPr>
          <w:t>17.6</w:t>
        </w:r>
        <w:r w:rsidRPr="005B6612">
          <w:rPr>
            <w:rStyle w:val="Lienhypertexte"/>
            <w:noProof/>
          </w:rPr>
          <w:t xml:space="preserve"> Pénalités pour non-respect du plan de prévention</w:t>
        </w:r>
        <w:r>
          <w:rPr>
            <w:noProof/>
            <w:webHidden/>
          </w:rPr>
          <w:tab/>
        </w:r>
        <w:r>
          <w:rPr>
            <w:noProof/>
            <w:webHidden/>
          </w:rPr>
          <w:fldChar w:fldCharType="begin"/>
        </w:r>
        <w:r>
          <w:rPr>
            <w:noProof/>
            <w:webHidden/>
          </w:rPr>
          <w:instrText xml:space="preserve"> PAGEREF _Toc201743799 \h </w:instrText>
        </w:r>
        <w:r>
          <w:rPr>
            <w:noProof/>
            <w:webHidden/>
          </w:rPr>
        </w:r>
        <w:r>
          <w:rPr>
            <w:noProof/>
            <w:webHidden/>
          </w:rPr>
          <w:fldChar w:fldCharType="separate"/>
        </w:r>
        <w:r>
          <w:rPr>
            <w:noProof/>
            <w:webHidden/>
          </w:rPr>
          <w:t>19</w:t>
        </w:r>
        <w:r>
          <w:rPr>
            <w:noProof/>
            <w:webHidden/>
          </w:rPr>
          <w:fldChar w:fldCharType="end"/>
        </w:r>
      </w:hyperlink>
    </w:p>
    <w:p w14:paraId="3F54AAC1" w14:textId="00869284" w:rsidR="00E34AAF" w:rsidRDefault="00E34AAF">
      <w:pPr>
        <w:pStyle w:val="TM2"/>
        <w:rPr>
          <w:rFonts w:asciiTheme="minorHAnsi" w:eastAsiaTheme="minorEastAsia" w:hAnsiTheme="minorHAnsi" w:cstheme="minorBidi"/>
          <w:bCs w:val="0"/>
          <w:noProof/>
          <w:color w:val="auto"/>
          <w:sz w:val="22"/>
        </w:rPr>
      </w:pPr>
      <w:hyperlink w:anchor="_Toc201743800" w:history="1">
        <w:r w:rsidRPr="005B6612">
          <w:rPr>
            <w:rStyle w:val="Lienhypertexte"/>
            <w:rFonts w:cs="Times New Roman"/>
            <w:noProof/>
          </w:rPr>
          <w:t>17.7</w:t>
        </w:r>
        <w:r w:rsidRPr="005B6612">
          <w:rPr>
            <w:rStyle w:val="Lienhypertexte"/>
            <w:noProof/>
          </w:rPr>
          <w:t xml:space="preserve"> Pénalités pour retard dans la dépose des distributeurs en fin de contrat</w:t>
        </w:r>
        <w:r>
          <w:rPr>
            <w:noProof/>
            <w:webHidden/>
          </w:rPr>
          <w:tab/>
        </w:r>
        <w:r>
          <w:rPr>
            <w:noProof/>
            <w:webHidden/>
          </w:rPr>
          <w:fldChar w:fldCharType="begin"/>
        </w:r>
        <w:r>
          <w:rPr>
            <w:noProof/>
            <w:webHidden/>
          </w:rPr>
          <w:instrText xml:space="preserve"> PAGEREF _Toc201743800 \h </w:instrText>
        </w:r>
        <w:r>
          <w:rPr>
            <w:noProof/>
            <w:webHidden/>
          </w:rPr>
        </w:r>
        <w:r>
          <w:rPr>
            <w:noProof/>
            <w:webHidden/>
          </w:rPr>
          <w:fldChar w:fldCharType="separate"/>
        </w:r>
        <w:r>
          <w:rPr>
            <w:noProof/>
            <w:webHidden/>
          </w:rPr>
          <w:t>20</w:t>
        </w:r>
        <w:r>
          <w:rPr>
            <w:noProof/>
            <w:webHidden/>
          </w:rPr>
          <w:fldChar w:fldCharType="end"/>
        </w:r>
      </w:hyperlink>
    </w:p>
    <w:p w14:paraId="2E278FD2" w14:textId="4A98D1BD" w:rsidR="00E34AAF" w:rsidRDefault="00E34AAF">
      <w:pPr>
        <w:pStyle w:val="TM2"/>
        <w:rPr>
          <w:rFonts w:asciiTheme="minorHAnsi" w:eastAsiaTheme="minorEastAsia" w:hAnsiTheme="minorHAnsi" w:cstheme="minorBidi"/>
          <w:bCs w:val="0"/>
          <w:noProof/>
          <w:color w:val="auto"/>
          <w:sz w:val="22"/>
        </w:rPr>
      </w:pPr>
      <w:hyperlink w:anchor="_Toc201743801" w:history="1">
        <w:r w:rsidRPr="005B6612">
          <w:rPr>
            <w:rStyle w:val="Lienhypertexte"/>
            <w:rFonts w:cs="Times New Roman"/>
            <w:noProof/>
          </w:rPr>
          <w:t>17.8</w:t>
        </w:r>
        <w:r w:rsidRPr="005B6612">
          <w:rPr>
            <w:rStyle w:val="Lienhypertexte"/>
            <w:noProof/>
          </w:rPr>
          <w:t xml:space="preserve"> Dispositions d’application</w:t>
        </w:r>
        <w:r>
          <w:rPr>
            <w:noProof/>
            <w:webHidden/>
          </w:rPr>
          <w:tab/>
        </w:r>
        <w:r>
          <w:rPr>
            <w:noProof/>
            <w:webHidden/>
          </w:rPr>
          <w:fldChar w:fldCharType="begin"/>
        </w:r>
        <w:r>
          <w:rPr>
            <w:noProof/>
            <w:webHidden/>
          </w:rPr>
          <w:instrText xml:space="preserve"> PAGEREF _Toc201743801 \h </w:instrText>
        </w:r>
        <w:r>
          <w:rPr>
            <w:noProof/>
            <w:webHidden/>
          </w:rPr>
        </w:r>
        <w:r>
          <w:rPr>
            <w:noProof/>
            <w:webHidden/>
          </w:rPr>
          <w:fldChar w:fldCharType="separate"/>
        </w:r>
        <w:r>
          <w:rPr>
            <w:noProof/>
            <w:webHidden/>
          </w:rPr>
          <w:t>20</w:t>
        </w:r>
        <w:r>
          <w:rPr>
            <w:noProof/>
            <w:webHidden/>
          </w:rPr>
          <w:fldChar w:fldCharType="end"/>
        </w:r>
      </w:hyperlink>
    </w:p>
    <w:p w14:paraId="3EC53FBC" w14:textId="0E61125D" w:rsidR="00E34AAF" w:rsidRDefault="00E34AAF">
      <w:pPr>
        <w:pStyle w:val="TM1"/>
        <w:rPr>
          <w:rFonts w:asciiTheme="minorHAnsi" w:eastAsiaTheme="minorEastAsia" w:hAnsiTheme="minorHAnsi" w:cstheme="minorBidi"/>
          <w:b w:val="0"/>
          <w:bCs w:val="0"/>
          <w:iCs w:val="0"/>
          <w:noProof/>
          <w:sz w:val="22"/>
          <w:szCs w:val="22"/>
        </w:rPr>
      </w:pPr>
      <w:hyperlink w:anchor="_Toc201743802" w:history="1">
        <w:r w:rsidRPr="005B6612">
          <w:rPr>
            <w:rStyle w:val="Lienhypertexte"/>
            <w:rFonts w:cs="Times New Roman"/>
            <w:noProof/>
          </w:rPr>
          <w:t>Article 18</w:t>
        </w:r>
        <w:r w:rsidRPr="005B6612">
          <w:rPr>
            <w:rStyle w:val="Lienhypertexte"/>
            <w:noProof/>
          </w:rPr>
          <w:t xml:space="preserve"> Responsabilité - Assurances</w:t>
        </w:r>
        <w:r>
          <w:rPr>
            <w:noProof/>
            <w:webHidden/>
          </w:rPr>
          <w:tab/>
        </w:r>
        <w:r>
          <w:rPr>
            <w:noProof/>
            <w:webHidden/>
          </w:rPr>
          <w:fldChar w:fldCharType="begin"/>
        </w:r>
        <w:r>
          <w:rPr>
            <w:noProof/>
            <w:webHidden/>
          </w:rPr>
          <w:instrText xml:space="preserve"> PAGEREF _Toc201743802 \h </w:instrText>
        </w:r>
        <w:r>
          <w:rPr>
            <w:noProof/>
            <w:webHidden/>
          </w:rPr>
        </w:r>
        <w:r>
          <w:rPr>
            <w:noProof/>
            <w:webHidden/>
          </w:rPr>
          <w:fldChar w:fldCharType="separate"/>
        </w:r>
        <w:r>
          <w:rPr>
            <w:noProof/>
            <w:webHidden/>
          </w:rPr>
          <w:t>20</w:t>
        </w:r>
        <w:r>
          <w:rPr>
            <w:noProof/>
            <w:webHidden/>
          </w:rPr>
          <w:fldChar w:fldCharType="end"/>
        </w:r>
      </w:hyperlink>
    </w:p>
    <w:p w14:paraId="302ADDF9" w14:textId="2CFAE623" w:rsidR="00E34AAF" w:rsidRDefault="00E34AAF">
      <w:pPr>
        <w:pStyle w:val="TM1"/>
        <w:rPr>
          <w:rFonts w:asciiTheme="minorHAnsi" w:eastAsiaTheme="minorEastAsia" w:hAnsiTheme="minorHAnsi" w:cstheme="minorBidi"/>
          <w:b w:val="0"/>
          <w:bCs w:val="0"/>
          <w:iCs w:val="0"/>
          <w:noProof/>
          <w:sz w:val="22"/>
          <w:szCs w:val="22"/>
        </w:rPr>
      </w:pPr>
      <w:hyperlink w:anchor="_Toc201743803" w:history="1">
        <w:r w:rsidRPr="005B6612">
          <w:rPr>
            <w:rStyle w:val="Lienhypertexte"/>
            <w:rFonts w:cs="Times New Roman"/>
            <w:noProof/>
          </w:rPr>
          <w:t>Article 19</w:t>
        </w:r>
        <w:r w:rsidRPr="005B6612">
          <w:rPr>
            <w:rStyle w:val="Lienhypertexte"/>
            <w:noProof/>
          </w:rPr>
          <w:t xml:space="preserve"> Fin du contrat</w:t>
        </w:r>
        <w:r>
          <w:rPr>
            <w:noProof/>
            <w:webHidden/>
          </w:rPr>
          <w:tab/>
        </w:r>
        <w:r>
          <w:rPr>
            <w:noProof/>
            <w:webHidden/>
          </w:rPr>
          <w:fldChar w:fldCharType="begin"/>
        </w:r>
        <w:r>
          <w:rPr>
            <w:noProof/>
            <w:webHidden/>
          </w:rPr>
          <w:instrText xml:space="preserve"> PAGEREF _Toc201743803 \h </w:instrText>
        </w:r>
        <w:r>
          <w:rPr>
            <w:noProof/>
            <w:webHidden/>
          </w:rPr>
        </w:r>
        <w:r>
          <w:rPr>
            <w:noProof/>
            <w:webHidden/>
          </w:rPr>
          <w:fldChar w:fldCharType="separate"/>
        </w:r>
        <w:r>
          <w:rPr>
            <w:noProof/>
            <w:webHidden/>
          </w:rPr>
          <w:t>20</w:t>
        </w:r>
        <w:r>
          <w:rPr>
            <w:noProof/>
            <w:webHidden/>
          </w:rPr>
          <w:fldChar w:fldCharType="end"/>
        </w:r>
      </w:hyperlink>
    </w:p>
    <w:p w14:paraId="779268A7" w14:textId="246FA6B6" w:rsidR="00E34AAF" w:rsidRDefault="00E34AAF">
      <w:pPr>
        <w:pStyle w:val="TM2"/>
        <w:rPr>
          <w:rFonts w:asciiTheme="minorHAnsi" w:eastAsiaTheme="minorEastAsia" w:hAnsiTheme="minorHAnsi" w:cstheme="minorBidi"/>
          <w:bCs w:val="0"/>
          <w:noProof/>
          <w:color w:val="auto"/>
          <w:sz w:val="22"/>
        </w:rPr>
      </w:pPr>
      <w:hyperlink w:anchor="_Toc201743804" w:history="1">
        <w:r w:rsidRPr="005B6612">
          <w:rPr>
            <w:rStyle w:val="Lienhypertexte"/>
            <w:rFonts w:cs="Times New Roman"/>
            <w:noProof/>
          </w:rPr>
          <w:t>19.1</w:t>
        </w:r>
        <w:r w:rsidRPr="005B6612">
          <w:rPr>
            <w:rStyle w:val="Lienhypertexte"/>
            <w:noProof/>
          </w:rPr>
          <w:t xml:space="preserve"> Résiliation pour faute</w:t>
        </w:r>
        <w:r>
          <w:rPr>
            <w:noProof/>
            <w:webHidden/>
          </w:rPr>
          <w:tab/>
        </w:r>
        <w:r>
          <w:rPr>
            <w:noProof/>
            <w:webHidden/>
          </w:rPr>
          <w:fldChar w:fldCharType="begin"/>
        </w:r>
        <w:r>
          <w:rPr>
            <w:noProof/>
            <w:webHidden/>
          </w:rPr>
          <w:instrText xml:space="preserve"> PAGEREF _Toc201743804 \h </w:instrText>
        </w:r>
        <w:r>
          <w:rPr>
            <w:noProof/>
            <w:webHidden/>
          </w:rPr>
        </w:r>
        <w:r>
          <w:rPr>
            <w:noProof/>
            <w:webHidden/>
          </w:rPr>
          <w:fldChar w:fldCharType="separate"/>
        </w:r>
        <w:r>
          <w:rPr>
            <w:noProof/>
            <w:webHidden/>
          </w:rPr>
          <w:t>20</w:t>
        </w:r>
        <w:r>
          <w:rPr>
            <w:noProof/>
            <w:webHidden/>
          </w:rPr>
          <w:fldChar w:fldCharType="end"/>
        </w:r>
      </w:hyperlink>
    </w:p>
    <w:p w14:paraId="46C5CEA5" w14:textId="54627DFD" w:rsidR="00E34AAF" w:rsidRDefault="00E34AAF">
      <w:pPr>
        <w:pStyle w:val="TM2"/>
        <w:rPr>
          <w:rFonts w:asciiTheme="minorHAnsi" w:eastAsiaTheme="minorEastAsia" w:hAnsiTheme="minorHAnsi" w:cstheme="minorBidi"/>
          <w:bCs w:val="0"/>
          <w:noProof/>
          <w:color w:val="auto"/>
          <w:sz w:val="22"/>
        </w:rPr>
      </w:pPr>
      <w:hyperlink w:anchor="_Toc201743805" w:history="1">
        <w:r w:rsidRPr="005B6612">
          <w:rPr>
            <w:rStyle w:val="Lienhypertexte"/>
            <w:rFonts w:cs="Times New Roman"/>
            <w:noProof/>
          </w:rPr>
          <w:t>19.2</w:t>
        </w:r>
        <w:r w:rsidRPr="005B6612">
          <w:rPr>
            <w:rStyle w:val="Lienhypertexte"/>
            <w:noProof/>
          </w:rPr>
          <w:t xml:space="preserve"> Résiliation pour motifs d’intérêt général</w:t>
        </w:r>
        <w:r>
          <w:rPr>
            <w:noProof/>
            <w:webHidden/>
          </w:rPr>
          <w:tab/>
        </w:r>
        <w:r>
          <w:rPr>
            <w:noProof/>
            <w:webHidden/>
          </w:rPr>
          <w:fldChar w:fldCharType="begin"/>
        </w:r>
        <w:r>
          <w:rPr>
            <w:noProof/>
            <w:webHidden/>
          </w:rPr>
          <w:instrText xml:space="preserve"> PAGEREF _Toc201743805 \h </w:instrText>
        </w:r>
        <w:r>
          <w:rPr>
            <w:noProof/>
            <w:webHidden/>
          </w:rPr>
        </w:r>
        <w:r>
          <w:rPr>
            <w:noProof/>
            <w:webHidden/>
          </w:rPr>
          <w:fldChar w:fldCharType="separate"/>
        </w:r>
        <w:r>
          <w:rPr>
            <w:noProof/>
            <w:webHidden/>
          </w:rPr>
          <w:t>21</w:t>
        </w:r>
        <w:r>
          <w:rPr>
            <w:noProof/>
            <w:webHidden/>
          </w:rPr>
          <w:fldChar w:fldCharType="end"/>
        </w:r>
      </w:hyperlink>
    </w:p>
    <w:p w14:paraId="2D957313" w14:textId="05E47DA5" w:rsidR="00E34AAF" w:rsidRDefault="00E34AAF">
      <w:pPr>
        <w:pStyle w:val="TM2"/>
        <w:rPr>
          <w:rFonts w:asciiTheme="minorHAnsi" w:eastAsiaTheme="minorEastAsia" w:hAnsiTheme="minorHAnsi" w:cstheme="minorBidi"/>
          <w:bCs w:val="0"/>
          <w:noProof/>
          <w:color w:val="auto"/>
          <w:sz w:val="22"/>
        </w:rPr>
      </w:pPr>
      <w:hyperlink w:anchor="_Toc201743806" w:history="1">
        <w:r w:rsidRPr="005B6612">
          <w:rPr>
            <w:rStyle w:val="Lienhypertexte"/>
            <w:rFonts w:cs="Times New Roman"/>
            <w:noProof/>
          </w:rPr>
          <w:t>19.3</w:t>
        </w:r>
        <w:r w:rsidRPr="005B6612">
          <w:rPr>
            <w:rStyle w:val="Lienhypertexte"/>
            <w:noProof/>
          </w:rPr>
          <w:t xml:space="preserve"> Cas de force majeure</w:t>
        </w:r>
        <w:r>
          <w:rPr>
            <w:noProof/>
            <w:webHidden/>
          </w:rPr>
          <w:tab/>
        </w:r>
        <w:r>
          <w:rPr>
            <w:noProof/>
            <w:webHidden/>
          </w:rPr>
          <w:fldChar w:fldCharType="begin"/>
        </w:r>
        <w:r>
          <w:rPr>
            <w:noProof/>
            <w:webHidden/>
          </w:rPr>
          <w:instrText xml:space="preserve"> PAGEREF _Toc201743806 \h </w:instrText>
        </w:r>
        <w:r>
          <w:rPr>
            <w:noProof/>
            <w:webHidden/>
          </w:rPr>
        </w:r>
        <w:r>
          <w:rPr>
            <w:noProof/>
            <w:webHidden/>
          </w:rPr>
          <w:fldChar w:fldCharType="separate"/>
        </w:r>
        <w:r>
          <w:rPr>
            <w:noProof/>
            <w:webHidden/>
          </w:rPr>
          <w:t>21</w:t>
        </w:r>
        <w:r>
          <w:rPr>
            <w:noProof/>
            <w:webHidden/>
          </w:rPr>
          <w:fldChar w:fldCharType="end"/>
        </w:r>
      </w:hyperlink>
    </w:p>
    <w:p w14:paraId="596C5F4A" w14:textId="4C666D9D" w:rsidR="00E34AAF" w:rsidRDefault="00E34AAF">
      <w:pPr>
        <w:pStyle w:val="TM2"/>
        <w:rPr>
          <w:rFonts w:asciiTheme="minorHAnsi" w:eastAsiaTheme="minorEastAsia" w:hAnsiTheme="minorHAnsi" w:cstheme="minorBidi"/>
          <w:bCs w:val="0"/>
          <w:noProof/>
          <w:color w:val="auto"/>
          <w:sz w:val="22"/>
        </w:rPr>
      </w:pPr>
      <w:hyperlink w:anchor="_Toc201743807" w:history="1">
        <w:r w:rsidRPr="005B6612">
          <w:rPr>
            <w:rStyle w:val="Lienhypertexte"/>
            <w:rFonts w:cs="Times New Roman"/>
            <w:noProof/>
          </w:rPr>
          <w:t>19.4</w:t>
        </w:r>
        <w:r w:rsidRPr="005B6612">
          <w:rPr>
            <w:rStyle w:val="Lienhypertexte"/>
            <w:noProof/>
          </w:rPr>
          <w:t xml:space="preserve"> Sort des biens</w:t>
        </w:r>
        <w:r>
          <w:rPr>
            <w:noProof/>
            <w:webHidden/>
          </w:rPr>
          <w:tab/>
        </w:r>
        <w:r>
          <w:rPr>
            <w:noProof/>
            <w:webHidden/>
          </w:rPr>
          <w:fldChar w:fldCharType="begin"/>
        </w:r>
        <w:r>
          <w:rPr>
            <w:noProof/>
            <w:webHidden/>
          </w:rPr>
          <w:instrText xml:space="preserve"> PAGEREF _Toc201743807 \h </w:instrText>
        </w:r>
        <w:r>
          <w:rPr>
            <w:noProof/>
            <w:webHidden/>
          </w:rPr>
        </w:r>
        <w:r>
          <w:rPr>
            <w:noProof/>
            <w:webHidden/>
          </w:rPr>
          <w:fldChar w:fldCharType="separate"/>
        </w:r>
        <w:r>
          <w:rPr>
            <w:noProof/>
            <w:webHidden/>
          </w:rPr>
          <w:t>21</w:t>
        </w:r>
        <w:r>
          <w:rPr>
            <w:noProof/>
            <w:webHidden/>
          </w:rPr>
          <w:fldChar w:fldCharType="end"/>
        </w:r>
      </w:hyperlink>
    </w:p>
    <w:p w14:paraId="2D908D59" w14:textId="3284C355" w:rsidR="00E34AAF" w:rsidRDefault="00E34AAF">
      <w:pPr>
        <w:pStyle w:val="TM2"/>
        <w:rPr>
          <w:rFonts w:asciiTheme="minorHAnsi" w:eastAsiaTheme="minorEastAsia" w:hAnsiTheme="minorHAnsi" w:cstheme="minorBidi"/>
          <w:bCs w:val="0"/>
          <w:noProof/>
          <w:color w:val="auto"/>
          <w:sz w:val="22"/>
        </w:rPr>
      </w:pPr>
      <w:hyperlink w:anchor="_Toc201743808" w:history="1">
        <w:r w:rsidRPr="005B6612">
          <w:rPr>
            <w:rStyle w:val="Lienhypertexte"/>
            <w:rFonts w:cs="Times New Roman"/>
            <w:noProof/>
          </w:rPr>
          <w:t>19.5</w:t>
        </w:r>
        <w:r w:rsidRPr="005B6612">
          <w:rPr>
            <w:rStyle w:val="Lienhypertexte"/>
            <w:noProof/>
          </w:rPr>
          <w:t xml:space="preserve"> Fin de l’autorisation</w:t>
        </w:r>
        <w:r>
          <w:rPr>
            <w:noProof/>
            <w:webHidden/>
          </w:rPr>
          <w:tab/>
        </w:r>
        <w:r>
          <w:rPr>
            <w:noProof/>
            <w:webHidden/>
          </w:rPr>
          <w:fldChar w:fldCharType="begin"/>
        </w:r>
        <w:r>
          <w:rPr>
            <w:noProof/>
            <w:webHidden/>
          </w:rPr>
          <w:instrText xml:space="preserve"> PAGEREF _Toc201743808 \h </w:instrText>
        </w:r>
        <w:r>
          <w:rPr>
            <w:noProof/>
            <w:webHidden/>
          </w:rPr>
        </w:r>
        <w:r>
          <w:rPr>
            <w:noProof/>
            <w:webHidden/>
          </w:rPr>
          <w:fldChar w:fldCharType="separate"/>
        </w:r>
        <w:r>
          <w:rPr>
            <w:noProof/>
            <w:webHidden/>
          </w:rPr>
          <w:t>21</w:t>
        </w:r>
        <w:r>
          <w:rPr>
            <w:noProof/>
            <w:webHidden/>
          </w:rPr>
          <w:fldChar w:fldCharType="end"/>
        </w:r>
      </w:hyperlink>
    </w:p>
    <w:p w14:paraId="1D8B65A7" w14:textId="6A49ED2A" w:rsidR="00E34AAF" w:rsidRDefault="00E34AAF">
      <w:pPr>
        <w:pStyle w:val="TM1"/>
        <w:rPr>
          <w:rFonts w:asciiTheme="minorHAnsi" w:eastAsiaTheme="minorEastAsia" w:hAnsiTheme="minorHAnsi" w:cstheme="minorBidi"/>
          <w:b w:val="0"/>
          <w:bCs w:val="0"/>
          <w:iCs w:val="0"/>
          <w:noProof/>
          <w:sz w:val="22"/>
          <w:szCs w:val="22"/>
        </w:rPr>
      </w:pPr>
      <w:hyperlink w:anchor="_Toc201743809" w:history="1">
        <w:r w:rsidRPr="005B6612">
          <w:rPr>
            <w:rStyle w:val="Lienhypertexte"/>
            <w:rFonts w:cs="Times New Roman"/>
            <w:noProof/>
          </w:rPr>
          <w:t>Article 20</w:t>
        </w:r>
        <w:r w:rsidRPr="005B6612">
          <w:rPr>
            <w:rStyle w:val="Lienhypertexte"/>
            <w:noProof/>
          </w:rPr>
          <w:t xml:space="preserve"> Litiges - langues</w:t>
        </w:r>
        <w:r>
          <w:rPr>
            <w:noProof/>
            <w:webHidden/>
          </w:rPr>
          <w:tab/>
        </w:r>
        <w:r>
          <w:rPr>
            <w:noProof/>
            <w:webHidden/>
          </w:rPr>
          <w:fldChar w:fldCharType="begin"/>
        </w:r>
        <w:r>
          <w:rPr>
            <w:noProof/>
            <w:webHidden/>
          </w:rPr>
          <w:instrText xml:space="preserve"> PAGEREF _Toc201743809 \h </w:instrText>
        </w:r>
        <w:r>
          <w:rPr>
            <w:noProof/>
            <w:webHidden/>
          </w:rPr>
        </w:r>
        <w:r>
          <w:rPr>
            <w:noProof/>
            <w:webHidden/>
          </w:rPr>
          <w:fldChar w:fldCharType="separate"/>
        </w:r>
        <w:r>
          <w:rPr>
            <w:noProof/>
            <w:webHidden/>
          </w:rPr>
          <w:t>21</w:t>
        </w:r>
        <w:r>
          <w:rPr>
            <w:noProof/>
            <w:webHidden/>
          </w:rPr>
          <w:fldChar w:fldCharType="end"/>
        </w:r>
      </w:hyperlink>
    </w:p>
    <w:p w14:paraId="07C774BD" w14:textId="79F904A2" w:rsidR="00E34AAF" w:rsidRDefault="00E34AAF">
      <w:pPr>
        <w:pStyle w:val="TM1"/>
        <w:rPr>
          <w:rFonts w:asciiTheme="minorHAnsi" w:eastAsiaTheme="minorEastAsia" w:hAnsiTheme="minorHAnsi" w:cstheme="minorBidi"/>
          <w:b w:val="0"/>
          <w:bCs w:val="0"/>
          <w:iCs w:val="0"/>
          <w:noProof/>
          <w:sz w:val="22"/>
          <w:szCs w:val="22"/>
        </w:rPr>
      </w:pPr>
      <w:hyperlink w:anchor="_Toc201743810" w:history="1">
        <w:r w:rsidRPr="005B6612">
          <w:rPr>
            <w:rStyle w:val="Lienhypertexte"/>
            <w:rFonts w:cs="Times New Roman"/>
            <w:noProof/>
          </w:rPr>
          <w:t>Article 21</w:t>
        </w:r>
        <w:r w:rsidRPr="005B6612">
          <w:rPr>
            <w:rStyle w:val="Lienhypertexte"/>
            <w:noProof/>
            <w:highlight w:val="lightGray"/>
          </w:rPr>
          <w:t xml:space="preserve"> </w:t>
        </w:r>
        <w:r w:rsidRPr="005B6612">
          <w:rPr>
            <w:rStyle w:val="Lienhypertexte"/>
            <w:noProof/>
            <w:highlight w:val="lightGray"/>
          </w:rPr>
          <w:sym w:font="Wingdings" w:char="F046"/>
        </w:r>
        <w:r w:rsidRPr="005B6612">
          <w:rPr>
            <w:rStyle w:val="Lienhypertexte"/>
            <w:noProof/>
          </w:rPr>
          <w:t>Signature des parties</w:t>
        </w:r>
        <w:r>
          <w:rPr>
            <w:noProof/>
            <w:webHidden/>
          </w:rPr>
          <w:tab/>
        </w:r>
        <w:r>
          <w:rPr>
            <w:noProof/>
            <w:webHidden/>
          </w:rPr>
          <w:fldChar w:fldCharType="begin"/>
        </w:r>
        <w:r>
          <w:rPr>
            <w:noProof/>
            <w:webHidden/>
          </w:rPr>
          <w:instrText xml:space="preserve"> PAGEREF _Toc201743810 \h </w:instrText>
        </w:r>
        <w:r>
          <w:rPr>
            <w:noProof/>
            <w:webHidden/>
          </w:rPr>
        </w:r>
        <w:r>
          <w:rPr>
            <w:noProof/>
            <w:webHidden/>
          </w:rPr>
          <w:fldChar w:fldCharType="separate"/>
        </w:r>
        <w:r>
          <w:rPr>
            <w:noProof/>
            <w:webHidden/>
          </w:rPr>
          <w:t>22</w:t>
        </w:r>
        <w:r>
          <w:rPr>
            <w:noProof/>
            <w:webHidden/>
          </w:rPr>
          <w:fldChar w:fldCharType="end"/>
        </w:r>
      </w:hyperlink>
    </w:p>
    <w:p w14:paraId="7E116085" w14:textId="51D9FF63" w:rsidR="00E22FCF" w:rsidRDefault="001C51E6" w:rsidP="008505D9">
      <w:r>
        <w:fldChar w:fldCharType="end"/>
      </w:r>
    </w:p>
    <w:p w14:paraId="4C2712DA" w14:textId="77777777" w:rsidR="008505D9" w:rsidRPr="008505D9" w:rsidRDefault="008505D9" w:rsidP="008505D9"/>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5F4F36AC" w14:textId="7CF1533A" w:rsidR="00873D6B" w:rsidRDefault="00873D6B" w:rsidP="00873D6B">
      <w:pPr>
        <w:pStyle w:val="Titre1"/>
      </w:pPr>
      <w:bookmarkStart w:id="1" w:name="_Toc251755465"/>
      <w:bookmarkStart w:id="2" w:name="_Toc251755541"/>
      <w:bookmarkStart w:id="3" w:name="_Toc251761062"/>
      <w:bookmarkStart w:id="4" w:name="_Toc295160927"/>
      <w:bookmarkStart w:id="5" w:name="_Toc295312885"/>
      <w:bookmarkStart w:id="6" w:name="_Toc201743741"/>
      <w:r>
        <w:lastRenderedPageBreak/>
        <w:t>Présentation des parties</w:t>
      </w:r>
      <w:bookmarkEnd w:id="6"/>
    </w:p>
    <w:p w14:paraId="7F1DA9A1" w14:textId="1162D0D1" w:rsidR="00614C3E" w:rsidRPr="00AF472A" w:rsidRDefault="00614C3E" w:rsidP="00066D41">
      <w:r w:rsidRPr="00AF472A">
        <w:t>L</w:t>
      </w:r>
      <w:r w:rsidR="00873D6B">
        <w:t xml:space="preserve">a présente </w:t>
      </w:r>
      <w:r w:rsidR="001112A1">
        <w:t>autor</w:t>
      </w:r>
      <w:r w:rsidR="00873D6B">
        <w:t xml:space="preserve">isation d’occupation temporaire </w:t>
      </w:r>
      <w:r w:rsidR="001112A1">
        <w:t xml:space="preserve">du domaine public </w:t>
      </w:r>
      <w:r w:rsidR="00873D6B">
        <w:t xml:space="preserve">(AOT) </w:t>
      </w:r>
      <w:r w:rsidR="001112A1">
        <w:t xml:space="preserve">est conclue entre </w:t>
      </w:r>
      <w:r w:rsidRPr="00AF472A">
        <w:t>:</w:t>
      </w:r>
    </w:p>
    <w:p w14:paraId="30018072" w14:textId="77777777" w:rsidR="00614C3E" w:rsidRPr="00626A7A" w:rsidRDefault="00614C3E" w:rsidP="00066D41">
      <w:pPr>
        <w:rPr>
          <w:b/>
        </w:rPr>
      </w:pPr>
      <w:r w:rsidRPr="00626A7A">
        <w:rPr>
          <w:b/>
        </w:rPr>
        <w:t xml:space="preserve">D’une part, </w:t>
      </w:r>
    </w:p>
    <w:p w14:paraId="44A9721A" w14:textId="3F426875"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20585404" w:rsidR="00626A7A" w:rsidRPr="00926001" w:rsidRDefault="00626A7A" w:rsidP="00626A7A">
      <w:pPr>
        <w:rPr>
          <w:iCs/>
        </w:rPr>
      </w:pPr>
      <w:r w:rsidRPr="00926001">
        <w:t>13213 Marseille cedex 02</w:t>
      </w:r>
    </w:p>
    <w:p w14:paraId="7AF29BC0" w14:textId="2B7E685C" w:rsidR="00626A7A" w:rsidRPr="00926001" w:rsidRDefault="00626A7A" w:rsidP="00626A7A">
      <w:r w:rsidRPr="00926001">
        <w:t xml:space="preserve">Représenté par : </w:t>
      </w:r>
      <w:r w:rsidR="008333E7">
        <w:t xml:space="preserve">le Président du </w:t>
      </w:r>
      <w:r w:rsidR="002304D6">
        <w:t>Mucem</w:t>
      </w:r>
      <w:r w:rsidR="008333E7">
        <w:t xml:space="preserve"> ou </w:t>
      </w:r>
      <w:r w:rsidR="001112A1">
        <w:t xml:space="preserve">l’Administrateur </w:t>
      </w:r>
      <w:r w:rsidR="008333E7">
        <w:t>Général</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452A0F65" w14:textId="70795C5A" w:rsidR="00614C3E" w:rsidRPr="003559AE" w:rsidRDefault="00C92424" w:rsidP="0001715E">
      <w:pPr>
        <w:spacing w:before="120"/>
      </w:pPr>
      <w:r w:rsidRPr="00C92424">
        <w:rPr>
          <w:caps/>
          <w:color w:val="FF0000"/>
          <w:sz w:val="36"/>
          <w:szCs w:val="36"/>
          <w:highlight w:val="lightGray"/>
        </w:rPr>
        <w:sym w:font="Wingdings" w:char="F046"/>
      </w:r>
      <w:r w:rsidR="001C51E6"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AD0AA5">
        <w:rPr>
          <w:rFonts w:ascii="CGP" w:hAnsi="CGP"/>
          <w:b/>
        </w:rPr>
      </w:r>
      <w:r w:rsidR="00AD0AA5">
        <w:rPr>
          <w:rFonts w:ascii="CGP" w:hAnsi="CGP"/>
          <w:b/>
        </w:rPr>
        <w:fldChar w:fldCharType="separate"/>
      </w:r>
      <w:r w:rsidR="001C51E6" w:rsidRPr="00AF472A">
        <w:rPr>
          <w:rFonts w:ascii="CGP" w:hAnsi="CGP"/>
          <w:b/>
        </w:rPr>
        <w:fldChar w:fldCharType="end"/>
      </w:r>
      <w:r w:rsidR="00614C3E" w:rsidRPr="00AF472A">
        <w:rPr>
          <w:rFonts w:ascii="CGP" w:hAnsi="CGP"/>
          <w:b/>
        </w:rPr>
        <w:t xml:space="preserve"> </w:t>
      </w:r>
      <w:r w:rsidR="00614C3E" w:rsidRPr="003559AE">
        <w:rPr>
          <w:b/>
        </w:rPr>
        <w:t>L’entreprise, cocontractant</w:t>
      </w:r>
      <w:r w:rsidR="00873D6B">
        <w:rPr>
          <w:b/>
        </w:rPr>
        <w:t>e</w:t>
      </w:r>
      <w:r w:rsidR="00614C3E" w:rsidRPr="003559AE">
        <w:rPr>
          <w:b/>
        </w:rPr>
        <w:t xml:space="preserve"> unique se présentant seul</w:t>
      </w:r>
      <w:r w:rsidR="00873D6B">
        <w:rPr>
          <w:b/>
        </w:rPr>
        <w:t>e</w:t>
      </w:r>
      <w:r w:rsidR="00614C3E" w:rsidRPr="003559AE">
        <w:t xml:space="preserve">, </w:t>
      </w:r>
      <w:r w:rsidR="00614C3E">
        <w:t>ci</w:t>
      </w:r>
      <w:r w:rsidR="00E1431E">
        <w:t>-après dénommé</w:t>
      </w:r>
      <w:r w:rsidR="00873D6B">
        <w:t>e</w:t>
      </w:r>
      <w:r w:rsidR="00E1431E">
        <w:t xml:space="preserve"> « le </w:t>
      </w:r>
      <w:r w:rsidR="00875AE3">
        <w:t>Bénéficiaire »</w:t>
      </w:r>
      <w:r w:rsidR="005331AD">
        <w:t xml:space="preserve"> ou « l’Occupant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AD0AA5">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AD0AA5">
        <w:fldChar w:fldCharType="separate"/>
      </w:r>
      <w:r w:rsidR="001C51E6" w:rsidRPr="00AF472A">
        <w:fldChar w:fldCharType="end"/>
      </w:r>
      <w:r w:rsidRPr="00AF472A">
        <w:t xml:space="preserve"> Ayant reçu pouvoir du représentant légal de l’entreprise</w:t>
      </w:r>
    </w:p>
    <w:p w14:paraId="3D166682" w14:textId="77777777" w:rsidR="00081FFC" w:rsidRDefault="00081FFC" w:rsidP="00E1431E"/>
    <w:p w14:paraId="395A1999" w14:textId="0241B15A" w:rsidR="00E1431E" w:rsidRPr="00062D32" w:rsidRDefault="00E1431E" w:rsidP="00E1431E">
      <w:r w:rsidRPr="00CC31F8">
        <w:t xml:space="preserve">Le </w:t>
      </w:r>
      <w:r w:rsidR="00873D6B">
        <w:t>Bénéficiaire</w:t>
      </w:r>
      <w:r w:rsidRPr="00CC31F8">
        <w:t xml:space="preserve"> est tenu de notifier</w:t>
      </w:r>
      <w:r w:rsidRPr="00062D32">
        <w:t xml:space="preserve"> sans délai </w:t>
      </w:r>
      <w:r w:rsidR="00A9181B" w:rsidRPr="00A9181B">
        <w:rPr>
          <w:b/>
          <w:u w:val="single"/>
        </w:rPr>
        <w:t xml:space="preserve">à la cellule achats du </w:t>
      </w:r>
      <w:r w:rsidR="002304D6" w:rsidRPr="00A9181B">
        <w:rPr>
          <w:b/>
          <w:u w:val="single"/>
        </w:rPr>
        <w:t>Mucem</w:t>
      </w:r>
      <w:r w:rsidRPr="00062D32">
        <w:t xml:space="preserve"> les modifications surven</w:t>
      </w:r>
      <w:r>
        <w:t xml:space="preserve">ant au cours de la durée de vie du </w:t>
      </w:r>
      <w:r w:rsidR="00591C85">
        <w:t>contrat</w:t>
      </w:r>
      <w:r w:rsidRPr="00062D32">
        <w:t xml:space="preserve"> et qui se rapportent :</w:t>
      </w:r>
    </w:p>
    <w:p w14:paraId="5094C8C0" w14:textId="6E6E7118" w:rsidR="00E1431E" w:rsidRPr="00062D32" w:rsidRDefault="00875AE3" w:rsidP="00E1431E">
      <w:pPr>
        <w:pStyle w:val="Listepuces"/>
      </w:pPr>
      <w:r w:rsidRPr="00062D32">
        <w:t>Aux</w:t>
      </w:r>
      <w:r w:rsidR="00E1431E" w:rsidRPr="00062D32">
        <w:t xml:space="preserve"> personnes ayant pouvoir de l’engager ;</w:t>
      </w:r>
    </w:p>
    <w:p w14:paraId="76E65EE4" w14:textId="733EA83D" w:rsidR="00E1431E" w:rsidRPr="00062D32" w:rsidRDefault="00875AE3" w:rsidP="00E1431E">
      <w:pPr>
        <w:pStyle w:val="Listepuces"/>
      </w:pPr>
      <w:r w:rsidRPr="00062D32">
        <w:t>À</w:t>
      </w:r>
      <w:r w:rsidR="00E1431E" w:rsidRPr="00062D32">
        <w:t xml:space="preserve"> la forme juridique sous laquelle il exerce son activité ;</w:t>
      </w:r>
    </w:p>
    <w:p w14:paraId="7ED3354E" w14:textId="4F817715" w:rsidR="00E1431E" w:rsidRPr="00062D32" w:rsidRDefault="00875AE3" w:rsidP="00E1431E">
      <w:pPr>
        <w:pStyle w:val="Listepuces"/>
      </w:pPr>
      <w:r w:rsidRPr="00062D32">
        <w:t>À</w:t>
      </w:r>
      <w:r w:rsidR="00E1431E" w:rsidRPr="00062D32">
        <w:t xml:space="preserve"> sa raison sociale ou à sa dénomination ;</w:t>
      </w:r>
    </w:p>
    <w:p w14:paraId="07B0E182" w14:textId="1D3DDD41" w:rsidR="00E1431E" w:rsidRPr="00062D32" w:rsidRDefault="00875AE3" w:rsidP="00E1431E">
      <w:pPr>
        <w:pStyle w:val="Listepuces"/>
      </w:pPr>
      <w:r w:rsidRPr="00062D32">
        <w:t>À</w:t>
      </w:r>
      <w:r w:rsidR="00E1431E" w:rsidRPr="00062D32">
        <w:t xml:space="preserve"> son adresse ou à son siège social ;</w:t>
      </w:r>
    </w:p>
    <w:p w14:paraId="27C7E88F" w14:textId="4FF48545" w:rsidR="00E1431E" w:rsidRPr="00062D32" w:rsidRDefault="00875AE3" w:rsidP="00E1431E">
      <w:pPr>
        <w:pStyle w:val="Listepuces"/>
      </w:pPr>
      <w:r w:rsidRPr="00062D32">
        <w:t>Aux</w:t>
      </w:r>
      <w:r w:rsidR="00E1431E" w:rsidRPr="00062D32">
        <w:t xml:space="preserve"> renseignements qu’il a fournis pour l</w:t>
      </w:r>
      <w:r w:rsidR="00E1431E">
        <w:t xml:space="preserve">’acceptation d’un sous-traitant </w:t>
      </w:r>
      <w:r w:rsidR="00E1431E" w:rsidRPr="00062D32">
        <w:t>et l’agrément de ses conditions de paiements ;</w:t>
      </w:r>
    </w:p>
    <w:p w14:paraId="3B316F7F" w14:textId="6EBAF27D" w:rsidR="00E1431E" w:rsidRPr="00062D32" w:rsidRDefault="00875AE3" w:rsidP="00E1431E">
      <w:pPr>
        <w:pStyle w:val="Listepuces"/>
      </w:pPr>
      <w:r w:rsidRPr="00062D32">
        <w:t>Et</w:t>
      </w:r>
      <w:r w:rsidR="00E1431E" w:rsidRPr="00062D32">
        <w:t xml:space="preserve"> de façon générale, à toutes les modifications importantes de fonctionnement de l’entreprise pouvant</w:t>
      </w:r>
      <w:r w:rsidR="00E1431E">
        <w:t xml:space="preserve"> influer sur le déroulement </w:t>
      </w:r>
      <w:r w:rsidR="00DD35BC">
        <w:t>de la convention</w:t>
      </w:r>
      <w:r w:rsidR="00E1431E" w:rsidRPr="00062D32">
        <w:t>.</w:t>
      </w:r>
    </w:p>
    <w:p w14:paraId="728F21CB" w14:textId="2D3D76CE"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873D6B">
        <w:t>Bénéficiaire</w:t>
      </w:r>
      <w:r w:rsidRPr="00062D32">
        <w:t xml:space="preserve"> ne pourra </w:t>
      </w:r>
      <w:r>
        <w:t xml:space="preserve">pas </w:t>
      </w:r>
      <w:r w:rsidRPr="00062D32">
        <w:t xml:space="preserve">invoquer </w:t>
      </w:r>
      <w:r w:rsidRPr="00A046A7">
        <w:t>cette erreur pour contester les pénalités qu’il pourrait encourir en cas de retard.</w:t>
      </w:r>
    </w:p>
    <w:p w14:paraId="641E1520" w14:textId="2A037DA7" w:rsidR="00E1431E" w:rsidRDefault="00E1431E" w:rsidP="00E1431E">
      <w:r w:rsidRPr="00A046A7">
        <w:t xml:space="preserve">En cas de non communication des modifications, le </w:t>
      </w:r>
      <w:r w:rsidR="00591C85">
        <w:t>contrat</w:t>
      </w:r>
      <w:r w:rsidRPr="00A046A7">
        <w:t xml:space="preserve"> pourra être résilié pour faute du </w:t>
      </w:r>
      <w:r w:rsidR="00B869EF">
        <w:t>Bénéficiaire</w:t>
      </w:r>
      <w:r w:rsidRPr="00A046A7">
        <w:t>.</w:t>
      </w:r>
    </w:p>
    <w:p w14:paraId="122F2E8D" w14:textId="5FA65BAA" w:rsidR="00B869EF" w:rsidRDefault="00B869EF" w:rsidP="00B869EF">
      <w:r w:rsidRPr="00B869EF">
        <w:t>Toute opération entraînant changement de contrôle au sens de l’articl</w:t>
      </w:r>
      <w:r w:rsidR="00C633FB">
        <w:t xml:space="preserve">e L233-3 du Code de </w:t>
      </w:r>
      <w:r>
        <w:t>Commerce</w:t>
      </w:r>
      <w:r w:rsidRPr="00B869EF">
        <w:t xml:space="preserve"> vaut,</w:t>
      </w:r>
      <w:r>
        <w:t xml:space="preserve"> cession </w:t>
      </w:r>
      <w:r w:rsidRPr="00B869EF">
        <w:t>de la convention.</w:t>
      </w:r>
    </w:p>
    <w:p w14:paraId="2D2BDD03" w14:textId="77777777" w:rsidR="00B869EF" w:rsidRPr="00062D32" w:rsidRDefault="00B869EF" w:rsidP="00E1431E"/>
    <w:p w14:paraId="06A72B11" w14:textId="62F83EB7" w:rsidR="00906DE9" w:rsidRPr="00F07F6E" w:rsidRDefault="00B869EF" w:rsidP="006039DC">
      <w:pPr>
        <w:pStyle w:val="Titre1"/>
      </w:pPr>
      <w:bookmarkStart w:id="7" w:name="_Toc42680817"/>
      <w:bookmarkStart w:id="8" w:name="_Toc42680830"/>
      <w:bookmarkStart w:id="9" w:name="_Toc42680831"/>
      <w:bookmarkStart w:id="10" w:name="_Toc333412607"/>
      <w:bookmarkStart w:id="11" w:name="_Toc251755466"/>
      <w:bookmarkStart w:id="12" w:name="_Toc251755542"/>
      <w:bookmarkStart w:id="13" w:name="_Toc251761063"/>
      <w:bookmarkStart w:id="14" w:name="_Toc295160928"/>
      <w:bookmarkStart w:id="15" w:name="_Toc295312886"/>
      <w:bookmarkStart w:id="16" w:name="_Ref318106763"/>
      <w:bookmarkStart w:id="17" w:name="_Toc251755469"/>
      <w:bookmarkStart w:id="18" w:name="_Toc251755545"/>
      <w:bookmarkStart w:id="19" w:name="_Toc251761066"/>
      <w:bookmarkStart w:id="20" w:name="_Toc295160931"/>
      <w:bookmarkStart w:id="21" w:name="_Toc295312889"/>
      <w:bookmarkStart w:id="22" w:name="_Toc201743742"/>
      <w:bookmarkEnd w:id="1"/>
      <w:bookmarkEnd w:id="2"/>
      <w:bookmarkEnd w:id="3"/>
      <w:bookmarkEnd w:id="4"/>
      <w:bookmarkEnd w:id="5"/>
      <w:bookmarkEnd w:id="7"/>
      <w:bookmarkEnd w:id="8"/>
      <w:bookmarkEnd w:id="9"/>
      <w:r>
        <w:lastRenderedPageBreak/>
        <w:t xml:space="preserve">Caractère </w:t>
      </w:r>
      <w:r w:rsidR="00EA7224">
        <w:t>et objet</w:t>
      </w:r>
      <w:r w:rsidR="00906DE9" w:rsidRPr="00F07F6E">
        <w:t xml:space="preserve"> </w:t>
      </w:r>
      <w:bookmarkEnd w:id="10"/>
      <w:r w:rsidR="002B7E46">
        <w:t>d</w:t>
      </w:r>
      <w:r w:rsidR="00F03BAC">
        <w:t>e l’AOT</w:t>
      </w:r>
      <w:bookmarkEnd w:id="22"/>
    </w:p>
    <w:p w14:paraId="1BC6AAF0" w14:textId="3C7CA747" w:rsidR="00E324C4" w:rsidRPr="00B869EF" w:rsidRDefault="00EA7224" w:rsidP="00A9204C">
      <w:pPr>
        <w:rPr>
          <w:bCs/>
          <w:iCs/>
        </w:rPr>
      </w:pPr>
      <w:r w:rsidRPr="003D6625">
        <w:t xml:space="preserve">Le </w:t>
      </w:r>
      <w:r w:rsidR="000B673D">
        <w:t xml:space="preserve">présent </w:t>
      </w:r>
      <w:r w:rsidR="00591C85">
        <w:t>contrat</w:t>
      </w:r>
      <w:r w:rsidRPr="003D6625">
        <w:t xml:space="preserve"> </w:t>
      </w:r>
      <w:r>
        <w:t>est un</w:t>
      </w:r>
      <w:r w:rsidR="00DD35BC">
        <w:t>e autorisation d’occupation temporaire</w:t>
      </w:r>
      <w:r w:rsidR="00E20078">
        <w:t xml:space="preserve"> </w:t>
      </w:r>
      <w:r w:rsidR="00DD35BC" w:rsidRPr="00DD35BC">
        <w:t xml:space="preserve">du domaine public </w:t>
      </w:r>
      <w:r w:rsidR="00C633FB">
        <w:t>conclue</w:t>
      </w:r>
      <w:r w:rsidR="00C633FB" w:rsidRPr="00DD35BC">
        <w:t xml:space="preserve"> </w:t>
      </w:r>
      <w:r w:rsidR="00DD35BC" w:rsidRPr="00DD35BC">
        <w:t>en application</w:t>
      </w:r>
      <w:r w:rsidR="00DD35BC" w:rsidRPr="00DD35BC">
        <w:rPr>
          <w:bCs/>
          <w:iCs/>
        </w:rPr>
        <w:t xml:space="preserve"> de</w:t>
      </w:r>
      <w:r w:rsidR="005B7738">
        <w:rPr>
          <w:bCs/>
          <w:iCs/>
        </w:rPr>
        <w:t xml:space="preserve">s articles </w:t>
      </w:r>
      <w:r w:rsidR="00DD35BC" w:rsidRPr="00DD35BC">
        <w:rPr>
          <w:bCs/>
          <w:iCs/>
        </w:rPr>
        <w:t>L.</w:t>
      </w:r>
      <w:r w:rsidR="005B7738">
        <w:rPr>
          <w:bCs/>
          <w:iCs/>
        </w:rPr>
        <w:t>2122-6 et suivants</w:t>
      </w:r>
      <w:r w:rsidR="00DD35BC" w:rsidRPr="00DD35BC">
        <w:rPr>
          <w:bCs/>
          <w:iCs/>
        </w:rPr>
        <w:t xml:space="preserve"> du </w:t>
      </w:r>
      <w:r w:rsidR="00E71A95">
        <w:rPr>
          <w:bCs/>
          <w:iCs/>
        </w:rPr>
        <w:t>C</w:t>
      </w:r>
      <w:r w:rsidR="00DD35BC" w:rsidRPr="00DD35BC">
        <w:rPr>
          <w:bCs/>
          <w:iCs/>
        </w:rPr>
        <w:t>ode général de la propriété des personnes publiques</w:t>
      </w:r>
      <w:r w:rsidR="00B869EF">
        <w:rPr>
          <w:bCs/>
          <w:iCs/>
        </w:rPr>
        <w:t xml:space="preserve"> (CGPPP)</w:t>
      </w:r>
      <w:r w:rsidR="003E5E69">
        <w:rPr>
          <w:bCs/>
          <w:iCs/>
        </w:rPr>
        <w:t>.</w:t>
      </w:r>
      <w:r w:rsidR="005B7738" w:rsidRPr="005B7738">
        <w:t xml:space="preserve"> </w:t>
      </w:r>
    </w:p>
    <w:p w14:paraId="4F3A74FD" w14:textId="10E7C0E5" w:rsidR="00B869EF" w:rsidRDefault="00B869EF" w:rsidP="00A9204C">
      <w:r w:rsidRPr="00B869EF">
        <w:t>La présente convention est accordée à titre précaire, révocable et personnel au Bénéficiaire.</w:t>
      </w:r>
    </w:p>
    <w:p w14:paraId="37198B86" w14:textId="3EF13D33" w:rsidR="00B869EF" w:rsidRDefault="00DD35BC" w:rsidP="00DD35BC">
      <w:r>
        <w:t xml:space="preserve">La présente </w:t>
      </w:r>
      <w:r w:rsidR="00F03BAC">
        <w:t>AOT</w:t>
      </w:r>
      <w:r>
        <w:t xml:space="preserve"> a pour objet la </w:t>
      </w:r>
      <w:r>
        <w:rPr>
          <w:b/>
        </w:rPr>
        <w:t>mise à disposition, la maintenance et le réapprovisionnement de distributeurs de boissons</w:t>
      </w:r>
      <w:r w:rsidR="001936E5">
        <w:rPr>
          <w:b/>
        </w:rPr>
        <w:t xml:space="preserve">, </w:t>
      </w:r>
      <w:r>
        <w:rPr>
          <w:b/>
        </w:rPr>
        <w:t>de denrées alimentaires</w:t>
      </w:r>
      <w:r w:rsidR="001936E5">
        <w:rPr>
          <w:b/>
        </w:rPr>
        <w:t xml:space="preserve"> et de produits d’hygiène</w:t>
      </w:r>
    </w:p>
    <w:p w14:paraId="4C027DF8" w14:textId="05002F55" w:rsidR="00DD35BC" w:rsidRPr="007944B6" w:rsidRDefault="00B869EF" w:rsidP="00DD35BC">
      <w:pPr>
        <w:rPr>
          <w:b/>
        </w:rPr>
      </w:pPr>
      <w:r w:rsidRPr="00B869EF">
        <w:t>La prése</w:t>
      </w:r>
      <w:r>
        <w:t xml:space="preserve">nte autorisation </w:t>
      </w:r>
      <w:r w:rsidRPr="00B869EF">
        <w:t xml:space="preserve">est </w:t>
      </w:r>
      <w:r>
        <w:t xml:space="preserve">acceptée </w:t>
      </w:r>
      <w:r w:rsidRPr="00B869EF">
        <w:t xml:space="preserve">sous les </w:t>
      </w:r>
      <w:r>
        <w:t xml:space="preserve">clauses, charges et conditions énumérées ci-après, que </w:t>
      </w:r>
      <w:r w:rsidR="001936E5">
        <w:t>le Bénéficiaire</w:t>
      </w:r>
      <w:r>
        <w:t xml:space="preserve"> s'oblige à exécuter, </w:t>
      </w:r>
      <w:r w:rsidR="00776DE9">
        <w:t>accomplir et</w:t>
      </w:r>
      <w:r>
        <w:t xml:space="preserve"> observer, indépendamment de celles qui pourraient résulter, </w:t>
      </w:r>
      <w:r w:rsidR="00776DE9" w:rsidRPr="00B869EF">
        <w:t>soit des</w:t>
      </w:r>
      <w:r>
        <w:t xml:space="preserve"> pièces contractuelles de la convention</w:t>
      </w:r>
      <w:r w:rsidRPr="00B869EF">
        <w:t>,</w:t>
      </w:r>
      <w:r>
        <w:t xml:space="preserve"> </w:t>
      </w:r>
      <w:r w:rsidR="00776DE9">
        <w:t>soit de</w:t>
      </w:r>
      <w:r w:rsidRPr="00B869EF">
        <w:t xml:space="preserve"> la loi et de l'usage, et qui ne seraient pas modifiées</w:t>
      </w:r>
      <w:r>
        <w:t xml:space="preserve"> par les stipulations de la présente convention.</w:t>
      </w:r>
    </w:p>
    <w:p w14:paraId="347FA40A" w14:textId="77777777" w:rsidR="00AF77A5" w:rsidRPr="00A046A7" w:rsidRDefault="00AF77A5" w:rsidP="00AF77A5">
      <w:pPr>
        <w:pStyle w:val="Titre1"/>
      </w:pPr>
      <w:bookmarkStart w:id="23" w:name="_Ref335896546"/>
      <w:bookmarkStart w:id="24" w:name="_Ref335896556"/>
      <w:bookmarkStart w:id="25" w:name="_Toc201743743"/>
      <w:r w:rsidRPr="00A046A7">
        <w:t xml:space="preserve">Pièces </w:t>
      </w:r>
      <w:bookmarkEnd w:id="11"/>
      <w:bookmarkEnd w:id="12"/>
      <w:bookmarkEnd w:id="13"/>
      <w:bookmarkEnd w:id="14"/>
      <w:bookmarkEnd w:id="15"/>
      <w:bookmarkEnd w:id="16"/>
      <w:r w:rsidR="00A046A7">
        <w:t>contractuelles</w:t>
      </w:r>
      <w:bookmarkEnd w:id="23"/>
      <w:bookmarkEnd w:id="24"/>
      <w:bookmarkEnd w:id="25"/>
    </w:p>
    <w:p w14:paraId="316ED5FE" w14:textId="198B4459" w:rsidR="00DD7F4F" w:rsidRPr="009D179F" w:rsidRDefault="003575AB" w:rsidP="00547B0E">
      <w:r w:rsidRPr="003575AB">
        <w:rPr>
          <w:color w:val="000000" w:themeColor="text1"/>
        </w:rPr>
        <w:t>L</w:t>
      </w:r>
      <w:r w:rsidR="00E20078">
        <w:rPr>
          <w:color w:val="000000" w:themeColor="text1"/>
        </w:rPr>
        <w:t xml:space="preserve">’AOT </w:t>
      </w:r>
      <w:r w:rsidR="00E20078">
        <w:t>es</w:t>
      </w:r>
      <w:r w:rsidR="00AF77A5" w:rsidRPr="00C174AB">
        <w:t xml:space="preserve">t </w:t>
      </w:r>
      <w:r w:rsidR="00BA5E9A" w:rsidRPr="00585D89">
        <w:rPr>
          <w:u w:val="single"/>
        </w:rPr>
        <w:t>constitué</w:t>
      </w:r>
      <w:r>
        <w:rPr>
          <w:u w:val="single"/>
        </w:rPr>
        <w:t>e</w:t>
      </w:r>
      <w:r w:rsidR="00BA5E9A" w:rsidRPr="00585D89">
        <w:rPr>
          <w:u w:val="single"/>
        </w:rPr>
        <w:t xml:space="preserve"> par les pièces </w:t>
      </w:r>
      <w:r w:rsidR="007361BE">
        <w:rPr>
          <w:u w:val="single"/>
        </w:rPr>
        <w:t xml:space="preserve">contractuelles </w:t>
      </w:r>
      <w:r w:rsidR="00BA5E9A" w:rsidRPr="00585D89">
        <w:rPr>
          <w:u w:val="single"/>
        </w:rPr>
        <w:t>suivantes</w:t>
      </w:r>
      <w:r w:rsidR="003C699A">
        <w:rPr>
          <w:u w:val="single"/>
        </w:rPr>
        <w:t>,</w:t>
      </w:r>
      <w:r w:rsidR="00BA5E9A" w:rsidRPr="00585D89">
        <w:rPr>
          <w:u w:val="single"/>
        </w:rPr>
        <w:t xml:space="preserve">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5040A8F0" w:rsidR="009D179F" w:rsidRPr="00631775" w:rsidRDefault="00C620BE" w:rsidP="00AF77A5">
      <w:pPr>
        <w:pStyle w:val="Listepuces"/>
      </w:pPr>
      <w:r w:rsidRPr="00631775">
        <w:t>L</w:t>
      </w:r>
      <w:r>
        <w:t>e</w:t>
      </w:r>
      <w:r w:rsidR="00C633FB">
        <w:t xml:space="preserve"> présent document constituant le corps principal de la convention</w:t>
      </w:r>
      <w:r w:rsidR="002C5D9A">
        <w:t xml:space="preserve"> et son annexe</w:t>
      </w:r>
    </w:p>
    <w:p w14:paraId="6DA52F02" w14:textId="5B9DF13A" w:rsidR="009A415B" w:rsidRPr="00631775" w:rsidRDefault="009D179F" w:rsidP="009A415B">
      <w:pPr>
        <w:pStyle w:val="Listepuces"/>
      </w:pPr>
      <w:r w:rsidRPr="00631775">
        <w:t>L</w:t>
      </w:r>
      <w:r w:rsidR="0091304E" w:rsidRPr="00631775">
        <w:t xml:space="preserve">e </w:t>
      </w:r>
      <w:r w:rsidR="009A415B" w:rsidRPr="00631775">
        <w:rPr>
          <w:b/>
        </w:rPr>
        <w:t xml:space="preserve">mémoire du </w:t>
      </w:r>
      <w:r w:rsidR="00B869EF">
        <w:rPr>
          <w:b/>
        </w:rPr>
        <w:t>Bénéficiaire</w:t>
      </w:r>
      <w:r w:rsidR="009A415B" w:rsidRPr="00631775">
        <w:t xml:space="preserve"> en réponse à la consultation en vue de la mise en place </w:t>
      </w:r>
      <w:r w:rsidR="001B01EB" w:rsidRPr="00631775">
        <w:t>d</w:t>
      </w:r>
      <w:r w:rsidR="003575AB" w:rsidRPr="00631775">
        <w:t>e l</w:t>
      </w:r>
      <w:r w:rsidR="00E20078">
        <w:t>’AOT</w:t>
      </w:r>
      <w:r w:rsidR="00E07C24">
        <w:t xml:space="preserve"> </w:t>
      </w:r>
    </w:p>
    <w:p w14:paraId="792D2F79" w14:textId="5C093BAD" w:rsidR="006629B9" w:rsidRDefault="000817ED" w:rsidP="00AA1285">
      <w:pPr>
        <w:pStyle w:val="Titre1"/>
      </w:pPr>
      <w:bookmarkStart w:id="26" w:name="_Toc201743744"/>
      <w:r>
        <w:t>Durée</w:t>
      </w:r>
      <w:r w:rsidR="00A15D98" w:rsidRPr="00062D32">
        <w:t xml:space="preserve"> </w:t>
      </w:r>
      <w:bookmarkEnd w:id="17"/>
      <w:bookmarkEnd w:id="18"/>
      <w:bookmarkEnd w:id="19"/>
      <w:bookmarkEnd w:id="20"/>
      <w:bookmarkEnd w:id="21"/>
      <w:r w:rsidR="00B04DF1">
        <w:t>d</w:t>
      </w:r>
      <w:r w:rsidR="00DB3DCC">
        <w:t>e l</w:t>
      </w:r>
      <w:r w:rsidR="00E20078">
        <w:t>’AOT</w:t>
      </w:r>
      <w:r w:rsidR="00843B4F">
        <w:t xml:space="preserve"> – entrée en vigueur</w:t>
      </w:r>
      <w:bookmarkEnd w:id="26"/>
    </w:p>
    <w:p w14:paraId="36D21503" w14:textId="0EEECFCF" w:rsidR="00DB3DCC" w:rsidRPr="00631775" w:rsidRDefault="00DB3DCC" w:rsidP="00DB3DCC">
      <w:pPr>
        <w:rPr>
          <w:rFonts w:cs="Arial"/>
        </w:rPr>
      </w:pPr>
      <w:r w:rsidRPr="00B84382">
        <w:rPr>
          <w:rFonts w:cs="Arial"/>
        </w:rPr>
        <w:t>L</w:t>
      </w:r>
      <w:r w:rsidR="00E20078">
        <w:rPr>
          <w:rFonts w:cs="Arial"/>
        </w:rPr>
        <w:t>’AOT</w:t>
      </w:r>
      <w:r w:rsidRPr="00B84382">
        <w:rPr>
          <w:rFonts w:cs="Arial"/>
        </w:rPr>
        <w:t xml:space="preserve"> est conclue entre le Mucem et le </w:t>
      </w:r>
      <w:r w:rsidR="00873D6B">
        <w:rPr>
          <w:rFonts w:cs="Arial"/>
        </w:rPr>
        <w:t>Bénéficiaire</w:t>
      </w:r>
      <w:r w:rsidRPr="00631775">
        <w:rPr>
          <w:rFonts w:cs="Arial"/>
        </w:rPr>
        <w:t xml:space="preserve"> pour une </w:t>
      </w:r>
      <w:r w:rsidRPr="00843B4F">
        <w:rPr>
          <w:rFonts w:cs="Arial"/>
          <w:b/>
        </w:rPr>
        <w:t>durée ferme de 3 ans (36 mois),</w:t>
      </w:r>
      <w:r w:rsidRPr="00631775">
        <w:rPr>
          <w:rFonts w:cs="Arial"/>
        </w:rPr>
        <w:t xml:space="preserve"> à compter de la date de sa notification au</w:t>
      </w:r>
      <w:r w:rsidR="00ED4BC2">
        <w:rPr>
          <w:rFonts w:cs="Arial"/>
        </w:rPr>
        <w:t xml:space="preserve"> Bénéficiaire</w:t>
      </w:r>
      <w:r w:rsidRPr="00631775">
        <w:rPr>
          <w:rFonts w:cs="Arial"/>
        </w:rPr>
        <w:t>.</w:t>
      </w:r>
    </w:p>
    <w:p w14:paraId="0FA6588F" w14:textId="6CA2D8FB" w:rsidR="00DB3DCC" w:rsidRPr="00D90699" w:rsidRDefault="00DB3DCC" w:rsidP="00C62DF1">
      <w:pPr>
        <w:rPr>
          <w:rFonts w:cs="Arial"/>
        </w:rPr>
      </w:pPr>
      <w:r w:rsidRPr="00631775">
        <w:rPr>
          <w:rFonts w:cs="Arial"/>
        </w:rPr>
        <w:t xml:space="preserve">Elle est ensuite </w:t>
      </w:r>
      <w:r w:rsidRPr="00843B4F">
        <w:rPr>
          <w:rFonts w:cs="Arial"/>
          <w:b/>
        </w:rPr>
        <w:t xml:space="preserve">renouvelable tacitement aux mêmes clauses, charges et conditions, deux fois pour une durée d’un an </w:t>
      </w:r>
      <w:r w:rsidRPr="00631775">
        <w:rPr>
          <w:rFonts w:cs="Arial"/>
        </w:rPr>
        <w:t>à compter de la date</w:t>
      </w:r>
      <w:r w:rsidR="00ED4BC2">
        <w:rPr>
          <w:rFonts w:cs="Arial"/>
        </w:rPr>
        <w:t xml:space="preserve"> de notification de l’AO</w:t>
      </w:r>
      <w:r w:rsidR="00447A0A">
        <w:rPr>
          <w:rFonts w:cs="Arial"/>
        </w:rPr>
        <w:t>T</w:t>
      </w:r>
      <w:r w:rsidRPr="00631775">
        <w:rPr>
          <w:rFonts w:cs="Arial"/>
        </w:rPr>
        <w:t xml:space="preserve">, </w:t>
      </w:r>
      <w:r w:rsidRPr="003E5E69">
        <w:rPr>
          <w:rFonts w:cs="Arial"/>
          <w:b/>
          <w:u w:val="single"/>
        </w:rPr>
        <w:t>sans que la durée totale ne puisse excéder soixante (60) mois</w:t>
      </w:r>
      <w:r w:rsidRPr="00631775">
        <w:rPr>
          <w:rFonts w:cs="Arial"/>
        </w:rPr>
        <w:t>.</w:t>
      </w:r>
    </w:p>
    <w:p w14:paraId="7BA0154D" w14:textId="490956B2" w:rsidR="00DB3DCC" w:rsidRDefault="00DB3DCC" w:rsidP="00DB3DCC">
      <w:pPr>
        <w:overflowPunct/>
        <w:spacing w:after="0"/>
        <w:textAlignment w:val="auto"/>
        <w:rPr>
          <w:rFonts w:cs="Arial"/>
        </w:rPr>
      </w:pPr>
      <w:r w:rsidRPr="00D90699">
        <w:rPr>
          <w:rFonts w:cs="Arial"/>
        </w:rPr>
        <w:t xml:space="preserve">Dans le cas où le Mucem n'aurait pas l'intention de renouveler la convention à l'issue d’une période </w:t>
      </w:r>
      <w:r w:rsidR="00843B4F">
        <w:rPr>
          <w:rFonts w:cs="Arial"/>
        </w:rPr>
        <w:t>ferme ou à l’issue de la première année de reconduction</w:t>
      </w:r>
      <w:r w:rsidRPr="00D90699">
        <w:rPr>
          <w:rFonts w:cs="Arial"/>
        </w:rPr>
        <w:t xml:space="preserve">, il devra en informer le </w:t>
      </w:r>
      <w:r w:rsidR="00873D6B">
        <w:rPr>
          <w:rFonts w:cs="Arial"/>
        </w:rPr>
        <w:t>Bénéficiaire</w:t>
      </w:r>
      <w:r w:rsidRPr="00D90699">
        <w:rPr>
          <w:rFonts w:cs="Arial"/>
        </w:rPr>
        <w:t xml:space="preserve"> par lettre recommandée avec accusé de réception parvenue trois mois au moins avant l'échéance.</w:t>
      </w:r>
    </w:p>
    <w:p w14:paraId="475E2362" w14:textId="77777777" w:rsidR="00DB3DCC" w:rsidRPr="00574D6A" w:rsidRDefault="00DB3DCC" w:rsidP="00DB3DCC">
      <w:pPr>
        <w:overflowPunct/>
        <w:spacing w:after="0"/>
        <w:textAlignment w:val="auto"/>
        <w:rPr>
          <w:rFonts w:cs="Arial"/>
        </w:rPr>
      </w:pPr>
    </w:p>
    <w:p w14:paraId="0E5DE398" w14:textId="188A30F3" w:rsidR="0080636F" w:rsidRDefault="0080636F" w:rsidP="0080636F">
      <w:r>
        <w:t xml:space="preserve">A titre prévisionnel, </w:t>
      </w:r>
      <w:r w:rsidR="00DB3DCC">
        <w:t xml:space="preserve">la date d’installation des équipements </w:t>
      </w:r>
      <w:bookmarkStart w:id="27" w:name="_Ref303669526"/>
      <w:bookmarkStart w:id="28" w:name="_Ref303669584"/>
      <w:bookmarkStart w:id="29" w:name="_Toc42263674"/>
      <w:r w:rsidR="00596A86">
        <w:t xml:space="preserve">devra intervenir au plus tard </w:t>
      </w:r>
      <w:r w:rsidR="007B77DE">
        <w:t>20</w:t>
      </w:r>
      <w:r w:rsidR="00596A86">
        <w:t xml:space="preserve"> jours calendaires à compter de la date de notification de l’AOT. </w:t>
      </w:r>
    </w:p>
    <w:p w14:paraId="2FD41294" w14:textId="77777777" w:rsidR="0080636F" w:rsidRDefault="0080636F" w:rsidP="0080636F"/>
    <w:p w14:paraId="61ED7D21" w14:textId="42F0ED80" w:rsidR="009C78BB" w:rsidRDefault="009C78BB" w:rsidP="002C5D9A">
      <w:pPr>
        <w:pStyle w:val="Titre1"/>
      </w:pPr>
      <w:bookmarkStart w:id="30" w:name="_Toc201743745"/>
      <w:r>
        <w:t>Retrait des documents de consultation</w:t>
      </w:r>
      <w:bookmarkEnd w:id="27"/>
      <w:bookmarkEnd w:id="28"/>
      <w:bookmarkEnd w:id="29"/>
      <w:bookmarkEnd w:id="30"/>
    </w:p>
    <w:p w14:paraId="6EE64CCD" w14:textId="77777777" w:rsidR="009C78BB" w:rsidRDefault="009C78BB" w:rsidP="009C78BB">
      <w:r w:rsidRPr="00107D78">
        <w:t xml:space="preserve">La consultation fait suite à l’avis </w:t>
      </w:r>
      <w:r>
        <w:t>d’appel public à concurrence</w:t>
      </w:r>
      <w:r w:rsidRPr="00107D78">
        <w:t xml:space="preserve"> paru</w:t>
      </w:r>
      <w:r>
        <w:t xml:space="preserve"> </w:t>
      </w:r>
      <w:r w:rsidRPr="00CE157D">
        <w:t>notamment</w:t>
      </w:r>
      <w:r>
        <w:t xml:space="preserve"> :</w:t>
      </w:r>
    </w:p>
    <w:p w14:paraId="141D514E" w14:textId="2F0787F9" w:rsidR="009C78BB" w:rsidRPr="00CE157D" w:rsidRDefault="00875AE3" w:rsidP="009C78BB">
      <w:pPr>
        <w:numPr>
          <w:ilvl w:val="0"/>
          <w:numId w:val="45"/>
        </w:numPr>
        <w:suppressAutoHyphens/>
        <w:overflowPunct/>
        <w:autoSpaceDE/>
        <w:autoSpaceDN/>
        <w:adjustRightInd/>
        <w:spacing w:before="113" w:after="113"/>
        <w:textAlignment w:val="auto"/>
      </w:pPr>
      <w:r>
        <w:t>Au</w:t>
      </w:r>
      <w:r w:rsidR="009C78BB">
        <w:t xml:space="preserve"> BOAMP</w:t>
      </w:r>
    </w:p>
    <w:p w14:paraId="43C4E87D" w14:textId="050E3D55" w:rsidR="009C78BB" w:rsidRDefault="009C78BB" w:rsidP="009C78BB">
      <w:r>
        <w:t xml:space="preserve">L’ensemble des documents mis à disposition en vue de la conclusion éventuelle de la convention est disponible sur le profil d’acheteur du Mucem en accès libre, direct et complet, à l’adresse suivante : </w:t>
      </w:r>
      <w:hyperlink r:id="rId8" w:history="1">
        <w:r w:rsidRPr="00C904EB">
          <w:rPr>
            <w:rStyle w:val="Lienhypertexte"/>
          </w:rPr>
          <w:t>http://www.marches-publics.gouv.fr</w:t>
        </w:r>
      </w:hyperlink>
      <w:r>
        <w:t xml:space="preserve"> sous la référence C202</w:t>
      </w:r>
      <w:r w:rsidR="001936E5">
        <w:t>5</w:t>
      </w:r>
      <w:r>
        <w:t>_SDR_AOTDA.</w:t>
      </w:r>
    </w:p>
    <w:p w14:paraId="7417E45D" w14:textId="77777777" w:rsidR="009C78BB" w:rsidRPr="00060868" w:rsidRDefault="009C78BB" w:rsidP="009C78BB"/>
    <w:p w14:paraId="53A0C5A3" w14:textId="77777777" w:rsidR="009C78BB" w:rsidRDefault="009C78BB" w:rsidP="009C78BB">
      <w:r>
        <w:t xml:space="preserve">Le Mucem se réserve le droit </w:t>
      </w:r>
      <w:r w:rsidRPr="006811F9">
        <w:t xml:space="preserve">d’apporter, au plus </w:t>
      </w:r>
      <w:r w:rsidRPr="00E63C17">
        <w:t xml:space="preserve">tard </w:t>
      </w:r>
      <w:r w:rsidRPr="00E63C17">
        <w:rPr>
          <w:b/>
          <w:bCs/>
        </w:rPr>
        <w:t>6 jours francs</w:t>
      </w:r>
      <w:r w:rsidRPr="006811F9">
        <w:t xml:space="preserve"> avant</w:t>
      </w:r>
      <w:r>
        <w:t xml:space="preserve"> la date limite fixée pour la réception des offres, des modifications de détail aux documents de la consultation. Le candidat devra alors répondre sur la base du dossier modifié sans pouvoir élever une quelconque réclamation à ce sujet.</w:t>
      </w:r>
    </w:p>
    <w:p w14:paraId="59CACFCF" w14:textId="77777777" w:rsidR="009C78BB" w:rsidRPr="00F27BAF" w:rsidRDefault="009C78BB" w:rsidP="00F03BAC">
      <w:pPr>
        <w:pStyle w:val="Titre1"/>
      </w:pPr>
      <w:bookmarkStart w:id="31" w:name="_Toc295049608"/>
      <w:bookmarkStart w:id="32" w:name="_Toc295308301"/>
      <w:bookmarkStart w:id="33" w:name="_Toc42263677"/>
      <w:bookmarkStart w:id="34" w:name="_Ref42784709"/>
      <w:bookmarkStart w:id="35" w:name="_Toc201743746"/>
      <w:r w:rsidRPr="00F27BAF">
        <w:t xml:space="preserve">Modalités de réponse à </w:t>
      </w:r>
      <w:bookmarkEnd w:id="31"/>
      <w:bookmarkEnd w:id="32"/>
      <w:r w:rsidRPr="00F27BAF">
        <w:t>la consultation</w:t>
      </w:r>
      <w:bookmarkEnd w:id="33"/>
      <w:bookmarkEnd w:id="34"/>
      <w:bookmarkEnd w:id="35"/>
    </w:p>
    <w:p w14:paraId="549330FC" w14:textId="77777777" w:rsidR="009C78BB" w:rsidRDefault="009C78BB" w:rsidP="00F03BAC">
      <w:pPr>
        <w:pStyle w:val="Titre2"/>
      </w:pPr>
      <w:bookmarkStart w:id="36" w:name="_Toc42263678"/>
      <w:bookmarkStart w:id="37" w:name="_Toc201743747"/>
      <w:r>
        <w:t>Echanges de questions-</w:t>
      </w:r>
      <w:r w:rsidRPr="00F03BAC">
        <w:t>réponses</w:t>
      </w:r>
      <w:bookmarkEnd w:id="36"/>
      <w:bookmarkEnd w:id="37"/>
    </w:p>
    <w:p w14:paraId="2DCB05E5" w14:textId="0E539802" w:rsidR="009C78BB" w:rsidRDefault="009C78BB" w:rsidP="009C78BB">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Mucem</w:t>
      </w:r>
      <w:r w:rsidRPr="000A5CDE">
        <w:t xml:space="preserve"> </w:t>
      </w:r>
      <w:r>
        <w:t>(</w:t>
      </w:r>
      <w:hyperlink r:id="rId9" w:history="1">
        <w:r w:rsidRPr="000A5CDE">
          <w:rPr>
            <w:rStyle w:val="Lienhypertexte"/>
          </w:rPr>
          <w:t>http://www.marches-publics.gouv.fr</w:t>
        </w:r>
      </w:hyperlink>
      <w:r w:rsidRPr="000A5CDE">
        <w:t>)</w:t>
      </w:r>
      <w:r>
        <w:t>.</w:t>
      </w:r>
    </w:p>
    <w:p w14:paraId="60ADED91" w14:textId="77777777" w:rsidR="009C78BB" w:rsidRDefault="009C78BB" w:rsidP="009C78BB">
      <w:r w:rsidRPr="006072DB">
        <w:rPr>
          <w:b/>
        </w:rPr>
        <w:t xml:space="preserve">Le </w:t>
      </w:r>
      <w:r>
        <w:rPr>
          <w:b/>
        </w:rPr>
        <w:t>Mucem</w:t>
      </w:r>
      <w:r w:rsidRPr="006072DB">
        <w:rPr>
          <w:b/>
        </w:rPr>
        <w:t xml:space="preserve"> se réserve la faculté de ne plus répondre aux questions posées 10 jours francs avant la date limite de remise des offres</w:t>
      </w:r>
      <w:r>
        <w:rPr>
          <w:b/>
        </w:rPr>
        <w:t>,</w:t>
      </w:r>
      <w:r w:rsidRPr="006072DB">
        <w:rPr>
          <w:b/>
        </w:rPr>
        <w:t xml:space="preserve"> dans la mesure où il ne serait plus possible d’assurer la diffusion des informations </w:t>
      </w:r>
      <w:r>
        <w:rPr>
          <w:b/>
        </w:rPr>
        <w:t>concernées</w:t>
      </w:r>
      <w:r w:rsidRPr="006072DB">
        <w:rPr>
          <w:b/>
        </w:rPr>
        <w:t xml:space="preserve"> à l’ensemble des candidats</w:t>
      </w:r>
      <w:r>
        <w:t>.</w:t>
      </w:r>
    </w:p>
    <w:p w14:paraId="0B7FC98B" w14:textId="77777777" w:rsidR="009C78BB" w:rsidRDefault="009C78BB" w:rsidP="009C78BB">
      <w:r>
        <w:t>Il est précisé ici que pour le calcul du délai de 10 jours, c’est la date de réception de la demande de renseignements par le Mucem qui sera prise en compte et non la date d’envoi du courrier par le candidat.</w:t>
      </w:r>
    </w:p>
    <w:p w14:paraId="40638242" w14:textId="77777777" w:rsidR="009C78BB" w:rsidRDefault="009C78BB" w:rsidP="009C78BB">
      <w:r>
        <w:lastRenderedPageBreak/>
        <w:t>Les réponses correspondantes seront adressées par écrit à l’ensemble des candidats ayant retiré le DCE sur la PLACE dans la mesure où ces derniers auront renseigné une adresse email valide sur la PLACE.</w:t>
      </w:r>
    </w:p>
    <w:p w14:paraId="4488F09F" w14:textId="77777777" w:rsidR="009C78BB" w:rsidRDefault="009C78BB" w:rsidP="00F03BAC">
      <w:pPr>
        <w:pStyle w:val="Titre2"/>
      </w:pPr>
      <w:bookmarkStart w:id="38" w:name="_Ref311635810"/>
      <w:bookmarkStart w:id="39" w:name="_Toc311619536"/>
      <w:bookmarkStart w:id="40" w:name="_Ref311635747"/>
      <w:bookmarkStart w:id="41" w:name="_Toc330298463"/>
      <w:bookmarkStart w:id="42" w:name="_Toc336358677"/>
      <w:bookmarkStart w:id="43" w:name="_Toc42263680"/>
      <w:bookmarkStart w:id="44" w:name="_Ref303155782"/>
      <w:bookmarkStart w:id="45" w:name="_Toc295049609"/>
      <w:bookmarkStart w:id="46" w:name="_Toc295308302"/>
      <w:bookmarkStart w:id="47" w:name="_Toc201743748"/>
      <w:r>
        <w:t>Dates principales de la procédure</w:t>
      </w:r>
      <w:bookmarkEnd w:id="38"/>
      <w:bookmarkEnd w:id="39"/>
      <w:bookmarkEnd w:id="40"/>
      <w:bookmarkEnd w:id="41"/>
      <w:bookmarkEnd w:id="42"/>
      <w:r>
        <w:t xml:space="preserve"> – date de réception des réponses</w:t>
      </w:r>
      <w:bookmarkEnd w:id="43"/>
      <w:bookmarkEnd w:id="47"/>
    </w:p>
    <w:p w14:paraId="5483EB03" w14:textId="757680B7" w:rsidR="009C78BB" w:rsidRPr="000B6029" w:rsidRDefault="009C78BB" w:rsidP="009C78BB">
      <w:r w:rsidRPr="005445BF">
        <w:rPr>
          <w:b/>
        </w:rPr>
        <w:t>Les réponses devront être transmises au plus tard le</w:t>
      </w:r>
      <w:r>
        <w:t xml:space="preserve"> </w:t>
      </w:r>
      <w:r w:rsidR="00363592">
        <w:rPr>
          <w:b/>
          <w:color w:val="FF0000"/>
        </w:rPr>
        <w:t>mardi</w:t>
      </w:r>
      <w:r w:rsidR="001C70AC">
        <w:rPr>
          <w:b/>
          <w:color w:val="FF0000"/>
        </w:rPr>
        <w:t xml:space="preserve"> </w:t>
      </w:r>
      <w:r w:rsidR="00363592">
        <w:rPr>
          <w:b/>
          <w:color w:val="FF0000"/>
        </w:rPr>
        <w:t>22</w:t>
      </w:r>
      <w:r w:rsidR="001C70AC">
        <w:rPr>
          <w:b/>
          <w:color w:val="FF0000"/>
        </w:rPr>
        <w:t xml:space="preserve"> jui</w:t>
      </w:r>
      <w:r w:rsidR="00363592">
        <w:rPr>
          <w:b/>
          <w:color w:val="FF0000"/>
        </w:rPr>
        <w:t>llet</w:t>
      </w:r>
      <w:r w:rsidR="001C70AC">
        <w:rPr>
          <w:b/>
          <w:color w:val="FF0000"/>
        </w:rPr>
        <w:t xml:space="preserve"> 2025 </w:t>
      </w:r>
      <w:r w:rsidRPr="000B6029">
        <w:rPr>
          <w:b/>
          <w:color w:val="FF0000"/>
        </w:rPr>
        <w:t xml:space="preserve">à </w:t>
      </w:r>
      <w:r w:rsidR="00363592">
        <w:rPr>
          <w:b/>
          <w:color w:val="FF0000"/>
        </w:rPr>
        <w:t>17</w:t>
      </w:r>
      <w:r w:rsidRPr="000B6029">
        <w:rPr>
          <w:b/>
          <w:color w:val="FF0000"/>
        </w:rPr>
        <w:t>h00</w:t>
      </w:r>
      <w:r w:rsidRPr="000B6029">
        <w:t>. Les réponses parvenues après ce délai seront rejetées.</w:t>
      </w:r>
    </w:p>
    <w:p w14:paraId="63DBB777" w14:textId="5CBF7B7A" w:rsidR="009C78BB" w:rsidRPr="000B6029" w:rsidRDefault="009C78BB" w:rsidP="009C78BB">
      <w:pPr>
        <w:rPr>
          <w:rFonts w:cs="Calibri"/>
          <w:b/>
          <w:bCs/>
          <w:szCs w:val="22"/>
        </w:rPr>
      </w:pPr>
      <w:bookmarkStart w:id="48" w:name="_Toc295049602"/>
      <w:bookmarkStart w:id="49" w:name="_Toc295308295"/>
      <w:bookmarkStart w:id="50" w:name="_Ref303669012"/>
      <w:r w:rsidRPr="000B6029">
        <w:t xml:space="preserve">La notification de la convention devrait intervenir </w:t>
      </w:r>
      <w:r w:rsidR="00DB6E92">
        <w:t xml:space="preserve">avant la fin </w:t>
      </w:r>
      <w:r w:rsidRPr="000B6029">
        <w:t>du mois d’août 202</w:t>
      </w:r>
      <w:r w:rsidR="001C70AC">
        <w:t>5</w:t>
      </w:r>
      <w:r w:rsidRPr="000B6029">
        <w:t>, pour un début d’exécution début septembre 202</w:t>
      </w:r>
      <w:r w:rsidR="001C70AC">
        <w:t>5</w:t>
      </w:r>
      <w:r w:rsidRPr="000B6029">
        <w:t xml:space="preserve"> (dates prévisionnelles).</w:t>
      </w:r>
    </w:p>
    <w:p w14:paraId="7F1A4737" w14:textId="77777777" w:rsidR="009C78BB" w:rsidRPr="000B6029" w:rsidRDefault="009C78BB" w:rsidP="00F03BAC">
      <w:pPr>
        <w:pStyle w:val="Titre2"/>
      </w:pPr>
      <w:bookmarkStart w:id="51" w:name="_Toc42263681"/>
      <w:bookmarkStart w:id="52" w:name="_Toc201743749"/>
      <w:r w:rsidRPr="00F03BAC">
        <w:t>Visite</w:t>
      </w:r>
      <w:bookmarkEnd w:id="51"/>
      <w:bookmarkEnd w:id="52"/>
    </w:p>
    <w:p w14:paraId="2E2AF3E8" w14:textId="77777777" w:rsidR="009C78BB" w:rsidRPr="000B6029" w:rsidRDefault="009C78BB" w:rsidP="009C78BB">
      <w:r w:rsidRPr="000B6029">
        <w:rPr>
          <w:b/>
        </w:rPr>
        <w:t>Les candidats devront obligatoirement visiter les sites du Mucem avant de remettre leur offre</w:t>
      </w:r>
      <w:r w:rsidRPr="000B6029">
        <w:t>. A cette occasion un certificat de visite sera remis aux candidats.</w:t>
      </w:r>
    </w:p>
    <w:p w14:paraId="40DBC68D" w14:textId="257E62A3" w:rsidR="009C78BB" w:rsidRPr="000B6029" w:rsidRDefault="009C78BB" w:rsidP="009C78BB">
      <w:pPr>
        <w:rPr>
          <w:b/>
          <w:u w:val="single"/>
        </w:rPr>
      </w:pPr>
      <w:r w:rsidRPr="000B6029">
        <w:rPr>
          <w:b/>
          <w:u w:val="single"/>
        </w:rPr>
        <w:t xml:space="preserve">Les visites auront lieu </w:t>
      </w:r>
      <w:r w:rsidR="00363592">
        <w:rPr>
          <w:b/>
          <w:u w:val="single"/>
        </w:rPr>
        <w:t xml:space="preserve">le vendredi 11 juillet à 9h30. </w:t>
      </w:r>
    </w:p>
    <w:p w14:paraId="4A5CDCB3" w14:textId="2531AD36" w:rsidR="009C78BB" w:rsidRPr="000B6029" w:rsidRDefault="009C78BB" w:rsidP="009C78BB">
      <w:r w:rsidRPr="000B6029">
        <w:t>En cas d’indisponibilité totale ou de téléchargement du dossier après ces dates, les candidats auront cependant la possibilité de solliciter le Mucem pour une autre date de visite. Les visites seront possibles jusqu’à six (6) jours avant la date de remise des offres.</w:t>
      </w:r>
    </w:p>
    <w:p w14:paraId="678B91D2" w14:textId="5C41AEBA" w:rsidR="009C78BB" w:rsidRPr="008029EA" w:rsidRDefault="009C78BB" w:rsidP="009C78BB">
      <w:r w:rsidRPr="000B6029">
        <w:t>Les candidats doivent s’inscrire par mail auprès de Patrice Le Cras (</w:t>
      </w:r>
      <w:hyperlink r:id="rId10" w:history="1">
        <w:r w:rsidRPr="000B6029">
          <w:rPr>
            <w:rStyle w:val="Lienhypertexte"/>
          </w:rPr>
          <w:t>patrice.le-cras@mucem.org</w:t>
        </w:r>
      </w:hyperlink>
      <w:r w:rsidRPr="000B6029">
        <w:t xml:space="preserve">, copie </w:t>
      </w:r>
      <w:hyperlink r:id="rId11" w:history="1">
        <w:r w:rsidR="00825F99" w:rsidRPr="00E83CD9">
          <w:rPr>
            <w:rStyle w:val="Lienhypertexte"/>
          </w:rPr>
          <w:t>laura.santiago@mucem.org</w:t>
        </w:r>
      </w:hyperlink>
      <w:r w:rsidRPr="000B6029">
        <w:t xml:space="preserve"> et </w:t>
      </w:r>
      <w:hyperlink r:id="rId12" w:history="1">
        <w:r w:rsidRPr="000B6029">
          <w:rPr>
            <w:rStyle w:val="Lienhypertexte"/>
          </w:rPr>
          <w:t>joana.sadaa@mucem.org</w:t>
        </w:r>
      </w:hyperlink>
      <w:r w:rsidRPr="000B6029">
        <w:t>).</w:t>
      </w:r>
    </w:p>
    <w:p w14:paraId="70661A79" w14:textId="28308479" w:rsidR="009C78BB" w:rsidRDefault="009C78BB" w:rsidP="009C78BB">
      <w:r w:rsidRPr="008029EA">
        <w:t>Les candidats ne pourront effectuer qu’une seule visite</w:t>
      </w:r>
      <w:r w:rsidR="00C21685">
        <w:t xml:space="preserve"> chacun</w:t>
      </w:r>
      <w:r w:rsidRPr="008029EA">
        <w:t>.</w:t>
      </w:r>
    </w:p>
    <w:p w14:paraId="18129775" w14:textId="77777777" w:rsidR="009C78BB" w:rsidRPr="00C620BE" w:rsidRDefault="009C78BB" w:rsidP="00F03BAC">
      <w:pPr>
        <w:pStyle w:val="Titre2"/>
      </w:pPr>
      <w:bookmarkStart w:id="53" w:name="_Toc201743750"/>
      <w:bookmarkEnd w:id="48"/>
      <w:bookmarkEnd w:id="49"/>
      <w:r w:rsidRPr="00C620BE">
        <w:t>Option</w:t>
      </w:r>
      <w:bookmarkEnd w:id="53"/>
    </w:p>
    <w:p w14:paraId="1C4934F4" w14:textId="0E32F992" w:rsidR="009C78BB" w:rsidRPr="00C620BE" w:rsidRDefault="009C78BB" w:rsidP="009C78BB">
      <w:r w:rsidRPr="00C620BE">
        <w:t xml:space="preserve">Les candidats sont tenus de répondre à la solution de base décrite dans le </w:t>
      </w:r>
      <w:r w:rsidR="007276CD">
        <w:t>présent document</w:t>
      </w:r>
      <w:r w:rsidRPr="00C620BE">
        <w:t xml:space="preserve"> et à l’option : ils doivent proposer, en plus de leur offre de base, une variante sur le point suivant :</w:t>
      </w:r>
    </w:p>
    <w:p w14:paraId="3F813920" w14:textId="77777777" w:rsidR="009C78BB" w:rsidRPr="00C620BE" w:rsidRDefault="009C78BB" w:rsidP="009C78BB">
      <w:pPr>
        <w:pStyle w:val="Listepuces"/>
        <w:tabs>
          <w:tab w:val="clear" w:pos="1276"/>
        </w:tabs>
        <w:suppressAutoHyphens/>
        <w:overflowPunct/>
        <w:autoSpaceDE/>
        <w:autoSpaceDN/>
        <w:adjustRightInd/>
        <w:spacing w:before="120"/>
        <w:ind w:left="1276" w:hanging="425"/>
        <w:textAlignment w:val="auto"/>
      </w:pPr>
      <w:r w:rsidRPr="00C620BE">
        <w:t>Emplacement supplémentaire pour un distributeur destiné au public</w:t>
      </w:r>
    </w:p>
    <w:p w14:paraId="5B795B36" w14:textId="77777777" w:rsidR="009C78BB" w:rsidRDefault="009C78BB" w:rsidP="009C78BB">
      <w:r w:rsidRPr="00C620BE">
        <w:t>Cette option sera regroupée au sein d’une seconde offre totalement distincte de l’offre de base et appelée « option ». Elle doit faire l’objet de justifications, de descriptions techniques et d’une proposition financière distincte.</w:t>
      </w:r>
    </w:p>
    <w:p w14:paraId="59AD179C" w14:textId="77777777" w:rsidR="009C78BB" w:rsidRDefault="009C78BB" w:rsidP="00F03BAC">
      <w:pPr>
        <w:pStyle w:val="Titre2"/>
      </w:pPr>
      <w:bookmarkStart w:id="54" w:name="_Ref336416948"/>
      <w:bookmarkStart w:id="55" w:name="_Toc42263683"/>
      <w:bookmarkStart w:id="56" w:name="_Toc201743751"/>
      <w:r w:rsidRPr="00685126">
        <w:t>Mod</w:t>
      </w:r>
      <w:bookmarkEnd w:id="44"/>
      <w:r w:rsidRPr="00685126">
        <w:t xml:space="preserve">es et formes de </w:t>
      </w:r>
      <w:bookmarkEnd w:id="50"/>
      <w:bookmarkEnd w:id="54"/>
      <w:r w:rsidRPr="00685126">
        <w:t xml:space="preserve">remise </w:t>
      </w:r>
      <w:r w:rsidRPr="00F03BAC">
        <w:t>des</w:t>
      </w:r>
      <w:r w:rsidRPr="00685126">
        <w:t xml:space="preserve"> offres</w:t>
      </w:r>
      <w:bookmarkEnd w:id="55"/>
      <w:bookmarkEnd w:id="56"/>
    </w:p>
    <w:p w14:paraId="606F9236" w14:textId="77777777" w:rsidR="009C78BB" w:rsidRPr="00685126" w:rsidRDefault="009C78BB" w:rsidP="00DD524D">
      <w:pPr>
        <w:pStyle w:val="Titre3"/>
      </w:pPr>
      <w:r>
        <w:t xml:space="preserve">Remise </w:t>
      </w:r>
      <w:r w:rsidRPr="00DD524D">
        <w:t>dématérialisée</w:t>
      </w:r>
      <w:r>
        <w:t xml:space="preserve"> obligatoire </w:t>
      </w:r>
    </w:p>
    <w:p w14:paraId="334919F4" w14:textId="5ED8FA59" w:rsidR="009C78BB" w:rsidRPr="00146C9E" w:rsidRDefault="009C78BB" w:rsidP="009C78BB">
      <w:pPr>
        <w:rPr>
          <w:color w:val="FF0000"/>
        </w:rPr>
      </w:pPr>
      <w:r w:rsidRPr="00146C9E">
        <w:rPr>
          <w:color w:val="FF0000"/>
        </w:rPr>
        <w:t xml:space="preserve">Les offres devront OBLIGATOIREMENT être remises </w:t>
      </w:r>
      <w:r w:rsidRPr="00146C9E">
        <w:rPr>
          <w:b/>
          <w:color w:val="FF0000"/>
        </w:rPr>
        <w:t>par voie dématérialisée</w:t>
      </w:r>
      <w:r w:rsidRPr="00146C9E">
        <w:rPr>
          <w:color w:val="FF0000"/>
        </w:rPr>
        <w:t xml:space="preserve"> </w:t>
      </w:r>
      <w:r w:rsidRPr="00146C9E">
        <w:rPr>
          <w:b/>
          <w:color w:val="FF0000"/>
        </w:rPr>
        <w:t xml:space="preserve">sur le profil d’acheteur (dit « PLACE ») </w:t>
      </w:r>
      <w:r w:rsidRPr="00146C9E">
        <w:rPr>
          <w:color w:val="FF0000"/>
        </w:rPr>
        <w:t>utilisé par le</w:t>
      </w:r>
      <w:r w:rsidRPr="00146C9E">
        <w:rPr>
          <w:b/>
          <w:color w:val="FF0000"/>
        </w:rPr>
        <w:t xml:space="preserve"> </w:t>
      </w:r>
      <w:r w:rsidRPr="00146C9E">
        <w:rPr>
          <w:color w:val="FF0000"/>
        </w:rPr>
        <w:t>Mucem (</w:t>
      </w:r>
      <w:hyperlink r:id="rId13" w:history="1">
        <w:r w:rsidRPr="00146C9E">
          <w:rPr>
            <w:rStyle w:val="Lienhypertexte"/>
            <w:b/>
            <w:color w:val="FF0000"/>
          </w:rPr>
          <w:t>http://www.marches-publics.gouv.fr</w:t>
        </w:r>
      </w:hyperlink>
      <w:r w:rsidRPr="00146C9E">
        <w:rPr>
          <w:b/>
          <w:color w:val="FF0000"/>
        </w:rPr>
        <w:t>)</w:t>
      </w:r>
      <w:r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C78BB" w:rsidRPr="000D3F67" w14:paraId="3304B63D" w14:textId="77777777" w:rsidTr="00F03BAC">
        <w:tc>
          <w:tcPr>
            <w:tcW w:w="9778" w:type="dxa"/>
            <w:shd w:val="clear" w:color="auto" w:fill="D9D9D9"/>
          </w:tcPr>
          <w:p w14:paraId="1675748B" w14:textId="77777777" w:rsidR="009C78BB" w:rsidRPr="000D3F67" w:rsidRDefault="009C78BB" w:rsidP="00F03BAC">
            <w:pPr>
              <w:jc w:val="center"/>
              <w:rPr>
                <w:b/>
                <w:sz w:val="22"/>
              </w:rPr>
            </w:pPr>
            <w:r w:rsidRPr="000D3F67">
              <w:rPr>
                <w:b/>
                <w:sz w:val="22"/>
              </w:rPr>
              <w:t>Note – conseils aux candidats</w:t>
            </w:r>
          </w:p>
        </w:tc>
      </w:tr>
      <w:tr w:rsidR="009C78BB" w:rsidRPr="005626FC" w14:paraId="29B10B3E" w14:textId="77777777" w:rsidTr="00F03BAC">
        <w:tc>
          <w:tcPr>
            <w:tcW w:w="9778" w:type="dxa"/>
            <w:shd w:val="clear" w:color="auto" w:fill="auto"/>
          </w:tcPr>
          <w:p w14:paraId="56D00F69" w14:textId="4A8D3C85" w:rsidR="009C78BB" w:rsidRPr="000D3F67" w:rsidRDefault="009C78BB" w:rsidP="00F03BAC">
            <w:pPr>
              <w:spacing w:line="276" w:lineRule="auto"/>
              <w:rPr>
                <w:b/>
              </w:rPr>
            </w:pPr>
            <w:r w:rsidRPr="000D3F67">
              <w:rPr>
                <w:b/>
              </w:rPr>
              <w:t>Le candidat qui utiliserait un autre mode de transmission (envoi postal, délivrance par coursier d’un pli papier, envoi par mail, etc.) verra sa candidature et son offre rejetées sauf si le pli constitue une copie de sauvegarde.</w:t>
            </w:r>
          </w:p>
          <w:p w14:paraId="06EC1367" w14:textId="27579FFF" w:rsidR="009C78BB" w:rsidRPr="00010310" w:rsidRDefault="009C78BB" w:rsidP="00DD524D">
            <w:pPr>
              <w:spacing w:line="276" w:lineRule="auto"/>
            </w:pPr>
            <w:r w:rsidRPr="005626FC">
              <w:t>Les offres arrivé</w:t>
            </w:r>
            <w:r w:rsidR="00DD524D">
              <w:t>e</w:t>
            </w:r>
            <w:r w:rsidRPr="005626FC">
              <w:t xml:space="preserve">s </w:t>
            </w:r>
            <w:r w:rsidRPr="000D3F67">
              <w:rPr>
                <w:u w:val="single"/>
              </w:rPr>
              <w:t>même quelques secondes après la date et heure butoir de remise des plis</w:t>
            </w:r>
            <w:r w:rsidRPr="005626FC">
              <w:t xml:space="preserve"> ne pourront en principe 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t>pose d’un support d’assistance.</w:t>
            </w:r>
          </w:p>
        </w:tc>
      </w:tr>
    </w:tbl>
    <w:p w14:paraId="0809258A" w14:textId="23D525C3" w:rsidR="009C78BB" w:rsidRPr="005626FC" w:rsidRDefault="007276CD" w:rsidP="00DD524D">
      <w:pPr>
        <w:pStyle w:val="Titre3"/>
      </w:pPr>
      <w:r w:rsidRPr="00DD524D">
        <w:t>Pré</w:t>
      </w:r>
      <w:r w:rsidRPr="005626FC">
        <w:t>requis</w:t>
      </w:r>
      <w:r w:rsidR="009C78BB" w:rsidRPr="005626FC">
        <w:t xml:space="preserve"> techniques </w:t>
      </w:r>
      <w:bookmarkEnd w:id="45"/>
      <w:bookmarkEnd w:id="46"/>
      <w:r w:rsidR="009C78BB" w:rsidRPr="005626FC">
        <w:t xml:space="preserve">de </w:t>
      </w:r>
      <w:r w:rsidR="009C78BB" w:rsidRPr="00DD524D">
        <w:t>transmission</w:t>
      </w:r>
      <w:r w:rsidR="009C78BB" w:rsidRPr="005626FC">
        <w:t xml:space="preserve"> par voie dématérialisée</w:t>
      </w:r>
    </w:p>
    <w:p w14:paraId="61F1D4B4" w14:textId="43167478" w:rsidR="009C78BB" w:rsidRDefault="009C78BB" w:rsidP="009C78BB">
      <w:pPr>
        <w:rPr>
          <w:color w:val="000000"/>
        </w:rPr>
      </w:pPr>
      <w:r>
        <w:t xml:space="preserve">Avant la transmission de ses candidature et offre, sur le site du profil d’acheteur du Mucem, le candidat doit prendre connaissance des prérequis techniques nécessaires. Un test de configuration des postes de travail est disponible sur le profil d’acheteur. </w:t>
      </w:r>
      <w:r>
        <w:rPr>
          <w:color w:val="000000"/>
        </w:rPr>
        <w:t>Il permet d’effectuer une réponse électronique réelle avec des fichiers de test afin de valider le bon fonctionnement du poste de travail.</w:t>
      </w:r>
    </w:p>
    <w:p w14:paraId="1579F8BA" w14:textId="77777777" w:rsidR="009C78BB" w:rsidRDefault="009C78BB" w:rsidP="00DD524D">
      <w:pPr>
        <w:pStyle w:val="Titre3"/>
      </w:pPr>
      <w:bookmarkStart w:id="57" w:name="_Toc295049619"/>
      <w:bookmarkStart w:id="58" w:name="_Toc295308312"/>
      <w:bookmarkStart w:id="59" w:name="_Ref320806321"/>
      <w:bookmarkStart w:id="60" w:name="_Ref331579615"/>
      <w:bookmarkStart w:id="61" w:name="_Toc295049610"/>
      <w:bookmarkStart w:id="62" w:name="_Toc295308303"/>
      <w:r>
        <w:lastRenderedPageBreak/>
        <w:t>Formats de documents recommandés par le Mucem</w:t>
      </w:r>
      <w:bookmarkEnd w:id="57"/>
      <w:bookmarkEnd w:id="58"/>
      <w:bookmarkEnd w:id="59"/>
      <w:bookmarkEnd w:id="60"/>
    </w:p>
    <w:p w14:paraId="0347AA4D" w14:textId="77777777" w:rsidR="009C78BB" w:rsidRDefault="009C78BB" w:rsidP="009C78BB">
      <w:r>
        <w:t>L’attention du candidat est attirée sur le fait que les fichiers transmis ayant pour extension « .exe » ne seront pas acceptés dans le cadre de la présente consultation.</w:t>
      </w:r>
    </w:p>
    <w:p w14:paraId="6F5CFE52" w14:textId="4FE609D9" w:rsidR="009C78BB" w:rsidRDefault="009C78BB" w:rsidP="009C78BB">
      <w:r>
        <w:t>Les fichiers ayant les extensions suivantes : « .odt », « .doc », « .rtf », «.ods »</w:t>
      </w:r>
      <w:r w:rsidR="007276CD">
        <w:t xml:space="preserve">, </w:t>
      </w:r>
      <w:r>
        <w:t>« .xls », « .pdf » sont recommandés.</w:t>
      </w:r>
    </w:p>
    <w:p w14:paraId="5D959264" w14:textId="77777777" w:rsidR="009C78BB" w:rsidRDefault="009C78BB" w:rsidP="009C78BB">
      <w:r>
        <w:t>Les fichiers ayant l’extension « .zip » sont acceptés.</w:t>
      </w:r>
    </w:p>
    <w:p w14:paraId="28C840F8" w14:textId="77777777" w:rsidR="009C78BB" w:rsidRDefault="009C78BB" w:rsidP="00F03BAC">
      <w:pPr>
        <w:pStyle w:val="Titre2"/>
      </w:pPr>
      <w:bookmarkStart w:id="63" w:name="_Toc295049604"/>
      <w:bookmarkStart w:id="64" w:name="_Toc295308297"/>
      <w:bookmarkStart w:id="65" w:name="_Toc42263684"/>
      <w:bookmarkStart w:id="66" w:name="_Ref303093074"/>
      <w:bookmarkStart w:id="67" w:name="_Toc295049618"/>
      <w:bookmarkStart w:id="68" w:name="_Toc295308311"/>
      <w:bookmarkStart w:id="69" w:name="_Ref303089319"/>
      <w:bookmarkStart w:id="70" w:name="_Toc201743752"/>
      <w:r>
        <w:t>Délai de validité des offres</w:t>
      </w:r>
      <w:bookmarkEnd w:id="63"/>
      <w:bookmarkEnd w:id="64"/>
      <w:bookmarkEnd w:id="65"/>
      <w:bookmarkEnd w:id="70"/>
    </w:p>
    <w:p w14:paraId="25713117" w14:textId="7CFD8D49" w:rsidR="009C78BB" w:rsidRDefault="009C78BB" w:rsidP="009C78BB">
      <w:r>
        <w:t xml:space="preserve">Le délai de validité des offres est fixé à </w:t>
      </w:r>
      <w:r w:rsidR="007276CD">
        <w:rPr>
          <w:b/>
        </w:rPr>
        <w:t>60</w:t>
      </w:r>
      <w:r w:rsidRPr="00870653">
        <w:rPr>
          <w:b/>
        </w:rPr>
        <w:t xml:space="preserve"> jours</w:t>
      </w:r>
      <w:r>
        <w:t xml:space="preserve"> à compter de la date limite de réception des offres.</w:t>
      </w:r>
    </w:p>
    <w:p w14:paraId="02750A07" w14:textId="0863AAC3" w:rsidR="009C78BB" w:rsidRDefault="009C78BB" w:rsidP="00F03BAC">
      <w:pPr>
        <w:pStyle w:val="Titre2"/>
      </w:pPr>
      <w:bookmarkStart w:id="71" w:name="_Ref201219490"/>
      <w:bookmarkStart w:id="72" w:name="_Toc295049611"/>
      <w:bookmarkStart w:id="73" w:name="_Toc295308304"/>
      <w:bookmarkStart w:id="74" w:name="_Ref303093115"/>
      <w:bookmarkStart w:id="75" w:name="_Ref303156965"/>
      <w:bookmarkStart w:id="76" w:name="_Toc42263685"/>
      <w:bookmarkStart w:id="77" w:name="_Toc201743753"/>
      <w:bookmarkEnd w:id="61"/>
      <w:bookmarkEnd w:id="62"/>
      <w:bookmarkEnd w:id="66"/>
      <w:bookmarkEnd w:id="67"/>
      <w:bookmarkEnd w:id="68"/>
      <w:bookmarkEnd w:id="69"/>
      <w:r>
        <w:t xml:space="preserve">Documents à </w:t>
      </w:r>
      <w:r w:rsidRPr="00F03BAC">
        <w:t>produire</w:t>
      </w:r>
      <w:bookmarkEnd w:id="71"/>
      <w:bookmarkEnd w:id="77"/>
      <w:r>
        <w:t xml:space="preserve"> </w:t>
      </w:r>
      <w:bookmarkEnd w:id="72"/>
      <w:bookmarkEnd w:id="73"/>
      <w:bookmarkEnd w:id="74"/>
      <w:bookmarkEnd w:id="75"/>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C78BB" w14:paraId="10AB2832" w14:textId="77777777" w:rsidTr="002C4D97">
        <w:tc>
          <w:tcPr>
            <w:tcW w:w="9628" w:type="dxa"/>
          </w:tcPr>
          <w:p w14:paraId="5F0E4F06" w14:textId="77777777" w:rsidR="009C78BB" w:rsidRPr="0051147B" w:rsidRDefault="009C78BB" w:rsidP="00F03BAC">
            <w:pPr>
              <w:rPr>
                <w:u w:val="single"/>
              </w:rPr>
            </w:pPr>
            <w:bookmarkStart w:id="78" w:name="_Toc295049612"/>
            <w:bookmarkStart w:id="79" w:name="_Toc295308305"/>
            <w:r w:rsidRPr="0051147B">
              <w:rPr>
                <w:u w:val="single"/>
              </w:rPr>
              <w:t>DOCUMENTS ATTESTANT DE LA QUALITE DES CANDIDATS A PRESENTER UNE OFFRE</w:t>
            </w:r>
          </w:p>
          <w:p w14:paraId="1E7E6F7C" w14:textId="77777777" w:rsidR="009C78BB" w:rsidRDefault="009C78BB" w:rsidP="009C78BB">
            <w:pPr>
              <w:pStyle w:val="Listepuces"/>
              <w:tabs>
                <w:tab w:val="clear" w:pos="1276"/>
              </w:tabs>
              <w:suppressAutoHyphens/>
              <w:overflowPunct/>
              <w:autoSpaceDE/>
              <w:autoSpaceDN/>
              <w:adjustRightInd/>
              <w:spacing w:before="120"/>
              <w:ind w:left="1276" w:hanging="425"/>
              <w:textAlignment w:val="auto"/>
            </w:pPr>
            <w:r>
              <w:t>Un extrait du registre du commerce (KBis) ou documents équivalents indiquant les personnes habilitées à engager la société</w:t>
            </w:r>
          </w:p>
          <w:p w14:paraId="7387AAA8" w14:textId="77777777" w:rsidR="009C78BB" w:rsidRDefault="009C78BB" w:rsidP="009C78BB">
            <w:pPr>
              <w:pStyle w:val="Listepuces"/>
              <w:tabs>
                <w:tab w:val="clear" w:pos="1276"/>
              </w:tabs>
              <w:suppressAutoHyphens/>
              <w:overflowPunct/>
              <w:autoSpaceDE/>
              <w:autoSpaceDN/>
              <w:adjustRightInd/>
              <w:spacing w:before="120"/>
              <w:ind w:left="1276" w:hanging="425"/>
              <w:textAlignment w:val="auto"/>
            </w:pPr>
            <w:r w:rsidRPr="0051147B">
              <w:rPr>
                <w:u w:val="single"/>
              </w:rPr>
              <w:t>Si candidat en redressement judiciaire</w:t>
            </w:r>
            <w:r>
              <w:t> </w:t>
            </w:r>
            <w:r w:rsidRPr="00AB490A">
              <w:t>: copie du (ou des) jugement(s) prononcé(s) (candidat ou chaque membre du groupement)</w:t>
            </w:r>
          </w:p>
          <w:p w14:paraId="36AADB3B" w14:textId="77777777" w:rsidR="009C78BB" w:rsidRDefault="009C78BB" w:rsidP="00F03BAC"/>
          <w:p w14:paraId="53A924FF" w14:textId="77777777" w:rsidR="009C78BB" w:rsidRPr="0051147B" w:rsidRDefault="009C78BB" w:rsidP="00F03BAC">
            <w:pPr>
              <w:rPr>
                <w:u w:val="single"/>
              </w:rPr>
            </w:pPr>
            <w:r w:rsidRPr="0051147B">
              <w:rPr>
                <w:u w:val="single"/>
              </w:rPr>
              <w:t>DOCUMENTS PERMETTANT D</w:t>
            </w:r>
            <w:r>
              <w:rPr>
                <w:u w:val="single"/>
              </w:rPr>
              <w:t>’</w:t>
            </w:r>
            <w:r w:rsidRPr="0051147B">
              <w:rPr>
                <w:u w:val="single"/>
              </w:rPr>
              <w:t>APPRECIER LA CAPACITE DES CANDIDATS A REALISER LES PRESTATIONS</w:t>
            </w:r>
          </w:p>
          <w:p w14:paraId="1AFD3E2E" w14:textId="3D6F355B" w:rsidR="009C78BB" w:rsidRDefault="008A7B56" w:rsidP="009C78BB">
            <w:pPr>
              <w:pStyle w:val="Listepuces"/>
              <w:tabs>
                <w:tab w:val="clear" w:pos="1276"/>
              </w:tabs>
              <w:suppressAutoHyphens/>
              <w:overflowPunct/>
              <w:autoSpaceDE/>
              <w:autoSpaceDN/>
              <w:adjustRightInd/>
              <w:spacing w:before="120"/>
              <w:ind w:left="1276" w:hanging="425"/>
              <w:textAlignment w:val="auto"/>
            </w:pPr>
            <w:r>
              <w:rPr>
                <w:b/>
              </w:rPr>
              <w:t>D</w:t>
            </w:r>
            <w:r w:rsidR="009C78BB" w:rsidRPr="003C7F8A">
              <w:rPr>
                <w:b/>
              </w:rPr>
              <w:t xml:space="preserve">éclaration du candidat </w:t>
            </w:r>
            <w:r w:rsidR="009C78BB">
              <w:t>précisant :</w:t>
            </w:r>
          </w:p>
          <w:p w14:paraId="004721A3" w14:textId="2135EC66" w:rsidR="009C78BB" w:rsidRPr="00870653" w:rsidRDefault="00875AE3" w:rsidP="009C78BB">
            <w:pPr>
              <w:pStyle w:val="Listepuces2"/>
              <w:suppressAutoHyphens/>
              <w:overflowPunct/>
              <w:autoSpaceDE/>
              <w:autoSpaceDN/>
              <w:adjustRightInd/>
              <w:spacing w:before="113" w:after="113" w:line="240" w:lineRule="auto"/>
              <w:ind w:hanging="283"/>
              <w:textAlignment w:val="auto"/>
            </w:pPr>
            <w:r>
              <w:t>Le</w:t>
            </w:r>
            <w:r w:rsidR="009C78BB">
              <w:t xml:space="preserve"> chiffre d’affaires global des trois dernières années et le chiffre d’affaires concernant les </w:t>
            </w:r>
            <w:r w:rsidR="00541C94">
              <w:t>missions</w:t>
            </w:r>
            <w:r w:rsidR="009C78BB">
              <w:t xml:space="preserve"> objet du contrat, réalisés au cours de trois derniers exercices </w:t>
            </w:r>
            <w:r w:rsidR="009C78BB" w:rsidRPr="00870653">
              <w:t>disponibles</w:t>
            </w:r>
          </w:p>
          <w:p w14:paraId="43E22329" w14:textId="77777777" w:rsidR="009C78BB" w:rsidRPr="00870653" w:rsidRDefault="009C78BB" w:rsidP="009C78BB">
            <w:pPr>
              <w:pStyle w:val="Listepuces2"/>
              <w:suppressAutoHyphens/>
              <w:overflowPunct/>
              <w:autoSpaceDE/>
              <w:autoSpaceDN/>
              <w:adjustRightInd/>
              <w:spacing w:before="113" w:after="113" w:line="240" w:lineRule="auto"/>
              <w:ind w:hanging="283"/>
              <w:textAlignment w:val="auto"/>
            </w:pPr>
            <w:r w:rsidRPr="00870653">
              <w:t>MOYENS HUMAINS : effectifs moyens annuels et importance du personnel d’encadrement pour chacune des trois dernières années</w:t>
            </w:r>
          </w:p>
          <w:p w14:paraId="556BB788" w14:textId="1E64752C" w:rsidR="009C78BB" w:rsidRPr="00870653" w:rsidRDefault="009C78BB" w:rsidP="009C78BB">
            <w:pPr>
              <w:pStyle w:val="Listepuces2"/>
              <w:suppressAutoHyphens/>
              <w:overflowPunct/>
              <w:autoSpaceDE/>
              <w:autoSpaceDN/>
              <w:adjustRightInd/>
              <w:spacing w:before="113" w:after="113" w:line="240" w:lineRule="auto"/>
              <w:ind w:hanging="283"/>
              <w:textAlignment w:val="auto"/>
            </w:pPr>
            <w:r w:rsidRPr="00870653">
              <w:t xml:space="preserve">MOYENS TECHNIQUES : locaux, agences, outillage, matériel et équipement technique dont le candidat dispose pour la réalisation de </w:t>
            </w:r>
            <w:r w:rsidR="00550CC9">
              <w:t>conventions</w:t>
            </w:r>
            <w:r w:rsidRPr="00870653">
              <w:t xml:space="preserve"> de même nature</w:t>
            </w:r>
          </w:p>
          <w:p w14:paraId="206CCA41" w14:textId="41FFA976" w:rsidR="009C78BB" w:rsidRDefault="009C78BB" w:rsidP="009C78BB">
            <w:pPr>
              <w:pStyle w:val="Listepuces2"/>
              <w:suppressAutoHyphens/>
              <w:overflowPunct/>
              <w:autoSpaceDE/>
              <w:autoSpaceDN/>
              <w:adjustRightInd/>
              <w:spacing w:before="113" w:after="113" w:line="240" w:lineRule="auto"/>
              <w:ind w:hanging="283"/>
              <w:textAlignment w:val="auto"/>
            </w:pPr>
            <w:r w:rsidRPr="00870653">
              <w:t>Liste des principaux services</w:t>
            </w:r>
            <w:r>
              <w:t xml:space="preserve"> effectués au cours des trois dernières années indiquant le montant, la date et le destinataire public ou privé + attestations des destinataires concernés ou déclaration du candidat</w:t>
            </w:r>
          </w:p>
          <w:p w14:paraId="0897DE08" w14:textId="77777777" w:rsidR="009C78BB" w:rsidRDefault="009C78BB" w:rsidP="009C78BB">
            <w:pPr>
              <w:pStyle w:val="Listepuces2"/>
              <w:suppressAutoHyphens/>
              <w:overflowPunct/>
              <w:autoSpaceDE/>
              <w:autoSpaceDN/>
              <w:adjustRightInd/>
              <w:spacing w:before="113" w:after="113" w:line="240" w:lineRule="auto"/>
              <w:ind w:hanging="283"/>
              <w:textAlignment w:val="auto"/>
            </w:pPr>
            <w:r>
              <w:t>Preuve d’une assurance pour les risques professionnels (en cours de validité)</w:t>
            </w:r>
          </w:p>
          <w:p w14:paraId="452D9825" w14:textId="77777777" w:rsidR="009C78BB" w:rsidRDefault="009C78BB" w:rsidP="009C78BB">
            <w:pPr>
              <w:pStyle w:val="Listepuces2"/>
              <w:suppressAutoHyphens/>
              <w:overflowPunct/>
              <w:autoSpaceDE/>
              <w:autoSpaceDN/>
              <w:adjustRightInd/>
              <w:spacing w:before="113" w:after="113" w:line="240" w:lineRule="auto"/>
              <w:ind w:hanging="283"/>
              <w:textAlignment w:val="auto"/>
            </w:pPr>
            <w:r>
              <w:t>Eventuels certificats de qualification professionnelle et/ou certificats de qualité ou références équivalentes.</w:t>
            </w:r>
          </w:p>
          <w:p w14:paraId="0132A8F9" w14:textId="085B0A11" w:rsidR="009C78BB" w:rsidRPr="00403CE8" w:rsidRDefault="009C78BB" w:rsidP="00F03BAC">
            <w:pPr>
              <w:pStyle w:val="Listepuces3"/>
              <w:numPr>
                <w:ilvl w:val="0"/>
                <w:numId w:val="0"/>
              </w:numPr>
              <w:ind w:left="992"/>
              <w:rPr>
                <w:i/>
              </w:rPr>
            </w:pPr>
            <w:r w:rsidRPr="00403CE8">
              <w:rPr>
                <w:i/>
              </w:rPr>
              <w:t>Dans ce cas précis, la preuve de la capacité du candidat peut être apportée par tout moyen, notamment par des certificats d</w:t>
            </w:r>
            <w:r>
              <w:rPr>
                <w:i/>
              </w:rPr>
              <w:t>’</w:t>
            </w:r>
            <w:r w:rsidRPr="00403CE8">
              <w:rPr>
                <w:i/>
              </w:rPr>
              <w:t>identité professionnelle ou des références de travaux attestant de la compétence de l</w:t>
            </w:r>
            <w:r>
              <w:rPr>
                <w:i/>
              </w:rPr>
              <w:t>’</w:t>
            </w:r>
            <w:r w:rsidRPr="00403CE8">
              <w:rPr>
                <w:i/>
              </w:rPr>
              <w:t xml:space="preserve">opérateur économique à réaliser </w:t>
            </w:r>
            <w:r w:rsidR="00541C94">
              <w:rPr>
                <w:i/>
              </w:rPr>
              <w:t>les missions</w:t>
            </w:r>
            <w:r w:rsidRPr="00403CE8">
              <w:rPr>
                <w:i/>
              </w:rPr>
              <w:t xml:space="preserve"> pour laquelle il se porte candidat</w:t>
            </w:r>
            <w:r>
              <w:rPr>
                <w:i/>
              </w:rPr>
              <w:t>.</w:t>
            </w:r>
          </w:p>
          <w:p w14:paraId="0F8910A8" w14:textId="77777777" w:rsidR="009C78BB" w:rsidRDefault="009C78BB" w:rsidP="009C78BB">
            <w:pPr>
              <w:pStyle w:val="Listepuces"/>
              <w:tabs>
                <w:tab w:val="clear" w:pos="1276"/>
              </w:tabs>
              <w:suppressAutoHyphens/>
              <w:overflowPunct/>
              <w:autoSpaceDE/>
              <w:autoSpaceDN/>
              <w:adjustRightInd/>
              <w:spacing w:before="120"/>
              <w:ind w:left="1276" w:hanging="425"/>
              <w:textAlignment w:val="auto"/>
            </w:pPr>
            <w:r>
              <w:t>Si le candidat souhaite la prise en compte, pour l’appréciation de sa candidature, des capacités professionnelles, techniques et financières d’autres opérateurs économiques, il fournit dans son dossier de candidature au titre de ces opérateurs :</w:t>
            </w:r>
          </w:p>
          <w:p w14:paraId="1850B95A" w14:textId="1454136A" w:rsidR="009C78BB" w:rsidRDefault="00875AE3" w:rsidP="009C78BB">
            <w:pPr>
              <w:pStyle w:val="Listepuces2"/>
              <w:suppressAutoHyphens/>
              <w:overflowPunct/>
              <w:autoSpaceDE/>
              <w:autoSpaceDN/>
              <w:adjustRightInd/>
              <w:spacing w:before="113" w:after="113" w:line="240" w:lineRule="auto"/>
              <w:ind w:hanging="283"/>
              <w:textAlignment w:val="auto"/>
            </w:pPr>
            <w:r>
              <w:t>Les</w:t>
            </w:r>
            <w:r w:rsidR="009C78BB">
              <w:t xml:space="preserve"> mêmes renseignements que ceux demandés au titre de sa candidature propre.</w:t>
            </w:r>
          </w:p>
          <w:p w14:paraId="6BE37923" w14:textId="69A26B5C" w:rsidR="009C78BB" w:rsidRDefault="00875AE3" w:rsidP="009C78BB">
            <w:pPr>
              <w:pStyle w:val="Listepuces2"/>
              <w:suppressAutoHyphens/>
              <w:overflowPunct/>
              <w:autoSpaceDE/>
              <w:autoSpaceDN/>
              <w:adjustRightInd/>
              <w:spacing w:before="113" w:after="113" w:line="240" w:lineRule="auto"/>
              <w:ind w:hanging="283"/>
              <w:textAlignment w:val="auto"/>
            </w:pPr>
            <w:r>
              <w:t>Soit</w:t>
            </w:r>
            <w:r w:rsidR="009C78BB">
              <w:t xml:space="preserve"> le contrat de sous-traitance, soit un engagement écrit du ou des sous-traitants.</w:t>
            </w:r>
          </w:p>
        </w:tc>
      </w:tr>
      <w:bookmarkEnd w:id="78"/>
      <w:bookmarkEnd w:id="79"/>
      <w:tr w:rsidR="009C78BB" w14:paraId="060E53BA" w14:textId="77777777" w:rsidTr="00F03BAC">
        <w:trPr>
          <w:trHeight w:val="7219"/>
        </w:trPr>
        <w:tc>
          <w:tcPr>
            <w:tcW w:w="9628" w:type="dxa"/>
          </w:tcPr>
          <w:p w14:paraId="2B04BB3E" w14:textId="77777777" w:rsidR="009C78BB" w:rsidRDefault="009C78BB" w:rsidP="009C78BB">
            <w:pPr>
              <w:pStyle w:val="Listepuces"/>
              <w:tabs>
                <w:tab w:val="clear" w:pos="1276"/>
              </w:tabs>
              <w:suppressAutoHyphens/>
              <w:overflowPunct/>
              <w:autoSpaceDE/>
              <w:autoSpaceDN/>
              <w:adjustRightInd/>
              <w:spacing w:before="120"/>
              <w:ind w:left="1276" w:hanging="425"/>
              <w:textAlignment w:val="auto"/>
            </w:pPr>
            <w:r w:rsidRPr="002E38FB">
              <w:rPr>
                <w:b/>
              </w:rPr>
              <w:lastRenderedPageBreak/>
              <w:t xml:space="preserve">L’offre technique et organisationnelle (mémoire) </w:t>
            </w:r>
            <w:r w:rsidRPr="002E38FB">
              <w:t>qui</w:t>
            </w:r>
            <w:r>
              <w:rPr>
                <w:b/>
              </w:rPr>
              <w:t xml:space="preserve"> </w:t>
            </w:r>
            <w:r>
              <w:t>devra présenter à minima les éléments suivants :</w:t>
            </w:r>
          </w:p>
          <w:p w14:paraId="6F900EB7" w14:textId="77777777" w:rsidR="009C78BB" w:rsidRPr="00B31DB4" w:rsidRDefault="009C78BB" w:rsidP="00DD524D">
            <w:pPr>
              <w:pStyle w:val="Listepuces2"/>
              <w:suppressAutoHyphens/>
              <w:overflowPunct/>
              <w:autoSpaceDE/>
              <w:autoSpaceDN/>
              <w:adjustRightInd/>
              <w:spacing w:before="113" w:after="113" w:line="360" w:lineRule="auto"/>
              <w:ind w:hanging="283"/>
              <w:textAlignment w:val="auto"/>
            </w:pPr>
            <w:r w:rsidRPr="00B31DB4">
              <w:t>Une introduction permettant de vérifier la compréhension du contexte et du besoin</w:t>
            </w:r>
          </w:p>
          <w:p w14:paraId="5A94C4AC" w14:textId="77777777" w:rsidR="009C78BB" w:rsidRPr="00B31DB4" w:rsidRDefault="009C78BB" w:rsidP="00DD524D">
            <w:pPr>
              <w:pStyle w:val="Listepuces2"/>
              <w:suppressAutoHyphens/>
              <w:overflowPunct/>
              <w:autoSpaceDE/>
              <w:autoSpaceDN/>
              <w:adjustRightInd/>
              <w:spacing w:before="113" w:after="113" w:line="360" w:lineRule="auto"/>
              <w:ind w:hanging="283"/>
              <w:textAlignment w:val="auto"/>
            </w:pPr>
            <w:r w:rsidRPr="00B31DB4">
              <w:t>Un descriptif des produits proposés avec les fiches techniques et les photos du produit</w:t>
            </w:r>
          </w:p>
          <w:p w14:paraId="1849D7D9" w14:textId="77777777" w:rsidR="009C78BB" w:rsidRPr="00B31DB4" w:rsidRDefault="009C78BB" w:rsidP="00DD524D">
            <w:pPr>
              <w:pStyle w:val="Listepuces2"/>
              <w:suppressAutoHyphens/>
              <w:overflowPunct/>
              <w:autoSpaceDE/>
              <w:autoSpaceDN/>
              <w:adjustRightInd/>
              <w:spacing w:before="113" w:after="113" w:line="360" w:lineRule="auto"/>
              <w:ind w:hanging="283"/>
              <w:textAlignment w:val="auto"/>
            </w:pPr>
            <w:r w:rsidRPr="00B31DB4">
              <w:t>Une présentation technique et esthétique des distributeurs proposés, notamment un descriptif technique de chaque matériel accompagné d’une photo ainsi que le système de sécurisation prévu</w:t>
            </w:r>
          </w:p>
          <w:p w14:paraId="63EA5FBE" w14:textId="77777777" w:rsidR="009C78BB" w:rsidRPr="00B31DB4" w:rsidRDefault="009C78BB" w:rsidP="00DD524D">
            <w:pPr>
              <w:pStyle w:val="Listepuces2"/>
              <w:suppressAutoHyphens/>
              <w:overflowPunct/>
              <w:autoSpaceDE/>
              <w:autoSpaceDN/>
              <w:adjustRightInd/>
              <w:spacing w:before="113" w:after="113" w:line="360" w:lineRule="auto"/>
              <w:ind w:hanging="283"/>
              <w:textAlignment w:val="auto"/>
            </w:pPr>
            <w:r w:rsidRPr="00B31DB4">
              <w:t>Une proposition d’aménagement, incluant éventuellement du mobilier, au niveau R+4</w:t>
            </w:r>
          </w:p>
          <w:p w14:paraId="3167F9E7" w14:textId="604B8C94" w:rsidR="009C78BB" w:rsidRDefault="009C78BB" w:rsidP="00DD524D">
            <w:pPr>
              <w:pStyle w:val="Listepuces2"/>
              <w:suppressAutoHyphens/>
              <w:overflowPunct/>
              <w:autoSpaceDE/>
              <w:autoSpaceDN/>
              <w:adjustRightInd/>
              <w:spacing w:before="113" w:after="113" w:line="360" w:lineRule="auto"/>
              <w:ind w:hanging="283"/>
              <w:textAlignment w:val="auto"/>
            </w:pPr>
            <w:r w:rsidRPr="00B31DB4">
              <w:t>Une présentation exhaustive des tarifs proposés par distributeur</w:t>
            </w:r>
          </w:p>
          <w:p w14:paraId="4D5CE2B4" w14:textId="1911D4AB" w:rsidR="00536C52" w:rsidRPr="00B31DB4" w:rsidRDefault="00536C52" w:rsidP="00DD524D">
            <w:pPr>
              <w:pStyle w:val="Listepuces2"/>
              <w:suppressAutoHyphens/>
              <w:overflowPunct/>
              <w:autoSpaceDE/>
              <w:autoSpaceDN/>
              <w:adjustRightInd/>
              <w:spacing w:before="113" w:after="113" w:line="360" w:lineRule="auto"/>
              <w:ind w:hanging="283"/>
              <w:textAlignment w:val="auto"/>
            </w:pPr>
            <w:r>
              <w:t xml:space="preserve">Une projection du chiffre d’affaires sur l’ensemble de la période d’exploitation </w:t>
            </w:r>
          </w:p>
          <w:p w14:paraId="7CEAF2BF" w14:textId="77777777" w:rsidR="009C78BB" w:rsidRPr="00B31DB4" w:rsidRDefault="009C78BB" w:rsidP="00DD524D">
            <w:pPr>
              <w:pStyle w:val="Listepuces2"/>
              <w:suppressAutoHyphens/>
              <w:overflowPunct/>
              <w:autoSpaceDE/>
              <w:autoSpaceDN/>
              <w:adjustRightInd/>
              <w:spacing w:before="113" w:after="113" w:line="360" w:lineRule="auto"/>
              <w:ind w:hanging="283"/>
              <w:textAlignment w:val="auto"/>
            </w:pPr>
            <w:r w:rsidRPr="00B31DB4">
              <w:t>La méthodologie pour assurer l’approvisionnement, la maintenance et le SAV, en précisant notamment les délais</w:t>
            </w:r>
          </w:p>
          <w:p w14:paraId="5C6F95CD" w14:textId="6EADFAEB" w:rsidR="009C78BB" w:rsidRPr="00B31DB4" w:rsidRDefault="009C78BB" w:rsidP="00DD524D">
            <w:pPr>
              <w:pStyle w:val="Listepuces2"/>
              <w:suppressAutoHyphens/>
              <w:overflowPunct/>
              <w:autoSpaceDE/>
              <w:autoSpaceDN/>
              <w:adjustRightInd/>
              <w:spacing w:before="113" w:after="113" w:line="360" w:lineRule="auto"/>
              <w:ind w:hanging="283"/>
              <w:textAlignment w:val="auto"/>
            </w:pPr>
            <w:r w:rsidRPr="00B31DB4">
              <w:t>Le planning général prévisionnel pour une installation</w:t>
            </w:r>
            <w:r w:rsidR="000C7249">
              <w:t xml:space="preserve">, </w:t>
            </w:r>
            <w:r w:rsidRPr="00B31DB4">
              <w:t>en favorisant le mardi, jour de fermeture du Mucem</w:t>
            </w:r>
          </w:p>
          <w:p w14:paraId="3FD2C299" w14:textId="279DD524" w:rsidR="009C78BB" w:rsidRDefault="009C78BB" w:rsidP="00DD524D">
            <w:pPr>
              <w:pStyle w:val="Listepuces2"/>
              <w:suppressAutoHyphens/>
              <w:overflowPunct/>
              <w:autoSpaceDE/>
              <w:autoSpaceDN/>
              <w:adjustRightInd/>
              <w:spacing w:before="113" w:after="113" w:line="360" w:lineRule="auto"/>
              <w:ind w:hanging="283"/>
              <w:textAlignment w:val="auto"/>
            </w:pPr>
            <w:r w:rsidRPr="00B31DB4">
              <w:t>La composition de l’équipe (si plusieurs personnes sont prévues) qui assurera l</w:t>
            </w:r>
            <w:r w:rsidR="00DD524D">
              <w:t>es missions au titre de l’AOT</w:t>
            </w:r>
            <w:r w:rsidRPr="00B31DB4">
              <w:t xml:space="preserve"> (CV à fournir </w:t>
            </w:r>
            <w:r w:rsidR="00DD524D">
              <w:t xml:space="preserve">au moins </w:t>
            </w:r>
            <w:r w:rsidRPr="00B31DB4">
              <w:t>pour l’interlocuteur principal)</w:t>
            </w:r>
          </w:p>
          <w:p w14:paraId="13803B5B" w14:textId="77777777" w:rsidR="009C78BB" w:rsidRPr="000B6029" w:rsidRDefault="009C78BB" w:rsidP="00DD524D">
            <w:pPr>
              <w:pStyle w:val="Listepuces2"/>
              <w:suppressAutoHyphens/>
              <w:overflowPunct/>
              <w:autoSpaceDE/>
              <w:autoSpaceDN/>
              <w:adjustRightInd/>
              <w:spacing w:before="113" w:after="113" w:line="360" w:lineRule="auto"/>
              <w:ind w:hanging="283"/>
              <w:textAlignment w:val="auto"/>
            </w:pPr>
            <w:r w:rsidRPr="000B6029">
              <w:t>Une description de la procédure de remboursement applicable lorsque les utilisateurs n’ont pas obtenu leurs produits (monnaie avalée par les machines par exemple)</w:t>
            </w:r>
          </w:p>
          <w:p w14:paraId="49B0287E" w14:textId="23B52DC3" w:rsidR="009C78BB" w:rsidRPr="008A7B56" w:rsidRDefault="008A7B56" w:rsidP="008A7B56">
            <w:r>
              <w:t>Un</w:t>
            </w:r>
            <w:r w:rsidR="009C78BB">
              <w:t xml:space="preserve"> tableau complètera l’offre du candidat, en rappelant </w:t>
            </w:r>
            <w:r>
              <w:t xml:space="preserve">notamment </w:t>
            </w:r>
            <w:r w:rsidR="009C78BB">
              <w:t>les implantations de chaque machine avec, pour chacune d’elles, les produits proposés et leurs tarifs</w:t>
            </w:r>
            <w:r>
              <w:t>.</w:t>
            </w:r>
          </w:p>
        </w:tc>
      </w:tr>
      <w:tr w:rsidR="009C78BB" w14:paraId="3F387AA3" w14:textId="77777777" w:rsidTr="00F03BAC">
        <w:tc>
          <w:tcPr>
            <w:tcW w:w="9628" w:type="dxa"/>
          </w:tcPr>
          <w:p w14:paraId="6EAEB3E6" w14:textId="26222BF9" w:rsidR="009C78BB" w:rsidRPr="00B31DB4" w:rsidRDefault="009C78BB" w:rsidP="009C78BB">
            <w:pPr>
              <w:pStyle w:val="Listepuces"/>
              <w:tabs>
                <w:tab w:val="clear" w:pos="1276"/>
              </w:tabs>
              <w:suppressAutoHyphens/>
              <w:overflowPunct/>
              <w:autoSpaceDE/>
              <w:autoSpaceDN/>
              <w:adjustRightInd/>
              <w:spacing w:before="120"/>
              <w:ind w:left="1276" w:hanging="425"/>
              <w:textAlignment w:val="auto"/>
            </w:pPr>
            <w:r w:rsidRPr="00B31DB4">
              <w:t xml:space="preserve">L’attestation de visite signée par l’accompagnant du Mucem </w:t>
            </w:r>
          </w:p>
        </w:tc>
      </w:tr>
      <w:tr w:rsidR="009C78BB" w:rsidRPr="0047651B" w14:paraId="5A628D35" w14:textId="77777777" w:rsidTr="00F03BAC">
        <w:tc>
          <w:tcPr>
            <w:tcW w:w="9628" w:type="dxa"/>
          </w:tcPr>
          <w:p w14:paraId="74C59142" w14:textId="77777777" w:rsidR="009C78BB" w:rsidRPr="0047651B" w:rsidRDefault="009C78BB" w:rsidP="009C78BB">
            <w:pPr>
              <w:pStyle w:val="Listepuces"/>
              <w:tabs>
                <w:tab w:val="clear" w:pos="1276"/>
              </w:tabs>
              <w:suppressAutoHyphens/>
              <w:overflowPunct/>
              <w:autoSpaceDE/>
              <w:autoSpaceDN/>
              <w:adjustRightInd/>
              <w:spacing w:before="120"/>
              <w:ind w:left="1276" w:hanging="425"/>
              <w:textAlignment w:val="auto"/>
            </w:pPr>
            <w:r w:rsidRPr="0047651B">
              <w:t>Tout document complémentaire que le candidat jugera utile à la présentation de son offre</w:t>
            </w:r>
          </w:p>
        </w:tc>
      </w:tr>
    </w:tbl>
    <w:p w14:paraId="73694A5C" w14:textId="78A96216" w:rsidR="00F03BAC" w:rsidRDefault="00F03BAC" w:rsidP="00F03BAC">
      <w:pPr>
        <w:pStyle w:val="Titre1"/>
      </w:pPr>
      <w:bookmarkStart w:id="80" w:name="_Toc42263688"/>
      <w:bookmarkStart w:id="81" w:name="_Toc201743754"/>
      <w:r w:rsidRPr="00F03BAC">
        <w:t>Conditions</w:t>
      </w:r>
      <w:r>
        <w:t xml:space="preserve"> de jugement des offres</w:t>
      </w:r>
      <w:bookmarkEnd w:id="80"/>
      <w:bookmarkEnd w:id="81"/>
    </w:p>
    <w:p w14:paraId="2956A3C2" w14:textId="4606C456" w:rsidR="00F03BAC" w:rsidRDefault="00F03BAC" w:rsidP="00F03BAC">
      <w:pPr>
        <w:pStyle w:val="Titre2"/>
      </w:pPr>
      <w:bookmarkStart w:id="82" w:name="_Toc295049622"/>
      <w:bookmarkStart w:id="83" w:name="_Toc295308315"/>
      <w:bookmarkStart w:id="84" w:name="_Toc42263689"/>
      <w:bookmarkStart w:id="85" w:name="_Toc201743755"/>
      <w:r>
        <w:t xml:space="preserve">Analyse de la conformité </w:t>
      </w:r>
      <w:bookmarkEnd w:id="82"/>
      <w:bookmarkEnd w:id="83"/>
      <w:r w:rsidR="008A7B56">
        <w:t>des</w:t>
      </w:r>
      <w:r>
        <w:t xml:space="preserve"> offres</w:t>
      </w:r>
      <w:bookmarkEnd w:id="84"/>
      <w:bookmarkEnd w:id="85"/>
    </w:p>
    <w:p w14:paraId="7BD51886" w14:textId="77777777" w:rsidR="00F03BAC" w:rsidRDefault="00F03BAC" w:rsidP="00F03BAC">
      <w:r>
        <w:t>Il sera procédé aux examens suivants :</w:t>
      </w:r>
    </w:p>
    <w:p w14:paraId="391ABEB9" w14:textId="1B495EAA" w:rsidR="00F03BAC" w:rsidRDefault="00875AE3" w:rsidP="00F03BAC">
      <w:pPr>
        <w:pStyle w:val="Listepuces"/>
        <w:tabs>
          <w:tab w:val="clear" w:pos="1276"/>
        </w:tabs>
        <w:suppressAutoHyphens/>
        <w:overflowPunct/>
        <w:autoSpaceDE/>
        <w:autoSpaceDN/>
        <w:adjustRightInd/>
        <w:spacing w:before="120"/>
        <w:ind w:left="1276" w:hanging="425"/>
        <w:textAlignment w:val="auto"/>
      </w:pPr>
      <w:r>
        <w:t>Vérification</w:t>
      </w:r>
      <w:r w:rsidR="00F03BAC">
        <w:t xml:space="preserve"> de la remise dans les formes et délais imposés </w:t>
      </w:r>
    </w:p>
    <w:p w14:paraId="5213845D" w14:textId="5BB435B1" w:rsidR="00F03BAC" w:rsidRDefault="00875AE3" w:rsidP="00F03BAC">
      <w:pPr>
        <w:pStyle w:val="Listepuces"/>
        <w:tabs>
          <w:tab w:val="clear" w:pos="1276"/>
        </w:tabs>
        <w:suppressAutoHyphens/>
        <w:overflowPunct/>
        <w:autoSpaceDE/>
        <w:autoSpaceDN/>
        <w:adjustRightInd/>
        <w:spacing w:before="120"/>
        <w:ind w:left="1276" w:hanging="425"/>
        <w:textAlignment w:val="auto"/>
      </w:pPr>
      <w:r>
        <w:t>Vérification</w:t>
      </w:r>
      <w:r w:rsidR="00F03BAC">
        <w:t xml:space="preserve"> que le candidat n’est pas soumis à une interdiction de soumissionner (présence de déclarations sur l’honneur adéquates)</w:t>
      </w:r>
    </w:p>
    <w:p w14:paraId="51C9D6B9" w14:textId="07686F5B" w:rsidR="00F03BAC" w:rsidRDefault="00875AE3" w:rsidP="00F03BAC">
      <w:pPr>
        <w:pStyle w:val="Listepuces"/>
        <w:tabs>
          <w:tab w:val="clear" w:pos="1276"/>
        </w:tabs>
        <w:suppressAutoHyphens/>
        <w:overflowPunct/>
        <w:autoSpaceDE/>
        <w:autoSpaceDN/>
        <w:adjustRightInd/>
        <w:spacing w:before="120"/>
        <w:ind w:left="1276" w:hanging="425"/>
        <w:textAlignment w:val="auto"/>
      </w:pPr>
      <w:r>
        <w:t>Vérification</w:t>
      </w:r>
      <w:r w:rsidR="00F03BAC">
        <w:t xml:space="preserve"> que le candidat a produit l’intégralité des pièces exigées </w:t>
      </w:r>
      <w:r w:rsidR="00825F99">
        <w:t xml:space="preserve">à </w:t>
      </w:r>
      <w:r w:rsidR="00825F99" w:rsidRPr="00825F99">
        <w:rPr>
          <w:b/>
          <w:i/>
          <w:color w:val="595959"/>
        </w:rPr>
        <w:t xml:space="preserve">l’article </w:t>
      </w:r>
      <w:r w:rsidR="00825F99">
        <w:rPr>
          <w:b/>
          <w:i/>
          <w:color w:val="595959"/>
        </w:rPr>
        <w:fldChar w:fldCharType="begin"/>
      </w:r>
      <w:r w:rsidR="00825F99">
        <w:rPr>
          <w:b/>
          <w:i/>
          <w:color w:val="595959"/>
        </w:rPr>
        <w:instrText xml:space="preserve"> REF _Ref201219490 \r \h </w:instrText>
      </w:r>
      <w:r w:rsidR="00825F99">
        <w:rPr>
          <w:b/>
          <w:i/>
          <w:color w:val="595959"/>
        </w:rPr>
      </w:r>
      <w:r w:rsidR="00825F99">
        <w:rPr>
          <w:b/>
          <w:i/>
          <w:color w:val="595959"/>
        </w:rPr>
        <w:fldChar w:fldCharType="separate"/>
      </w:r>
      <w:r w:rsidR="00813D99">
        <w:rPr>
          <w:b/>
          <w:i/>
          <w:color w:val="595959"/>
        </w:rPr>
        <w:t>6.7</w:t>
      </w:r>
      <w:r w:rsidR="00825F99">
        <w:rPr>
          <w:b/>
          <w:i/>
          <w:color w:val="595959"/>
        </w:rPr>
        <w:fldChar w:fldCharType="end"/>
      </w:r>
      <w:r w:rsidR="00825F99">
        <w:rPr>
          <w:b/>
          <w:i/>
          <w:color w:val="595959"/>
        </w:rPr>
        <w:t xml:space="preserve"> du présent document</w:t>
      </w:r>
      <w:r w:rsidR="00F03BAC" w:rsidRPr="000B6029">
        <w:t>, dans les f</w:t>
      </w:r>
      <w:r w:rsidR="00F03BAC">
        <w:t>ormes requises</w:t>
      </w:r>
    </w:p>
    <w:p w14:paraId="66BE20DE" w14:textId="77777777" w:rsidR="00F03BAC" w:rsidRDefault="00F03BAC" w:rsidP="00F03BAC">
      <w:r>
        <w:t xml:space="preserve">La vérification de l’aptitude des candidats non exclus au titre des précédents points sera effectuée après examen des documents exigés, conformément aux </w:t>
      </w:r>
      <w:r w:rsidRPr="00C31D42">
        <w:t>critères relatifs</w:t>
      </w:r>
      <w:r>
        <w:t> :</w:t>
      </w:r>
    </w:p>
    <w:p w14:paraId="26FFE3A7" w14:textId="52A3A4FD" w:rsidR="00F03BAC" w:rsidRPr="00463B05" w:rsidRDefault="00875AE3" w:rsidP="00F03BAC">
      <w:pPr>
        <w:pStyle w:val="Listepuces"/>
        <w:tabs>
          <w:tab w:val="clear" w:pos="1276"/>
        </w:tabs>
        <w:suppressAutoHyphens/>
        <w:overflowPunct/>
        <w:autoSpaceDE/>
        <w:autoSpaceDN/>
        <w:adjustRightInd/>
        <w:spacing w:before="120"/>
        <w:ind w:left="1276" w:hanging="425"/>
        <w:textAlignment w:val="auto"/>
      </w:pPr>
      <w:r w:rsidRPr="00463B05">
        <w:t>À</w:t>
      </w:r>
      <w:r w:rsidR="00F03BAC" w:rsidRPr="00463B05">
        <w:t xml:space="preserve"> </w:t>
      </w:r>
      <w:r w:rsidR="00F03BAC" w:rsidRPr="005E07DF">
        <w:t>leurs capacités économiques et financières</w:t>
      </w:r>
    </w:p>
    <w:p w14:paraId="41CD52F0" w14:textId="16D992DF" w:rsidR="00F03BAC" w:rsidRPr="00463B05" w:rsidRDefault="00875AE3" w:rsidP="00F03BAC">
      <w:pPr>
        <w:pStyle w:val="Listepuces"/>
        <w:tabs>
          <w:tab w:val="clear" w:pos="1276"/>
        </w:tabs>
        <w:suppressAutoHyphens/>
        <w:overflowPunct/>
        <w:autoSpaceDE/>
        <w:autoSpaceDN/>
        <w:adjustRightInd/>
        <w:spacing w:before="120"/>
        <w:ind w:left="1276" w:hanging="425"/>
        <w:textAlignment w:val="auto"/>
      </w:pPr>
      <w:r w:rsidRPr="00463B05">
        <w:t>À</w:t>
      </w:r>
      <w:r w:rsidR="00F03BAC" w:rsidRPr="00463B05">
        <w:t xml:space="preserve"> leurs </w:t>
      </w:r>
      <w:r w:rsidR="00F03BAC" w:rsidRPr="005E07DF">
        <w:rPr>
          <w:b/>
        </w:rPr>
        <w:t>capacités professionnelles et techniques</w:t>
      </w:r>
      <w:r w:rsidR="00F03BAC" w:rsidRPr="00463B05">
        <w:t xml:space="preserve"> eu égard à l’objet </w:t>
      </w:r>
      <w:r w:rsidR="00F03BAC">
        <w:t>de la convention</w:t>
      </w:r>
    </w:p>
    <w:p w14:paraId="7CF38FC9" w14:textId="77777777" w:rsidR="00F03BAC" w:rsidRDefault="00F03BAC" w:rsidP="00F03BAC">
      <w:pPr>
        <w:pStyle w:val="Titre2"/>
      </w:pPr>
      <w:bookmarkStart w:id="86" w:name="_Toc42263691"/>
      <w:bookmarkStart w:id="87" w:name="_Toc295049624"/>
      <w:bookmarkStart w:id="88" w:name="_Toc295308317"/>
      <w:bookmarkStart w:id="89" w:name="_Toc201743756"/>
      <w:r w:rsidRPr="004B2F6B">
        <w:t xml:space="preserve">Disposition pour la vérification </w:t>
      </w:r>
      <w:r w:rsidRPr="00F03BAC">
        <w:t>des</w:t>
      </w:r>
      <w:r w:rsidRPr="004B2F6B">
        <w:t xml:space="preserve"> offres</w:t>
      </w:r>
      <w:bookmarkEnd w:id="86"/>
      <w:bookmarkEnd w:id="89"/>
    </w:p>
    <w:p w14:paraId="26E0009E" w14:textId="4C90B844" w:rsidR="00F03BAC" w:rsidRDefault="00F03BAC" w:rsidP="00F03BAC">
      <w:r w:rsidRPr="00364714">
        <w:t>Des précisions pour</w:t>
      </w:r>
      <w:r w:rsidR="008A7B56">
        <w:t>ront être demandées au candidat</w:t>
      </w:r>
      <w:r w:rsidRPr="00364714">
        <w:t xml:space="preserve"> lorsque l’offre n’est pas suffisamment</w:t>
      </w:r>
      <w:r>
        <w:t xml:space="preserve"> </w:t>
      </w:r>
      <w:r w:rsidRPr="00364714">
        <w:t>claire et doit être précisée.</w:t>
      </w:r>
    </w:p>
    <w:p w14:paraId="7A8464C4" w14:textId="77777777" w:rsidR="00F03BAC" w:rsidRDefault="00F03BAC" w:rsidP="00F03BAC">
      <w:pPr>
        <w:pStyle w:val="Titre2"/>
      </w:pPr>
      <w:bookmarkStart w:id="90" w:name="_Ref404590117"/>
      <w:bookmarkStart w:id="91" w:name="_Ref422816786"/>
      <w:bookmarkStart w:id="92" w:name="_Toc42263692"/>
      <w:bookmarkStart w:id="93" w:name="_Toc201743757"/>
      <w:r>
        <w:lastRenderedPageBreak/>
        <w:t xml:space="preserve">Choix </w:t>
      </w:r>
      <w:bookmarkEnd w:id="87"/>
      <w:bookmarkEnd w:id="88"/>
      <w:r>
        <w:t>de l’offre attributaire</w:t>
      </w:r>
      <w:bookmarkEnd w:id="90"/>
      <w:r>
        <w:t xml:space="preserve"> – critères d’évaluation des offres</w:t>
      </w:r>
      <w:bookmarkEnd w:id="91"/>
      <w:bookmarkEnd w:id="92"/>
      <w:bookmarkEnd w:id="93"/>
    </w:p>
    <w:p w14:paraId="441ABC52" w14:textId="0D1D09CE" w:rsidR="00F03BAC" w:rsidRDefault="00F03BAC" w:rsidP="00F03BAC">
      <w:bookmarkStart w:id="94" w:name="_Toc303244143"/>
      <w:r>
        <w:t xml:space="preserve">L’offre retenue sera </w:t>
      </w:r>
      <w:r w:rsidRPr="00EB043D">
        <w:t>l’</w:t>
      </w:r>
      <w:r w:rsidRPr="00CA4618">
        <w:rPr>
          <w:b/>
        </w:rPr>
        <w:t>offre</w:t>
      </w:r>
      <w:r>
        <w:rPr>
          <w:b/>
        </w:rPr>
        <w:t>,</w:t>
      </w:r>
      <w:r w:rsidRPr="00CA4618">
        <w:rPr>
          <w:b/>
        </w:rPr>
        <w:t xml:space="preserve"> conforme au</w:t>
      </w:r>
      <w:r w:rsidR="000A61EC">
        <w:rPr>
          <w:b/>
        </w:rPr>
        <w:t>x</w:t>
      </w:r>
      <w:r w:rsidRPr="00CA4618">
        <w:rPr>
          <w:b/>
        </w:rPr>
        <w:t xml:space="preserve"> </w:t>
      </w:r>
      <w:r w:rsidR="000A61EC">
        <w:rPr>
          <w:b/>
        </w:rPr>
        <w:t>besoins décrits dans la présente convention</w:t>
      </w:r>
      <w:r>
        <w:rPr>
          <w:b/>
        </w:rPr>
        <w:t>,</w:t>
      </w:r>
      <w:r>
        <w:t xml:space="preserve"> </w:t>
      </w:r>
      <w:r w:rsidRPr="00CA4618">
        <w:rPr>
          <w:b/>
        </w:rPr>
        <w:t>économiquement la plus avantageuse</w:t>
      </w:r>
      <w:r w:rsidRPr="00EB043D">
        <w:t xml:space="preserve"> appréciée au vu des</w:t>
      </w:r>
      <w:r>
        <w:t xml:space="preserve"> éléments fournis dans le dossier de réponse, en fonction des critères et selon la pondération ci-dessous :</w:t>
      </w:r>
    </w:p>
    <w:p w14:paraId="2A982A43" w14:textId="77777777" w:rsidR="00F03BAC" w:rsidRDefault="00F03BAC" w:rsidP="00F03BAC"/>
    <w:tbl>
      <w:tblPr>
        <w:tblW w:w="5006" w:type="pct"/>
        <w:tblInd w:w="-5" w:type="dxa"/>
        <w:tblLayout w:type="fixed"/>
        <w:tblCellMar>
          <w:left w:w="70" w:type="dxa"/>
          <w:right w:w="70" w:type="dxa"/>
        </w:tblCellMar>
        <w:tblLook w:val="04A0" w:firstRow="1" w:lastRow="0" w:firstColumn="1" w:lastColumn="0" w:noHBand="0" w:noVBand="1"/>
      </w:tblPr>
      <w:tblGrid>
        <w:gridCol w:w="4677"/>
        <w:gridCol w:w="1986"/>
        <w:gridCol w:w="1134"/>
        <w:gridCol w:w="1843"/>
      </w:tblGrid>
      <w:tr w:rsidR="00F03BAC" w:rsidRPr="000B6029" w14:paraId="63F3BEF7" w14:textId="77777777" w:rsidTr="00870D93">
        <w:trPr>
          <w:trHeight w:val="510"/>
          <w:tblHeader/>
        </w:trPr>
        <w:tc>
          <w:tcPr>
            <w:tcW w:w="2426"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2A9A188B" w14:textId="77777777" w:rsidR="00F03BAC" w:rsidRPr="000B6029" w:rsidRDefault="00F03BAC" w:rsidP="00F03BAC">
            <w:pPr>
              <w:spacing w:after="0"/>
              <w:jc w:val="center"/>
              <w:rPr>
                <w:rFonts w:cs="Arial"/>
                <w:b/>
                <w:bCs/>
                <w:color w:val="000000"/>
                <w:szCs w:val="22"/>
              </w:rPr>
            </w:pPr>
            <w:r w:rsidRPr="000B6029">
              <w:rPr>
                <w:rFonts w:cs="Arial"/>
                <w:b/>
                <w:bCs/>
                <w:color w:val="000000"/>
                <w:szCs w:val="22"/>
              </w:rPr>
              <w:t>CRITERES ET SOUS-CRITERES</w:t>
            </w:r>
          </w:p>
        </w:tc>
        <w:tc>
          <w:tcPr>
            <w:tcW w:w="1030" w:type="pct"/>
            <w:tcBorders>
              <w:top w:val="single" w:sz="4" w:space="0" w:color="5A5A5A"/>
              <w:left w:val="nil"/>
              <w:bottom w:val="single" w:sz="4" w:space="0" w:color="5A5A5A"/>
              <w:right w:val="single" w:sz="4" w:space="0" w:color="5A5A5A"/>
            </w:tcBorders>
            <w:shd w:val="clear" w:color="000000" w:fill="B8CCE4"/>
            <w:vAlign w:val="center"/>
            <w:hideMark/>
          </w:tcPr>
          <w:p w14:paraId="74AC5BEB" w14:textId="77777777" w:rsidR="00F03BAC" w:rsidRPr="000B6029" w:rsidRDefault="00F03BAC" w:rsidP="00F03BAC">
            <w:pPr>
              <w:spacing w:after="0"/>
              <w:jc w:val="center"/>
              <w:rPr>
                <w:rFonts w:cs="Arial"/>
                <w:b/>
                <w:bCs/>
                <w:color w:val="000000"/>
                <w:szCs w:val="22"/>
              </w:rPr>
            </w:pPr>
            <w:r w:rsidRPr="000B6029">
              <w:rPr>
                <w:rFonts w:cs="Arial"/>
                <w:b/>
                <w:bCs/>
                <w:color w:val="000000"/>
                <w:szCs w:val="22"/>
              </w:rPr>
              <w:t>BASE D'EVALUATION</w:t>
            </w:r>
          </w:p>
        </w:tc>
        <w:tc>
          <w:tcPr>
            <w:tcW w:w="588" w:type="pct"/>
            <w:tcBorders>
              <w:top w:val="single" w:sz="4" w:space="0" w:color="5A5A5A"/>
              <w:left w:val="nil"/>
              <w:bottom w:val="single" w:sz="4" w:space="0" w:color="5A5A5A"/>
              <w:right w:val="nil"/>
            </w:tcBorders>
            <w:shd w:val="clear" w:color="000000" w:fill="B8CCE4"/>
            <w:vAlign w:val="center"/>
            <w:hideMark/>
          </w:tcPr>
          <w:p w14:paraId="134F34E5" w14:textId="77777777" w:rsidR="00F03BAC" w:rsidRPr="000B6029" w:rsidRDefault="00F03BAC" w:rsidP="00F03BAC">
            <w:pPr>
              <w:spacing w:after="0"/>
              <w:jc w:val="center"/>
              <w:rPr>
                <w:rFonts w:cs="Arial"/>
                <w:b/>
                <w:bCs/>
                <w:color w:val="000000"/>
              </w:rPr>
            </w:pPr>
            <w:r w:rsidRPr="000B6029">
              <w:rPr>
                <w:rFonts w:cs="Arial"/>
                <w:b/>
                <w:bCs/>
                <w:color w:val="000000"/>
              </w:rPr>
              <w:t>Note max pondérée</w:t>
            </w:r>
          </w:p>
        </w:tc>
        <w:tc>
          <w:tcPr>
            <w:tcW w:w="956"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60ACE5AB" w14:textId="77777777" w:rsidR="00F03BAC" w:rsidRPr="000B6029" w:rsidRDefault="00F03BAC" w:rsidP="00F03BAC">
            <w:pPr>
              <w:spacing w:after="0"/>
              <w:jc w:val="center"/>
              <w:rPr>
                <w:rFonts w:cs="Arial"/>
                <w:b/>
                <w:bCs/>
                <w:color w:val="000000"/>
              </w:rPr>
            </w:pPr>
            <w:r w:rsidRPr="000B6029">
              <w:rPr>
                <w:rFonts w:cs="Arial"/>
                <w:b/>
                <w:bCs/>
                <w:color w:val="000000"/>
              </w:rPr>
              <w:t>Méthode de notation</w:t>
            </w:r>
          </w:p>
        </w:tc>
      </w:tr>
      <w:tr w:rsidR="00F03BAC" w:rsidRPr="000B6029" w14:paraId="0359AAC5" w14:textId="77777777" w:rsidTr="00870D93">
        <w:trPr>
          <w:trHeight w:val="300"/>
        </w:trPr>
        <w:tc>
          <w:tcPr>
            <w:tcW w:w="2426" w:type="pct"/>
            <w:tcBorders>
              <w:top w:val="nil"/>
              <w:left w:val="single" w:sz="4" w:space="0" w:color="5A5A5A"/>
              <w:bottom w:val="single" w:sz="4" w:space="0" w:color="auto"/>
              <w:right w:val="single" w:sz="4" w:space="0" w:color="5A5A5A"/>
            </w:tcBorders>
            <w:shd w:val="clear" w:color="000000" w:fill="D8D8D8"/>
            <w:vAlign w:val="center"/>
            <w:hideMark/>
          </w:tcPr>
          <w:p w14:paraId="18F1EE83" w14:textId="77777777" w:rsidR="00F03BAC" w:rsidRPr="000B6029" w:rsidRDefault="00F03BAC" w:rsidP="00F03BAC">
            <w:pPr>
              <w:spacing w:after="0"/>
              <w:jc w:val="left"/>
              <w:rPr>
                <w:rFonts w:cs="Arial"/>
                <w:b/>
                <w:bCs/>
                <w:color w:val="000000"/>
                <w:szCs w:val="22"/>
              </w:rPr>
            </w:pPr>
            <w:r w:rsidRPr="000B6029">
              <w:rPr>
                <w:rFonts w:cs="Arial"/>
                <w:b/>
                <w:bCs/>
                <w:color w:val="000000"/>
                <w:szCs w:val="22"/>
              </w:rPr>
              <w:t>VALEUR TECHNIQUE</w:t>
            </w:r>
          </w:p>
        </w:tc>
        <w:tc>
          <w:tcPr>
            <w:tcW w:w="1030" w:type="pct"/>
            <w:tcBorders>
              <w:top w:val="nil"/>
              <w:left w:val="nil"/>
              <w:bottom w:val="single" w:sz="4" w:space="0" w:color="auto"/>
              <w:right w:val="single" w:sz="4" w:space="0" w:color="5A5A5A"/>
            </w:tcBorders>
            <w:shd w:val="clear" w:color="000000" w:fill="D8D8D8"/>
            <w:vAlign w:val="center"/>
            <w:hideMark/>
          </w:tcPr>
          <w:p w14:paraId="1457D6D5" w14:textId="77777777" w:rsidR="00F03BAC" w:rsidRPr="000B6029" w:rsidRDefault="00F03BAC" w:rsidP="00F03BAC">
            <w:pPr>
              <w:spacing w:after="0"/>
              <w:rPr>
                <w:rFonts w:cs="Arial"/>
                <w:color w:val="000000"/>
                <w:szCs w:val="22"/>
              </w:rPr>
            </w:pPr>
            <w:r w:rsidRPr="000B6029">
              <w:rPr>
                <w:rFonts w:cs="Arial"/>
                <w:color w:val="000000"/>
                <w:szCs w:val="22"/>
              </w:rPr>
              <w:t> </w:t>
            </w:r>
          </w:p>
        </w:tc>
        <w:tc>
          <w:tcPr>
            <w:tcW w:w="588" w:type="pct"/>
            <w:tcBorders>
              <w:top w:val="nil"/>
              <w:left w:val="nil"/>
              <w:bottom w:val="single" w:sz="4" w:space="0" w:color="5A5A5A"/>
              <w:right w:val="single" w:sz="4" w:space="0" w:color="5A5A5A"/>
            </w:tcBorders>
            <w:shd w:val="clear" w:color="000000" w:fill="D8D8D8"/>
            <w:vAlign w:val="center"/>
            <w:hideMark/>
          </w:tcPr>
          <w:p w14:paraId="08D9688C" w14:textId="77777777" w:rsidR="00F03BAC" w:rsidRPr="000B6029" w:rsidRDefault="00F03BAC" w:rsidP="00F03BAC">
            <w:pPr>
              <w:spacing w:after="0"/>
              <w:jc w:val="center"/>
              <w:rPr>
                <w:rFonts w:cs="Arial"/>
                <w:color w:val="000000"/>
                <w:szCs w:val="22"/>
              </w:rPr>
            </w:pPr>
            <w:r w:rsidRPr="000B6029">
              <w:rPr>
                <w:rFonts w:cs="Arial"/>
                <w:color w:val="000000"/>
                <w:szCs w:val="22"/>
              </w:rPr>
              <w:t> </w:t>
            </w:r>
          </w:p>
        </w:tc>
        <w:tc>
          <w:tcPr>
            <w:tcW w:w="956" w:type="pct"/>
            <w:tcBorders>
              <w:top w:val="nil"/>
              <w:left w:val="nil"/>
              <w:bottom w:val="single" w:sz="4" w:space="0" w:color="5A5A5A"/>
              <w:right w:val="single" w:sz="4" w:space="0" w:color="5A5A5A"/>
            </w:tcBorders>
            <w:shd w:val="clear" w:color="000000" w:fill="D8D8D8"/>
            <w:vAlign w:val="center"/>
            <w:hideMark/>
          </w:tcPr>
          <w:p w14:paraId="178C7B0F" w14:textId="77777777" w:rsidR="00F03BAC" w:rsidRPr="000B6029" w:rsidRDefault="00F03BAC" w:rsidP="00F03BAC">
            <w:pPr>
              <w:spacing w:after="0"/>
              <w:jc w:val="center"/>
              <w:rPr>
                <w:rFonts w:cs="Arial"/>
                <w:color w:val="000000"/>
                <w:szCs w:val="22"/>
              </w:rPr>
            </w:pPr>
            <w:r w:rsidRPr="000B6029">
              <w:rPr>
                <w:rFonts w:cs="Arial"/>
                <w:color w:val="000000"/>
                <w:szCs w:val="22"/>
              </w:rPr>
              <w:t> </w:t>
            </w:r>
          </w:p>
        </w:tc>
      </w:tr>
      <w:tr w:rsidR="00F03BAC" w:rsidRPr="000B6029" w14:paraId="4DFC4DC6" w14:textId="77777777" w:rsidTr="00870D93">
        <w:trPr>
          <w:trHeight w:val="1224"/>
        </w:trPr>
        <w:tc>
          <w:tcPr>
            <w:tcW w:w="2426" w:type="pct"/>
            <w:tcBorders>
              <w:top w:val="single" w:sz="4" w:space="0" w:color="auto"/>
              <w:left w:val="single" w:sz="4" w:space="0" w:color="5A5A5A"/>
              <w:bottom w:val="single" w:sz="4" w:space="0" w:color="5A5A5A"/>
              <w:right w:val="single" w:sz="4" w:space="0" w:color="5A5A5A"/>
            </w:tcBorders>
            <w:shd w:val="clear" w:color="auto" w:fill="auto"/>
            <w:vAlign w:val="center"/>
          </w:tcPr>
          <w:p w14:paraId="21F90383" w14:textId="77777777" w:rsidR="00F03BAC" w:rsidRPr="000B6029" w:rsidRDefault="00F03BAC" w:rsidP="00F03BAC">
            <w:pPr>
              <w:spacing w:after="0"/>
              <w:jc w:val="left"/>
              <w:rPr>
                <w:rFonts w:cs="Arial"/>
                <w:b/>
                <w:bCs/>
                <w:color w:val="000000"/>
                <w:szCs w:val="22"/>
              </w:rPr>
            </w:pPr>
            <w:r w:rsidRPr="000B6029">
              <w:rPr>
                <w:rFonts w:cs="Arial"/>
                <w:b/>
                <w:bCs/>
                <w:color w:val="000000"/>
                <w:szCs w:val="22"/>
              </w:rPr>
              <w:t>Qualité des produits proposés, aspect nutritionnel, proposition en matière de produits frais et de produits issus de l’agriculture biologique et du commerce équitable</w:t>
            </w:r>
          </w:p>
        </w:tc>
        <w:tc>
          <w:tcPr>
            <w:tcW w:w="1030" w:type="pct"/>
            <w:tcBorders>
              <w:top w:val="single" w:sz="4" w:space="0" w:color="auto"/>
              <w:left w:val="nil"/>
              <w:bottom w:val="single" w:sz="4" w:space="0" w:color="5A5A5A"/>
              <w:right w:val="single" w:sz="4" w:space="0" w:color="5A5A5A"/>
            </w:tcBorders>
            <w:shd w:val="clear" w:color="auto" w:fill="auto"/>
          </w:tcPr>
          <w:p w14:paraId="04F28529" w14:textId="17C4279A" w:rsidR="00F03BAC" w:rsidRPr="000B6029" w:rsidRDefault="00F03BAC" w:rsidP="0024564D">
            <w:pPr>
              <w:jc w:val="left"/>
            </w:pPr>
            <w:r w:rsidRPr="000B6029">
              <w:rPr>
                <w:rFonts w:cs="Arial"/>
                <w:b/>
                <w:bCs/>
                <w:color w:val="000000"/>
                <w:szCs w:val="22"/>
              </w:rPr>
              <w:t xml:space="preserve">Mémoire et </w:t>
            </w:r>
            <w:r w:rsidR="008A7B56">
              <w:rPr>
                <w:rFonts w:cs="Arial"/>
                <w:b/>
                <w:bCs/>
                <w:color w:val="000000"/>
                <w:szCs w:val="22"/>
              </w:rPr>
              <w:t>description et tarifs des produits proposés par machine</w:t>
            </w:r>
          </w:p>
        </w:tc>
        <w:tc>
          <w:tcPr>
            <w:tcW w:w="588" w:type="pct"/>
            <w:tcBorders>
              <w:top w:val="nil"/>
              <w:left w:val="nil"/>
              <w:bottom w:val="single" w:sz="4" w:space="0" w:color="5A5A5A"/>
              <w:right w:val="single" w:sz="4" w:space="0" w:color="5A5A5A"/>
            </w:tcBorders>
            <w:shd w:val="clear" w:color="auto" w:fill="auto"/>
            <w:vAlign w:val="center"/>
          </w:tcPr>
          <w:p w14:paraId="66EB21BA" w14:textId="2E0DE09B" w:rsidR="00F03BAC" w:rsidRPr="000B6029" w:rsidRDefault="00306454" w:rsidP="00F03BAC">
            <w:pPr>
              <w:spacing w:after="0"/>
              <w:jc w:val="center"/>
              <w:rPr>
                <w:rFonts w:cs="Arial"/>
                <w:color w:val="000000"/>
                <w:szCs w:val="22"/>
              </w:rPr>
            </w:pPr>
            <w:r>
              <w:rPr>
                <w:rFonts w:cs="Arial"/>
                <w:color w:val="000000"/>
                <w:szCs w:val="22"/>
              </w:rPr>
              <w:t>15</w:t>
            </w:r>
          </w:p>
        </w:tc>
        <w:tc>
          <w:tcPr>
            <w:tcW w:w="956" w:type="pct"/>
            <w:tcBorders>
              <w:top w:val="nil"/>
              <w:left w:val="nil"/>
              <w:bottom w:val="single" w:sz="4" w:space="0" w:color="5A5A5A"/>
              <w:right w:val="single" w:sz="4" w:space="0" w:color="5A5A5A"/>
            </w:tcBorders>
            <w:shd w:val="clear" w:color="auto" w:fill="auto"/>
          </w:tcPr>
          <w:p w14:paraId="6579C05F" w14:textId="77777777" w:rsidR="00F03BAC" w:rsidRPr="000B6029" w:rsidRDefault="00F03BAC" w:rsidP="005C01DD">
            <w:pPr>
              <w:jc w:val="center"/>
              <w:rPr>
                <w:rFonts w:cs="Arial"/>
                <w:color w:val="000000"/>
                <w:sz w:val="16"/>
                <w:szCs w:val="22"/>
              </w:rPr>
            </w:pPr>
          </w:p>
          <w:p w14:paraId="0AD5FA9F" w14:textId="3D734D29" w:rsidR="00F03BAC" w:rsidRPr="000B6029" w:rsidRDefault="00F03BAC" w:rsidP="005C01DD">
            <w:pPr>
              <w:jc w:val="center"/>
              <w:rPr>
                <w:sz w:val="16"/>
              </w:rPr>
            </w:pPr>
            <w:r w:rsidRPr="000B6029">
              <w:rPr>
                <w:rFonts w:cs="Arial"/>
                <w:color w:val="000000"/>
                <w:sz w:val="16"/>
                <w:szCs w:val="22"/>
              </w:rPr>
              <w:t xml:space="preserve">Note de 0 à </w:t>
            </w:r>
            <w:r w:rsidR="000A61EC">
              <w:rPr>
                <w:rFonts w:cs="Arial"/>
                <w:color w:val="000000"/>
                <w:sz w:val="16"/>
                <w:szCs w:val="22"/>
              </w:rPr>
              <w:t>5 puis p</w:t>
            </w:r>
            <w:r w:rsidR="008F3994">
              <w:rPr>
                <w:rFonts w:cs="Arial"/>
                <w:color w:val="000000"/>
                <w:sz w:val="16"/>
                <w:szCs w:val="22"/>
              </w:rPr>
              <w:t>o</w:t>
            </w:r>
            <w:r w:rsidR="000A61EC">
              <w:rPr>
                <w:rFonts w:cs="Arial"/>
                <w:color w:val="000000"/>
                <w:sz w:val="16"/>
                <w:szCs w:val="22"/>
              </w:rPr>
              <w:t>ndérée</w:t>
            </w:r>
          </w:p>
        </w:tc>
      </w:tr>
      <w:tr w:rsidR="00F03BAC" w:rsidRPr="000B6029" w14:paraId="02DBCCF6" w14:textId="77777777" w:rsidTr="00870D93">
        <w:trPr>
          <w:trHeight w:val="798"/>
        </w:trPr>
        <w:tc>
          <w:tcPr>
            <w:tcW w:w="2426" w:type="pct"/>
            <w:tcBorders>
              <w:top w:val="single" w:sz="4" w:space="0" w:color="auto"/>
              <w:left w:val="single" w:sz="4" w:space="0" w:color="5A5A5A"/>
              <w:bottom w:val="single" w:sz="4" w:space="0" w:color="5A5A5A"/>
              <w:right w:val="single" w:sz="4" w:space="0" w:color="5A5A5A"/>
            </w:tcBorders>
            <w:shd w:val="clear" w:color="auto" w:fill="auto"/>
            <w:vAlign w:val="center"/>
          </w:tcPr>
          <w:p w14:paraId="63407E9E" w14:textId="77777777" w:rsidR="00F03BAC" w:rsidRPr="000B6029" w:rsidRDefault="00F03BAC" w:rsidP="00F03BAC">
            <w:pPr>
              <w:spacing w:after="0"/>
              <w:jc w:val="left"/>
              <w:rPr>
                <w:rFonts w:cs="Arial"/>
                <w:b/>
                <w:bCs/>
                <w:color w:val="000000"/>
                <w:szCs w:val="22"/>
              </w:rPr>
            </w:pPr>
            <w:r w:rsidRPr="000B6029">
              <w:rPr>
                <w:rFonts w:cs="Arial"/>
                <w:b/>
                <w:bCs/>
                <w:color w:val="000000"/>
                <w:szCs w:val="22"/>
              </w:rPr>
              <w:t>Variété des produits proposés, saisonnalité, opérations ponctuelles, rotation</w:t>
            </w:r>
          </w:p>
        </w:tc>
        <w:tc>
          <w:tcPr>
            <w:tcW w:w="1030" w:type="pct"/>
            <w:tcBorders>
              <w:top w:val="single" w:sz="4" w:space="0" w:color="auto"/>
              <w:left w:val="nil"/>
              <w:bottom w:val="single" w:sz="4" w:space="0" w:color="5A5A5A"/>
              <w:right w:val="single" w:sz="4" w:space="0" w:color="5A5A5A"/>
            </w:tcBorders>
            <w:shd w:val="clear" w:color="auto" w:fill="auto"/>
          </w:tcPr>
          <w:p w14:paraId="727DB2C4" w14:textId="60CD33AF" w:rsidR="00F03BAC" w:rsidRPr="000B6029" w:rsidRDefault="0024564D" w:rsidP="00F03BAC">
            <w:pPr>
              <w:jc w:val="left"/>
              <w:rPr>
                <w:rFonts w:cs="Arial"/>
                <w:b/>
                <w:bCs/>
                <w:color w:val="000000"/>
                <w:szCs w:val="22"/>
              </w:rPr>
            </w:pPr>
            <w:r w:rsidRPr="000B6029">
              <w:rPr>
                <w:rFonts w:cs="Arial"/>
                <w:b/>
                <w:bCs/>
                <w:color w:val="000000"/>
                <w:szCs w:val="22"/>
              </w:rPr>
              <w:t xml:space="preserve">Mémoire et </w:t>
            </w:r>
            <w:r>
              <w:rPr>
                <w:rFonts w:cs="Arial"/>
                <w:b/>
                <w:bCs/>
                <w:color w:val="000000"/>
                <w:szCs w:val="22"/>
              </w:rPr>
              <w:t>description et tarifs des produits proposés par machine</w:t>
            </w:r>
          </w:p>
        </w:tc>
        <w:tc>
          <w:tcPr>
            <w:tcW w:w="588" w:type="pct"/>
            <w:tcBorders>
              <w:top w:val="nil"/>
              <w:left w:val="nil"/>
              <w:bottom w:val="single" w:sz="4" w:space="0" w:color="5A5A5A"/>
              <w:right w:val="single" w:sz="4" w:space="0" w:color="5A5A5A"/>
            </w:tcBorders>
            <w:shd w:val="clear" w:color="auto" w:fill="auto"/>
            <w:vAlign w:val="center"/>
          </w:tcPr>
          <w:p w14:paraId="5B3FFD0A" w14:textId="77777777" w:rsidR="00F03BAC" w:rsidRPr="000B6029" w:rsidRDefault="00F03BAC" w:rsidP="00F03BAC">
            <w:pPr>
              <w:spacing w:after="0"/>
              <w:jc w:val="center"/>
              <w:rPr>
                <w:rFonts w:cs="Arial"/>
                <w:color w:val="000000"/>
                <w:szCs w:val="22"/>
              </w:rPr>
            </w:pPr>
            <w:r w:rsidRPr="000B6029">
              <w:rPr>
                <w:rFonts w:cs="Arial"/>
                <w:color w:val="000000"/>
                <w:szCs w:val="22"/>
              </w:rPr>
              <w:t>10</w:t>
            </w:r>
          </w:p>
        </w:tc>
        <w:tc>
          <w:tcPr>
            <w:tcW w:w="956" w:type="pct"/>
            <w:tcBorders>
              <w:top w:val="nil"/>
              <w:left w:val="nil"/>
              <w:bottom w:val="single" w:sz="4" w:space="0" w:color="5A5A5A"/>
              <w:right w:val="single" w:sz="4" w:space="0" w:color="5A5A5A"/>
            </w:tcBorders>
            <w:shd w:val="clear" w:color="auto" w:fill="auto"/>
          </w:tcPr>
          <w:p w14:paraId="40DB61F1" w14:textId="77777777" w:rsidR="00F03BAC" w:rsidRPr="000B6029" w:rsidRDefault="00F03BAC" w:rsidP="005C01DD">
            <w:pPr>
              <w:jc w:val="center"/>
              <w:rPr>
                <w:rFonts w:cs="Arial"/>
                <w:color w:val="000000"/>
                <w:sz w:val="16"/>
                <w:szCs w:val="22"/>
              </w:rPr>
            </w:pPr>
          </w:p>
          <w:p w14:paraId="3B493750" w14:textId="2C038AE7" w:rsidR="00F03BAC" w:rsidRPr="000B6029" w:rsidRDefault="00F03BAC" w:rsidP="005C01DD">
            <w:pPr>
              <w:jc w:val="center"/>
              <w:rPr>
                <w:rFonts w:cs="Arial"/>
                <w:color w:val="000000"/>
                <w:sz w:val="16"/>
                <w:szCs w:val="22"/>
              </w:rPr>
            </w:pPr>
            <w:r w:rsidRPr="000B6029">
              <w:rPr>
                <w:rFonts w:cs="Arial"/>
                <w:color w:val="000000"/>
                <w:sz w:val="16"/>
                <w:szCs w:val="22"/>
              </w:rPr>
              <w:t xml:space="preserve">Note de 0 à </w:t>
            </w:r>
            <w:r w:rsidR="000A61EC">
              <w:rPr>
                <w:rFonts w:cs="Arial"/>
                <w:color w:val="000000"/>
                <w:sz w:val="16"/>
                <w:szCs w:val="22"/>
              </w:rPr>
              <w:t>5 puis pondérée</w:t>
            </w:r>
          </w:p>
        </w:tc>
      </w:tr>
      <w:tr w:rsidR="00F03BAC" w:rsidRPr="000B6029" w14:paraId="6803DBDB" w14:textId="77777777" w:rsidTr="00870D93">
        <w:trPr>
          <w:trHeight w:val="682"/>
        </w:trPr>
        <w:tc>
          <w:tcPr>
            <w:tcW w:w="2426" w:type="pct"/>
            <w:tcBorders>
              <w:top w:val="nil"/>
              <w:left w:val="single" w:sz="4" w:space="0" w:color="5A5A5A"/>
              <w:bottom w:val="single" w:sz="4" w:space="0" w:color="5A5A5A"/>
              <w:right w:val="single" w:sz="4" w:space="0" w:color="5A5A5A"/>
            </w:tcBorders>
            <w:shd w:val="clear" w:color="auto" w:fill="auto"/>
            <w:vAlign w:val="center"/>
            <w:hideMark/>
          </w:tcPr>
          <w:p w14:paraId="4552A520" w14:textId="1EF49BDB" w:rsidR="00F03BAC" w:rsidRPr="000B6029" w:rsidRDefault="003E5E69" w:rsidP="003E5E69">
            <w:pPr>
              <w:spacing w:after="0"/>
              <w:jc w:val="left"/>
              <w:rPr>
                <w:rFonts w:cs="Arial"/>
                <w:bCs/>
                <w:color w:val="000000"/>
                <w:szCs w:val="22"/>
              </w:rPr>
            </w:pPr>
            <w:r>
              <w:rPr>
                <w:rFonts w:cs="Arial"/>
                <w:b/>
                <w:bCs/>
                <w:color w:val="000000"/>
                <w:szCs w:val="22"/>
              </w:rPr>
              <w:t>Qualité du service d’a</w:t>
            </w:r>
            <w:r w:rsidR="00F03BAC" w:rsidRPr="000B6029">
              <w:rPr>
                <w:rFonts w:cs="Arial"/>
                <w:b/>
                <w:bCs/>
                <w:color w:val="000000"/>
                <w:szCs w:val="22"/>
              </w:rPr>
              <w:t>pprovisionnement, maintenance et service après-vente</w:t>
            </w:r>
          </w:p>
        </w:tc>
        <w:tc>
          <w:tcPr>
            <w:tcW w:w="1030" w:type="pct"/>
            <w:tcBorders>
              <w:top w:val="nil"/>
              <w:left w:val="nil"/>
              <w:bottom w:val="single" w:sz="4" w:space="0" w:color="5A5A5A"/>
              <w:right w:val="single" w:sz="4" w:space="0" w:color="5A5A5A"/>
            </w:tcBorders>
            <w:shd w:val="clear" w:color="auto" w:fill="auto"/>
            <w:hideMark/>
          </w:tcPr>
          <w:p w14:paraId="1C2D36BC" w14:textId="77777777" w:rsidR="00F03BAC" w:rsidRPr="000B6029" w:rsidRDefault="00F03BAC" w:rsidP="00F03BAC">
            <w:pPr>
              <w:jc w:val="left"/>
            </w:pPr>
            <w:r w:rsidRPr="000B6029">
              <w:rPr>
                <w:rFonts w:cs="Arial"/>
                <w:b/>
                <w:bCs/>
                <w:color w:val="000000"/>
                <w:szCs w:val="22"/>
              </w:rPr>
              <w:t>Mémoire</w:t>
            </w:r>
          </w:p>
        </w:tc>
        <w:tc>
          <w:tcPr>
            <w:tcW w:w="588" w:type="pct"/>
            <w:tcBorders>
              <w:top w:val="nil"/>
              <w:left w:val="nil"/>
              <w:bottom w:val="single" w:sz="4" w:space="0" w:color="5A5A5A"/>
              <w:right w:val="single" w:sz="4" w:space="0" w:color="5A5A5A"/>
            </w:tcBorders>
            <w:shd w:val="clear" w:color="auto" w:fill="auto"/>
            <w:vAlign w:val="center"/>
            <w:hideMark/>
          </w:tcPr>
          <w:p w14:paraId="0D998F3C" w14:textId="77777777" w:rsidR="00F03BAC" w:rsidRPr="000B6029" w:rsidRDefault="00F03BAC" w:rsidP="00F03BAC">
            <w:pPr>
              <w:spacing w:after="0"/>
              <w:jc w:val="center"/>
              <w:rPr>
                <w:rFonts w:cs="Arial"/>
                <w:color w:val="000000"/>
                <w:szCs w:val="22"/>
              </w:rPr>
            </w:pPr>
            <w:r w:rsidRPr="000B6029">
              <w:rPr>
                <w:rFonts w:cs="Arial"/>
                <w:color w:val="000000"/>
                <w:szCs w:val="22"/>
              </w:rPr>
              <w:t>10</w:t>
            </w:r>
          </w:p>
        </w:tc>
        <w:tc>
          <w:tcPr>
            <w:tcW w:w="956" w:type="pct"/>
            <w:tcBorders>
              <w:top w:val="nil"/>
              <w:left w:val="nil"/>
              <w:bottom w:val="single" w:sz="4" w:space="0" w:color="5A5A5A"/>
              <w:right w:val="single" w:sz="4" w:space="0" w:color="5A5A5A"/>
            </w:tcBorders>
            <w:shd w:val="clear" w:color="auto" w:fill="auto"/>
            <w:vAlign w:val="center"/>
            <w:hideMark/>
          </w:tcPr>
          <w:p w14:paraId="5718A878" w14:textId="290BF587" w:rsidR="00F03BAC" w:rsidRPr="000B6029" w:rsidRDefault="00F03BAC" w:rsidP="005C01DD">
            <w:pPr>
              <w:spacing w:after="0"/>
              <w:jc w:val="center"/>
              <w:rPr>
                <w:rFonts w:cs="Arial"/>
                <w:color w:val="000000"/>
                <w:sz w:val="16"/>
                <w:szCs w:val="22"/>
              </w:rPr>
            </w:pPr>
            <w:r w:rsidRPr="000B6029">
              <w:rPr>
                <w:rFonts w:cs="Arial"/>
                <w:color w:val="000000"/>
                <w:sz w:val="16"/>
                <w:szCs w:val="22"/>
              </w:rPr>
              <w:t xml:space="preserve">Note de 0 à </w:t>
            </w:r>
            <w:r w:rsidR="000A61EC">
              <w:rPr>
                <w:rFonts w:cs="Arial"/>
                <w:color w:val="000000"/>
                <w:sz w:val="16"/>
                <w:szCs w:val="22"/>
              </w:rPr>
              <w:t>5 puis pondérée</w:t>
            </w:r>
          </w:p>
        </w:tc>
      </w:tr>
      <w:tr w:rsidR="00F03BAC" w:rsidRPr="000B6029" w14:paraId="69CD6920" w14:textId="77777777" w:rsidTr="00870D93">
        <w:trPr>
          <w:trHeight w:val="706"/>
        </w:trPr>
        <w:tc>
          <w:tcPr>
            <w:tcW w:w="2426" w:type="pct"/>
            <w:tcBorders>
              <w:top w:val="nil"/>
              <w:left w:val="single" w:sz="4" w:space="0" w:color="5A5A5A"/>
              <w:bottom w:val="single" w:sz="4" w:space="0" w:color="5A5A5A"/>
              <w:right w:val="single" w:sz="4" w:space="0" w:color="5A5A5A"/>
            </w:tcBorders>
            <w:shd w:val="clear" w:color="auto" w:fill="auto"/>
            <w:vAlign w:val="center"/>
          </w:tcPr>
          <w:p w14:paraId="77165FB5" w14:textId="77777777" w:rsidR="00F03BAC" w:rsidRPr="000B6029" w:rsidRDefault="00F03BAC" w:rsidP="00F03BAC">
            <w:pPr>
              <w:spacing w:after="0"/>
              <w:jc w:val="left"/>
              <w:rPr>
                <w:rFonts w:cs="Arial"/>
                <w:b/>
                <w:bCs/>
                <w:color w:val="000000"/>
                <w:szCs w:val="22"/>
              </w:rPr>
            </w:pPr>
            <w:r w:rsidRPr="000B6029">
              <w:rPr>
                <w:rFonts w:cs="Arial"/>
                <w:b/>
                <w:bCs/>
                <w:color w:val="000000"/>
                <w:szCs w:val="22"/>
              </w:rPr>
              <w:t>Qualité technique et esthétique des équipements proposés</w:t>
            </w:r>
          </w:p>
        </w:tc>
        <w:tc>
          <w:tcPr>
            <w:tcW w:w="1030" w:type="pct"/>
            <w:tcBorders>
              <w:top w:val="nil"/>
              <w:left w:val="nil"/>
              <w:bottom w:val="single" w:sz="4" w:space="0" w:color="5A5A5A"/>
              <w:right w:val="single" w:sz="4" w:space="0" w:color="5A5A5A"/>
            </w:tcBorders>
            <w:shd w:val="clear" w:color="auto" w:fill="auto"/>
          </w:tcPr>
          <w:p w14:paraId="5479B282" w14:textId="77777777" w:rsidR="00F03BAC" w:rsidRPr="000B6029" w:rsidRDefault="00F03BAC" w:rsidP="00F03BAC">
            <w:pPr>
              <w:jc w:val="left"/>
            </w:pPr>
            <w:r w:rsidRPr="000B6029">
              <w:rPr>
                <w:rFonts w:cs="Arial"/>
                <w:b/>
                <w:bCs/>
                <w:color w:val="000000"/>
                <w:szCs w:val="22"/>
              </w:rPr>
              <w:t>Mémoire</w:t>
            </w:r>
          </w:p>
        </w:tc>
        <w:tc>
          <w:tcPr>
            <w:tcW w:w="588" w:type="pct"/>
            <w:tcBorders>
              <w:top w:val="nil"/>
              <w:left w:val="nil"/>
              <w:bottom w:val="single" w:sz="4" w:space="0" w:color="5A5A5A"/>
              <w:right w:val="single" w:sz="4" w:space="0" w:color="5A5A5A"/>
            </w:tcBorders>
            <w:shd w:val="clear" w:color="auto" w:fill="auto"/>
            <w:vAlign w:val="center"/>
          </w:tcPr>
          <w:p w14:paraId="5BC21492" w14:textId="77777777" w:rsidR="00F03BAC" w:rsidRPr="000B6029" w:rsidRDefault="00F03BAC" w:rsidP="00F03BAC">
            <w:pPr>
              <w:spacing w:after="0"/>
              <w:jc w:val="center"/>
              <w:rPr>
                <w:rFonts w:cs="Arial"/>
                <w:color w:val="000000"/>
                <w:szCs w:val="22"/>
              </w:rPr>
            </w:pPr>
            <w:r w:rsidRPr="000B6029">
              <w:rPr>
                <w:rFonts w:cs="Arial"/>
                <w:color w:val="000000"/>
                <w:szCs w:val="22"/>
              </w:rPr>
              <w:t>10</w:t>
            </w:r>
          </w:p>
        </w:tc>
        <w:tc>
          <w:tcPr>
            <w:tcW w:w="956" w:type="pct"/>
            <w:tcBorders>
              <w:top w:val="nil"/>
              <w:left w:val="nil"/>
              <w:bottom w:val="single" w:sz="4" w:space="0" w:color="5A5A5A"/>
              <w:right w:val="single" w:sz="4" w:space="0" w:color="5A5A5A"/>
            </w:tcBorders>
            <w:shd w:val="clear" w:color="auto" w:fill="auto"/>
          </w:tcPr>
          <w:p w14:paraId="3F9BFBBB" w14:textId="77777777" w:rsidR="00F03BAC" w:rsidRPr="000B6029" w:rsidRDefault="00F03BAC" w:rsidP="005C01DD">
            <w:pPr>
              <w:jc w:val="center"/>
              <w:rPr>
                <w:rFonts w:cs="Arial"/>
                <w:color w:val="000000"/>
                <w:sz w:val="16"/>
                <w:szCs w:val="22"/>
              </w:rPr>
            </w:pPr>
          </w:p>
          <w:p w14:paraId="5E1514D7" w14:textId="7E298D50" w:rsidR="00F03BAC" w:rsidRPr="000B6029" w:rsidRDefault="00F03BAC" w:rsidP="005C01DD">
            <w:pPr>
              <w:jc w:val="center"/>
              <w:rPr>
                <w:sz w:val="16"/>
              </w:rPr>
            </w:pPr>
            <w:r w:rsidRPr="000B6029">
              <w:rPr>
                <w:rFonts w:cs="Arial"/>
                <w:color w:val="000000"/>
                <w:sz w:val="16"/>
                <w:szCs w:val="22"/>
              </w:rPr>
              <w:t xml:space="preserve">Note de 0 </w:t>
            </w:r>
            <w:r w:rsidR="00A75E8A" w:rsidRPr="000B6029">
              <w:rPr>
                <w:rFonts w:cs="Arial"/>
                <w:color w:val="000000"/>
                <w:sz w:val="16"/>
                <w:szCs w:val="22"/>
              </w:rPr>
              <w:t>à 5</w:t>
            </w:r>
            <w:r w:rsidR="000A61EC">
              <w:rPr>
                <w:rFonts w:cs="Arial"/>
                <w:color w:val="000000"/>
                <w:sz w:val="16"/>
                <w:szCs w:val="22"/>
              </w:rPr>
              <w:t xml:space="preserve"> puis pondérée</w:t>
            </w:r>
          </w:p>
        </w:tc>
      </w:tr>
      <w:tr w:rsidR="00F03BAC" w:rsidRPr="000B6029" w14:paraId="2FFAD493" w14:textId="77777777" w:rsidTr="00870D93">
        <w:trPr>
          <w:trHeight w:val="760"/>
        </w:trPr>
        <w:tc>
          <w:tcPr>
            <w:tcW w:w="2426" w:type="pct"/>
            <w:tcBorders>
              <w:top w:val="nil"/>
              <w:left w:val="single" w:sz="4" w:space="0" w:color="5A5A5A"/>
              <w:bottom w:val="single" w:sz="4" w:space="0" w:color="5A5A5A"/>
              <w:right w:val="single" w:sz="4" w:space="0" w:color="5A5A5A"/>
            </w:tcBorders>
            <w:shd w:val="clear" w:color="auto" w:fill="auto"/>
            <w:vAlign w:val="center"/>
          </w:tcPr>
          <w:p w14:paraId="0846D57B" w14:textId="38529211" w:rsidR="00F03BAC" w:rsidRPr="000B6029" w:rsidRDefault="003E5E69" w:rsidP="003E5E69">
            <w:pPr>
              <w:spacing w:after="0"/>
              <w:jc w:val="left"/>
              <w:rPr>
                <w:rFonts w:cs="Arial"/>
                <w:b/>
                <w:bCs/>
                <w:color w:val="000000"/>
                <w:szCs w:val="22"/>
              </w:rPr>
            </w:pPr>
            <w:r>
              <w:rPr>
                <w:rFonts w:cs="Arial"/>
                <w:b/>
                <w:bCs/>
                <w:color w:val="000000"/>
                <w:szCs w:val="22"/>
              </w:rPr>
              <w:t>Pertinence de la p</w:t>
            </w:r>
            <w:r w:rsidR="00F03BAC" w:rsidRPr="000B6029">
              <w:rPr>
                <w:rFonts w:cs="Arial"/>
                <w:b/>
                <w:bCs/>
                <w:color w:val="000000"/>
                <w:szCs w:val="22"/>
              </w:rPr>
              <w:t>roposition d’aménagement</w:t>
            </w:r>
            <w:r>
              <w:rPr>
                <w:rFonts w:cs="Arial"/>
                <w:b/>
                <w:bCs/>
                <w:color w:val="000000"/>
                <w:szCs w:val="22"/>
              </w:rPr>
              <w:t xml:space="preserve"> et compatibilité avec les contraintes des sites du Mucem</w:t>
            </w:r>
          </w:p>
        </w:tc>
        <w:tc>
          <w:tcPr>
            <w:tcW w:w="1030" w:type="pct"/>
            <w:tcBorders>
              <w:top w:val="nil"/>
              <w:left w:val="nil"/>
              <w:bottom w:val="single" w:sz="4" w:space="0" w:color="5A5A5A"/>
              <w:right w:val="single" w:sz="4" w:space="0" w:color="5A5A5A"/>
            </w:tcBorders>
            <w:shd w:val="clear" w:color="auto" w:fill="auto"/>
          </w:tcPr>
          <w:p w14:paraId="4D1B2D3C" w14:textId="77777777" w:rsidR="00F03BAC" w:rsidRPr="000B6029" w:rsidRDefault="00F03BAC" w:rsidP="00F03BAC">
            <w:pPr>
              <w:jc w:val="left"/>
              <w:rPr>
                <w:rFonts w:cs="Arial"/>
                <w:b/>
                <w:bCs/>
                <w:color w:val="000000"/>
                <w:szCs w:val="22"/>
              </w:rPr>
            </w:pPr>
            <w:r w:rsidRPr="000B6029">
              <w:rPr>
                <w:rFonts w:cs="Arial"/>
                <w:b/>
                <w:bCs/>
                <w:color w:val="000000"/>
                <w:szCs w:val="22"/>
              </w:rPr>
              <w:t>Mémoire</w:t>
            </w:r>
          </w:p>
        </w:tc>
        <w:tc>
          <w:tcPr>
            <w:tcW w:w="588" w:type="pct"/>
            <w:tcBorders>
              <w:top w:val="nil"/>
              <w:left w:val="nil"/>
              <w:bottom w:val="single" w:sz="4" w:space="0" w:color="5A5A5A"/>
              <w:right w:val="single" w:sz="4" w:space="0" w:color="5A5A5A"/>
            </w:tcBorders>
            <w:shd w:val="clear" w:color="auto" w:fill="auto"/>
            <w:vAlign w:val="center"/>
          </w:tcPr>
          <w:p w14:paraId="26A335BC" w14:textId="77777777" w:rsidR="00F03BAC" w:rsidRPr="000B6029" w:rsidRDefault="00F03BAC" w:rsidP="00F03BAC">
            <w:pPr>
              <w:spacing w:after="0"/>
              <w:jc w:val="center"/>
              <w:rPr>
                <w:rFonts w:cs="Arial"/>
                <w:color w:val="000000"/>
                <w:szCs w:val="22"/>
              </w:rPr>
            </w:pPr>
            <w:r w:rsidRPr="000B6029">
              <w:rPr>
                <w:rFonts w:cs="Arial"/>
                <w:color w:val="000000"/>
                <w:szCs w:val="22"/>
              </w:rPr>
              <w:t>5</w:t>
            </w:r>
          </w:p>
        </w:tc>
        <w:tc>
          <w:tcPr>
            <w:tcW w:w="956" w:type="pct"/>
            <w:tcBorders>
              <w:top w:val="nil"/>
              <w:left w:val="nil"/>
              <w:bottom w:val="single" w:sz="4" w:space="0" w:color="5A5A5A"/>
              <w:right w:val="single" w:sz="4" w:space="0" w:color="5A5A5A"/>
            </w:tcBorders>
            <w:shd w:val="clear" w:color="auto" w:fill="auto"/>
          </w:tcPr>
          <w:p w14:paraId="5E512617" w14:textId="77777777" w:rsidR="00F03BAC" w:rsidRPr="000B6029" w:rsidRDefault="00F03BAC" w:rsidP="005C01DD">
            <w:pPr>
              <w:jc w:val="center"/>
              <w:rPr>
                <w:rFonts w:cs="Arial"/>
                <w:color w:val="000000"/>
                <w:sz w:val="16"/>
                <w:szCs w:val="22"/>
              </w:rPr>
            </w:pPr>
          </w:p>
          <w:p w14:paraId="6A2F346B" w14:textId="77777777" w:rsidR="00F03BAC" w:rsidRPr="000B6029" w:rsidRDefault="00F03BAC" w:rsidP="005C01DD">
            <w:pPr>
              <w:jc w:val="center"/>
              <w:rPr>
                <w:rFonts w:cs="Arial"/>
                <w:color w:val="000000"/>
                <w:sz w:val="16"/>
                <w:szCs w:val="22"/>
              </w:rPr>
            </w:pPr>
            <w:r w:rsidRPr="000B6029">
              <w:rPr>
                <w:rFonts w:cs="Arial"/>
                <w:color w:val="000000"/>
                <w:sz w:val="16"/>
                <w:szCs w:val="22"/>
              </w:rPr>
              <w:t>Note de 0 à 5</w:t>
            </w:r>
          </w:p>
        </w:tc>
      </w:tr>
      <w:tr w:rsidR="00F03BAC" w:rsidRPr="000B6029" w14:paraId="0A0DED31" w14:textId="77777777" w:rsidTr="00870D93">
        <w:trPr>
          <w:trHeight w:val="686"/>
        </w:trPr>
        <w:tc>
          <w:tcPr>
            <w:tcW w:w="2426" w:type="pct"/>
            <w:tcBorders>
              <w:top w:val="single" w:sz="4" w:space="0" w:color="5A5A5A"/>
              <w:left w:val="single" w:sz="4" w:space="0" w:color="5A5A5A"/>
              <w:bottom w:val="single" w:sz="4" w:space="0" w:color="5A5A5A"/>
              <w:right w:val="single" w:sz="4" w:space="0" w:color="5A5A5A"/>
            </w:tcBorders>
            <w:shd w:val="clear" w:color="auto" w:fill="auto"/>
            <w:vAlign w:val="center"/>
            <w:hideMark/>
          </w:tcPr>
          <w:p w14:paraId="44B9CDDD" w14:textId="0B968586" w:rsidR="00F03BAC" w:rsidRPr="000B6029" w:rsidRDefault="002C4D97" w:rsidP="002C4D97">
            <w:pPr>
              <w:spacing w:after="0"/>
              <w:jc w:val="left"/>
              <w:rPr>
                <w:rFonts w:cs="Arial"/>
                <w:b/>
                <w:bCs/>
                <w:color w:val="000000"/>
                <w:szCs w:val="22"/>
              </w:rPr>
            </w:pPr>
            <w:r>
              <w:rPr>
                <w:rFonts w:cs="Arial"/>
                <w:b/>
                <w:bCs/>
                <w:color w:val="000000"/>
                <w:szCs w:val="22"/>
              </w:rPr>
              <w:t>Attractivité des ta</w:t>
            </w:r>
            <w:r w:rsidR="00F03BAC" w:rsidRPr="000B6029">
              <w:rPr>
                <w:rFonts w:cs="Arial"/>
                <w:b/>
                <w:bCs/>
                <w:color w:val="000000"/>
                <w:szCs w:val="22"/>
              </w:rPr>
              <w:t xml:space="preserve">rifs des produits proposés </w:t>
            </w:r>
          </w:p>
        </w:tc>
        <w:tc>
          <w:tcPr>
            <w:tcW w:w="1030" w:type="pct"/>
            <w:tcBorders>
              <w:top w:val="single" w:sz="4" w:space="0" w:color="5A5A5A"/>
              <w:left w:val="nil"/>
              <w:bottom w:val="single" w:sz="4" w:space="0" w:color="5A5A5A"/>
              <w:right w:val="single" w:sz="4" w:space="0" w:color="5A5A5A"/>
            </w:tcBorders>
            <w:shd w:val="clear" w:color="auto" w:fill="auto"/>
            <w:hideMark/>
          </w:tcPr>
          <w:p w14:paraId="271B758C" w14:textId="11B8F5B8" w:rsidR="00F03BAC" w:rsidRPr="000B6029" w:rsidRDefault="0024564D" w:rsidP="00F03BAC">
            <w:pPr>
              <w:jc w:val="left"/>
            </w:pPr>
            <w:r w:rsidRPr="000B6029">
              <w:rPr>
                <w:rFonts w:cs="Arial"/>
                <w:b/>
                <w:bCs/>
                <w:color w:val="000000"/>
                <w:szCs w:val="22"/>
              </w:rPr>
              <w:t xml:space="preserve">Mémoire et </w:t>
            </w:r>
            <w:r>
              <w:rPr>
                <w:rFonts w:cs="Arial"/>
                <w:b/>
                <w:bCs/>
                <w:color w:val="000000"/>
                <w:szCs w:val="22"/>
              </w:rPr>
              <w:t>description et tarifs des produits proposés par machine</w:t>
            </w:r>
          </w:p>
        </w:tc>
        <w:tc>
          <w:tcPr>
            <w:tcW w:w="588" w:type="pct"/>
            <w:tcBorders>
              <w:top w:val="nil"/>
              <w:left w:val="nil"/>
              <w:bottom w:val="single" w:sz="4" w:space="0" w:color="5A5A5A"/>
              <w:right w:val="single" w:sz="4" w:space="0" w:color="5A5A5A"/>
            </w:tcBorders>
            <w:shd w:val="clear" w:color="auto" w:fill="auto"/>
            <w:vAlign w:val="center"/>
            <w:hideMark/>
          </w:tcPr>
          <w:p w14:paraId="637942AA" w14:textId="656E59B2" w:rsidR="00F03BAC" w:rsidRPr="000B6029" w:rsidRDefault="00306454" w:rsidP="00F03BAC">
            <w:pPr>
              <w:spacing w:after="0"/>
              <w:jc w:val="center"/>
              <w:rPr>
                <w:rFonts w:cs="Arial"/>
                <w:color w:val="000000"/>
                <w:szCs w:val="22"/>
              </w:rPr>
            </w:pPr>
            <w:r>
              <w:rPr>
                <w:rFonts w:cs="Arial"/>
                <w:color w:val="000000"/>
                <w:szCs w:val="22"/>
              </w:rPr>
              <w:t>20</w:t>
            </w:r>
          </w:p>
        </w:tc>
        <w:tc>
          <w:tcPr>
            <w:tcW w:w="956" w:type="pct"/>
            <w:tcBorders>
              <w:top w:val="nil"/>
              <w:left w:val="nil"/>
              <w:bottom w:val="single" w:sz="4" w:space="0" w:color="5A5A5A"/>
              <w:right w:val="single" w:sz="4" w:space="0" w:color="5A5A5A"/>
            </w:tcBorders>
            <w:shd w:val="clear" w:color="auto" w:fill="auto"/>
            <w:vAlign w:val="center"/>
            <w:hideMark/>
          </w:tcPr>
          <w:p w14:paraId="3DFF668C" w14:textId="2AFD5A05" w:rsidR="00F03BAC" w:rsidRPr="000B6029" w:rsidRDefault="00F03BAC" w:rsidP="005C01DD">
            <w:pPr>
              <w:spacing w:after="0"/>
              <w:jc w:val="center"/>
              <w:rPr>
                <w:rFonts w:cs="Arial"/>
                <w:color w:val="000000"/>
                <w:sz w:val="16"/>
                <w:szCs w:val="22"/>
              </w:rPr>
            </w:pPr>
            <w:r w:rsidRPr="000B6029">
              <w:rPr>
                <w:rFonts w:cs="Arial"/>
                <w:color w:val="000000"/>
                <w:sz w:val="16"/>
                <w:szCs w:val="22"/>
              </w:rPr>
              <w:t xml:space="preserve">Note de 0 </w:t>
            </w:r>
            <w:r w:rsidR="00A75E8A" w:rsidRPr="000B6029">
              <w:rPr>
                <w:rFonts w:cs="Arial"/>
                <w:color w:val="000000"/>
                <w:sz w:val="16"/>
                <w:szCs w:val="22"/>
              </w:rPr>
              <w:t>à 5</w:t>
            </w:r>
            <w:r w:rsidR="000A61EC">
              <w:rPr>
                <w:rFonts w:cs="Arial"/>
                <w:color w:val="000000"/>
                <w:sz w:val="16"/>
                <w:szCs w:val="22"/>
              </w:rPr>
              <w:t xml:space="preserve"> puis pondérée</w:t>
            </w:r>
          </w:p>
        </w:tc>
      </w:tr>
      <w:tr w:rsidR="00F03BAC" w:rsidRPr="000B6029" w14:paraId="03B62F7F" w14:textId="77777777" w:rsidTr="005C01DD">
        <w:trPr>
          <w:trHeight w:val="305"/>
        </w:trPr>
        <w:tc>
          <w:tcPr>
            <w:tcW w:w="3456"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53512C98" w14:textId="028A6260" w:rsidR="00F03BAC" w:rsidRPr="000B6029" w:rsidRDefault="00F03BAC" w:rsidP="00F03BAC">
            <w:pPr>
              <w:spacing w:after="0"/>
              <w:jc w:val="right"/>
              <w:rPr>
                <w:rFonts w:cs="Arial"/>
                <w:b/>
                <w:bCs/>
                <w:color w:val="000000"/>
                <w:szCs w:val="24"/>
              </w:rPr>
            </w:pPr>
            <w:r w:rsidRPr="000B6029">
              <w:rPr>
                <w:rFonts w:cs="Arial"/>
                <w:b/>
                <w:bCs/>
                <w:color w:val="000000"/>
                <w:szCs w:val="24"/>
              </w:rPr>
              <w:t>TOTAL NOTE</w:t>
            </w:r>
            <w:r w:rsidR="005C01DD">
              <w:rPr>
                <w:rFonts w:cs="Arial"/>
                <w:b/>
                <w:bCs/>
                <w:color w:val="000000"/>
                <w:szCs w:val="24"/>
              </w:rPr>
              <w:t xml:space="preserve"> TECHNIQUE</w:t>
            </w:r>
            <w:r w:rsidRPr="000B6029">
              <w:rPr>
                <w:rFonts w:cs="Arial"/>
                <w:b/>
                <w:bCs/>
                <w:color w:val="000000"/>
                <w:szCs w:val="24"/>
              </w:rPr>
              <w:t xml:space="preserve"> / </w:t>
            </w:r>
            <w:r w:rsidR="00A75E8A">
              <w:rPr>
                <w:rFonts w:cs="Arial"/>
                <w:b/>
                <w:bCs/>
                <w:color w:val="000000"/>
                <w:szCs w:val="24"/>
              </w:rPr>
              <w:t>70</w:t>
            </w:r>
          </w:p>
        </w:tc>
        <w:tc>
          <w:tcPr>
            <w:tcW w:w="588" w:type="pct"/>
            <w:tcBorders>
              <w:top w:val="nil"/>
              <w:left w:val="nil"/>
              <w:bottom w:val="single" w:sz="4" w:space="0" w:color="5A5A5A"/>
              <w:right w:val="single" w:sz="4" w:space="0" w:color="5A5A5A"/>
            </w:tcBorders>
            <w:shd w:val="clear" w:color="000000" w:fill="B8CCE4"/>
            <w:vAlign w:val="center"/>
            <w:hideMark/>
          </w:tcPr>
          <w:p w14:paraId="6C289B1B" w14:textId="77777777" w:rsidR="00F03BAC" w:rsidRPr="000B6029" w:rsidRDefault="00F03BAC" w:rsidP="00F03BAC">
            <w:pPr>
              <w:spacing w:after="0"/>
              <w:jc w:val="center"/>
              <w:rPr>
                <w:rFonts w:cs="Arial"/>
                <w:b/>
                <w:bCs/>
                <w:color w:val="000000"/>
                <w:szCs w:val="22"/>
              </w:rPr>
            </w:pPr>
            <w:r w:rsidRPr="000B6029">
              <w:rPr>
                <w:rFonts w:cs="Arial"/>
                <w:b/>
                <w:bCs/>
                <w:color w:val="000000"/>
                <w:szCs w:val="22"/>
              </w:rPr>
              <w:t>70</w:t>
            </w:r>
          </w:p>
        </w:tc>
        <w:tc>
          <w:tcPr>
            <w:tcW w:w="956" w:type="pct"/>
            <w:tcBorders>
              <w:top w:val="nil"/>
              <w:left w:val="nil"/>
              <w:bottom w:val="single" w:sz="4" w:space="0" w:color="5A5A5A"/>
              <w:right w:val="single" w:sz="4" w:space="0" w:color="5A5A5A"/>
            </w:tcBorders>
            <w:shd w:val="clear" w:color="000000" w:fill="B8CCE4"/>
            <w:vAlign w:val="center"/>
          </w:tcPr>
          <w:p w14:paraId="6CD35D7B" w14:textId="2F775E16" w:rsidR="00F03BAC" w:rsidRPr="000B6029" w:rsidRDefault="00F03BAC" w:rsidP="00F03BAC">
            <w:pPr>
              <w:spacing w:after="0"/>
              <w:jc w:val="center"/>
              <w:rPr>
                <w:rFonts w:cs="Arial"/>
                <w:color w:val="000000"/>
                <w:sz w:val="16"/>
                <w:szCs w:val="22"/>
              </w:rPr>
            </w:pPr>
          </w:p>
        </w:tc>
      </w:tr>
      <w:tr w:rsidR="00F03BAC" w:rsidRPr="000B6029" w14:paraId="3F064713" w14:textId="77777777" w:rsidTr="00870D93">
        <w:trPr>
          <w:trHeight w:val="300"/>
        </w:trPr>
        <w:tc>
          <w:tcPr>
            <w:tcW w:w="2426" w:type="pct"/>
            <w:tcBorders>
              <w:top w:val="single" w:sz="4" w:space="0" w:color="5A5A5A"/>
              <w:left w:val="single" w:sz="4" w:space="0" w:color="5A5A5A"/>
              <w:bottom w:val="single" w:sz="4" w:space="0" w:color="auto"/>
              <w:right w:val="single" w:sz="4" w:space="0" w:color="5A5A5A"/>
            </w:tcBorders>
            <w:shd w:val="clear" w:color="000000" w:fill="D8D8D8"/>
            <w:vAlign w:val="center"/>
            <w:hideMark/>
          </w:tcPr>
          <w:p w14:paraId="2130435C" w14:textId="77777777" w:rsidR="00F03BAC" w:rsidRPr="000B6029" w:rsidRDefault="00F03BAC" w:rsidP="00F03BAC">
            <w:pPr>
              <w:spacing w:after="0"/>
              <w:jc w:val="left"/>
              <w:rPr>
                <w:rFonts w:cs="Arial"/>
                <w:b/>
                <w:bCs/>
                <w:color w:val="000000"/>
                <w:szCs w:val="22"/>
              </w:rPr>
            </w:pPr>
            <w:r w:rsidRPr="000B6029">
              <w:rPr>
                <w:rFonts w:cs="Arial"/>
                <w:b/>
                <w:bCs/>
                <w:color w:val="000000"/>
                <w:szCs w:val="22"/>
              </w:rPr>
              <w:t>CRITERE FINANCIER</w:t>
            </w:r>
          </w:p>
        </w:tc>
        <w:tc>
          <w:tcPr>
            <w:tcW w:w="1030" w:type="pct"/>
            <w:tcBorders>
              <w:top w:val="single" w:sz="4" w:space="0" w:color="5A5A5A"/>
              <w:left w:val="nil"/>
              <w:bottom w:val="single" w:sz="4" w:space="0" w:color="auto"/>
              <w:right w:val="single" w:sz="4" w:space="0" w:color="5A5A5A"/>
            </w:tcBorders>
            <w:shd w:val="clear" w:color="000000" w:fill="D8D8D8"/>
            <w:vAlign w:val="center"/>
            <w:hideMark/>
          </w:tcPr>
          <w:p w14:paraId="5394EE7F" w14:textId="77777777" w:rsidR="00F03BAC" w:rsidRPr="000B6029" w:rsidRDefault="00F03BAC" w:rsidP="00F03BAC">
            <w:pPr>
              <w:spacing w:after="0"/>
              <w:rPr>
                <w:rFonts w:cs="Arial"/>
                <w:color w:val="000000"/>
                <w:szCs w:val="22"/>
              </w:rPr>
            </w:pPr>
            <w:r w:rsidRPr="000B6029">
              <w:rPr>
                <w:rFonts w:cs="Arial"/>
                <w:color w:val="000000"/>
                <w:szCs w:val="22"/>
              </w:rPr>
              <w:t> </w:t>
            </w:r>
          </w:p>
        </w:tc>
        <w:tc>
          <w:tcPr>
            <w:tcW w:w="588" w:type="pct"/>
            <w:tcBorders>
              <w:top w:val="single" w:sz="4" w:space="0" w:color="5A5A5A"/>
              <w:left w:val="nil"/>
              <w:bottom w:val="single" w:sz="4" w:space="0" w:color="auto"/>
              <w:right w:val="single" w:sz="4" w:space="0" w:color="5A5A5A"/>
            </w:tcBorders>
            <w:shd w:val="clear" w:color="000000" w:fill="D8D8D8"/>
            <w:vAlign w:val="center"/>
            <w:hideMark/>
          </w:tcPr>
          <w:p w14:paraId="138E6252" w14:textId="77777777" w:rsidR="00F03BAC" w:rsidRPr="000B6029" w:rsidRDefault="00F03BAC" w:rsidP="00F03BAC">
            <w:pPr>
              <w:spacing w:after="0"/>
              <w:jc w:val="center"/>
              <w:rPr>
                <w:rFonts w:cs="Arial"/>
                <w:color w:val="000000"/>
                <w:szCs w:val="22"/>
              </w:rPr>
            </w:pPr>
            <w:r w:rsidRPr="000B6029">
              <w:rPr>
                <w:rFonts w:cs="Arial"/>
                <w:color w:val="000000"/>
                <w:szCs w:val="22"/>
              </w:rPr>
              <w:t> </w:t>
            </w:r>
          </w:p>
        </w:tc>
        <w:tc>
          <w:tcPr>
            <w:tcW w:w="956" w:type="pct"/>
            <w:tcBorders>
              <w:top w:val="single" w:sz="4" w:space="0" w:color="5A5A5A"/>
              <w:left w:val="nil"/>
              <w:bottom w:val="single" w:sz="4" w:space="0" w:color="auto"/>
              <w:right w:val="single" w:sz="4" w:space="0" w:color="5A5A5A"/>
            </w:tcBorders>
            <w:shd w:val="clear" w:color="000000" w:fill="D8D8D8"/>
            <w:vAlign w:val="center"/>
            <w:hideMark/>
          </w:tcPr>
          <w:p w14:paraId="585E91A5" w14:textId="77777777" w:rsidR="00F03BAC" w:rsidRPr="000B6029" w:rsidRDefault="00F03BAC" w:rsidP="00F03BAC">
            <w:pPr>
              <w:spacing w:after="0"/>
              <w:jc w:val="center"/>
              <w:rPr>
                <w:rFonts w:cs="Arial"/>
                <w:color w:val="000000"/>
                <w:szCs w:val="22"/>
              </w:rPr>
            </w:pPr>
            <w:r w:rsidRPr="000B6029">
              <w:rPr>
                <w:rFonts w:cs="Arial"/>
                <w:color w:val="000000"/>
                <w:szCs w:val="22"/>
              </w:rPr>
              <w:t> </w:t>
            </w:r>
          </w:p>
        </w:tc>
      </w:tr>
      <w:tr w:rsidR="00F03BAC" w:rsidRPr="000B6029" w14:paraId="024934D9" w14:textId="77777777" w:rsidTr="00870D93">
        <w:trPr>
          <w:trHeight w:val="345"/>
        </w:trPr>
        <w:tc>
          <w:tcPr>
            <w:tcW w:w="3456" w:type="pct"/>
            <w:gridSpan w:val="2"/>
            <w:tcBorders>
              <w:top w:val="single" w:sz="4" w:space="0" w:color="auto"/>
              <w:left w:val="single" w:sz="4" w:space="0" w:color="272727"/>
              <w:bottom w:val="single" w:sz="4" w:space="0" w:color="272727"/>
              <w:right w:val="single" w:sz="4" w:space="0" w:color="272727"/>
            </w:tcBorders>
            <w:shd w:val="clear" w:color="auto" w:fill="auto"/>
            <w:vAlign w:val="center"/>
            <w:hideMark/>
          </w:tcPr>
          <w:p w14:paraId="6EE17F76" w14:textId="77777777" w:rsidR="00F03BAC" w:rsidRPr="000B6029" w:rsidRDefault="00F03BAC" w:rsidP="00F03BAC">
            <w:pPr>
              <w:spacing w:after="0"/>
              <w:jc w:val="left"/>
              <w:rPr>
                <w:rFonts w:cs="Arial"/>
                <w:b/>
                <w:bCs/>
                <w:color w:val="000000"/>
                <w:szCs w:val="22"/>
              </w:rPr>
            </w:pPr>
            <w:r w:rsidRPr="000B6029">
              <w:rPr>
                <w:rFonts w:cs="Arial"/>
                <w:b/>
                <w:bCs/>
                <w:color w:val="000000"/>
                <w:szCs w:val="22"/>
              </w:rPr>
              <w:t>Montant total €HT de la redevance annuelle versée au Mucem</w:t>
            </w:r>
          </w:p>
        </w:tc>
        <w:tc>
          <w:tcPr>
            <w:tcW w:w="588" w:type="pct"/>
            <w:tcBorders>
              <w:top w:val="single" w:sz="4" w:space="0" w:color="auto"/>
              <w:left w:val="nil"/>
              <w:bottom w:val="single" w:sz="4" w:space="0" w:color="5A5A5A"/>
              <w:right w:val="single" w:sz="4" w:space="0" w:color="5A5A5A"/>
            </w:tcBorders>
            <w:shd w:val="clear" w:color="auto" w:fill="auto"/>
            <w:vAlign w:val="center"/>
            <w:hideMark/>
          </w:tcPr>
          <w:p w14:paraId="5BE3D0B8" w14:textId="77777777" w:rsidR="00F03BAC" w:rsidRPr="000B6029" w:rsidRDefault="00F03BAC" w:rsidP="00F03BAC">
            <w:pPr>
              <w:spacing w:after="0"/>
              <w:jc w:val="center"/>
              <w:rPr>
                <w:rFonts w:cs="Arial"/>
                <w:color w:val="000000"/>
                <w:szCs w:val="22"/>
              </w:rPr>
            </w:pPr>
            <w:r w:rsidRPr="000B6029">
              <w:rPr>
                <w:rFonts w:cs="Arial"/>
                <w:color w:val="000000"/>
                <w:szCs w:val="22"/>
              </w:rPr>
              <w:t>30</w:t>
            </w:r>
          </w:p>
        </w:tc>
        <w:tc>
          <w:tcPr>
            <w:tcW w:w="956" w:type="pct"/>
            <w:tcBorders>
              <w:top w:val="single" w:sz="4" w:space="0" w:color="auto"/>
              <w:left w:val="nil"/>
              <w:bottom w:val="single" w:sz="4" w:space="0" w:color="5A5A5A"/>
              <w:right w:val="single" w:sz="4" w:space="0" w:color="5A5A5A"/>
            </w:tcBorders>
            <w:shd w:val="clear" w:color="auto" w:fill="auto"/>
            <w:vAlign w:val="center"/>
            <w:hideMark/>
          </w:tcPr>
          <w:p w14:paraId="4DCB109D" w14:textId="77777777" w:rsidR="00F03BAC" w:rsidRPr="000B6029" w:rsidRDefault="00F03BAC" w:rsidP="00F03BAC">
            <w:pPr>
              <w:spacing w:after="0"/>
              <w:jc w:val="center"/>
              <w:rPr>
                <w:rFonts w:cs="Arial"/>
                <w:color w:val="000000"/>
                <w:szCs w:val="22"/>
              </w:rPr>
            </w:pPr>
            <w:r w:rsidRPr="000B6029">
              <w:rPr>
                <w:rFonts w:cs="Arial"/>
                <w:color w:val="000000"/>
                <w:szCs w:val="22"/>
              </w:rPr>
              <w:t>Note proportionnelle (1)</w:t>
            </w:r>
          </w:p>
        </w:tc>
      </w:tr>
      <w:tr w:rsidR="00F03BAC" w:rsidRPr="000B6029" w14:paraId="5F7E646D" w14:textId="77777777" w:rsidTr="00870D93">
        <w:trPr>
          <w:trHeight w:val="315"/>
        </w:trPr>
        <w:tc>
          <w:tcPr>
            <w:tcW w:w="3456"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4D7D2C31" w14:textId="33C23746" w:rsidR="00F03BAC" w:rsidRPr="000B6029" w:rsidRDefault="00F03BAC" w:rsidP="000A61EC">
            <w:pPr>
              <w:spacing w:after="0"/>
              <w:jc w:val="right"/>
              <w:rPr>
                <w:rFonts w:cs="Arial"/>
                <w:b/>
                <w:bCs/>
                <w:color w:val="000000"/>
                <w:szCs w:val="24"/>
              </w:rPr>
            </w:pPr>
            <w:r w:rsidRPr="000B6029">
              <w:rPr>
                <w:rFonts w:cs="Arial"/>
                <w:b/>
                <w:bCs/>
                <w:color w:val="000000"/>
                <w:szCs w:val="24"/>
              </w:rPr>
              <w:t xml:space="preserve">TOTAL NOTE FINANCIERE / </w:t>
            </w:r>
            <w:r w:rsidR="000A61EC">
              <w:rPr>
                <w:rFonts w:cs="Arial"/>
                <w:b/>
                <w:bCs/>
                <w:color w:val="000000"/>
                <w:szCs w:val="24"/>
              </w:rPr>
              <w:t>3</w:t>
            </w:r>
            <w:r w:rsidRPr="000B6029">
              <w:rPr>
                <w:rFonts w:cs="Arial"/>
                <w:b/>
                <w:bCs/>
                <w:color w:val="000000"/>
                <w:szCs w:val="24"/>
              </w:rPr>
              <w:t>0</w:t>
            </w:r>
          </w:p>
        </w:tc>
        <w:tc>
          <w:tcPr>
            <w:tcW w:w="588" w:type="pct"/>
            <w:tcBorders>
              <w:top w:val="nil"/>
              <w:left w:val="nil"/>
              <w:bottom w:val="single" w:sz="4" w:space="0" w:color="5A5A5A"/>
              <w:right w:val="single" w:sz="4" w:space="0" w:color="5A5A5A"/>
            </w:tcBorders>
            <w:shd w:val="clear" w:color="000000" w:fill="B8CCE4"/>
            <w:vAlign w:val="center"/>
            <w:hideMark/>
          </w:tcPr>
          <w:p w14:paraId="561538F5" w14:textId="77777777" w:rsidR="00F03BAC" w:rsidRPr="000B6029" w:rsidRDefault="00F03BAC" w:rsidP="00F03BAC">
            <w:pPr>
              <w:spacing w:after="0"/>
              <w:jc w:val="center"/>
              <w:rPr>
                <w:rFonts w:cs="Arial"/>
                <w:b/>
                <w:bCs/>
                <w:color w:val="000000"/>
                <w:szCs w:val="22"/>
              </w:rPr>
            </w:pPr>
            <w:r w:rsidRPr="000B6029">
              <w:rPr>
                <w:rFonts w:cs="Arial"/>
                <w:b/>
                <w:bCs/>
                <w:color w:val="000000"/>
                <w:szCs w:val="22"/>
              </w:rPr>
              <w:t>30</w:t>
            </w:r>
          </w:p>
        </w:tc>
        <w:tc>
          <w:tcPr>
            <w:tcW w:w="956" w:type="pct"/>
            <w:tcBorders>
              <w:top w:val="nil"/>
              <w:left w:val="nil"/>
              <w:bottom w:val="single" w:sz="4" w:space="0" w:color="5A5A5A"/>
              <w:right w:val="single" w:sz="4" w:space="0" w:color="5A5A5A"/>
            </w:tcBorders>
            <w:shd w:val="clear" w:color="000000" w:fill="B8CCE4"/>
            <w:vAlign w:val="center"/>
            <w:hideMark/>
          </w:tcPr>
          <w:p w14:paraId="0736E1BB" w14:textId="77777777" w:rsidR="00F03BAC" w:rsidRPr="000B6029" w:rsidRDefault="00F03BAC" w:rsidP="00F03BAC">
            <w:pPr>
              <w:spacing w:after="0"/>
              <w:jc w:val="center"/>
              <w:rPr>
                <w:rFonts w:cs="Arial"/>
                <w:b/>
                <w:bCs/>
                <w:color w:val="000000"/>
                <w:szCs w:val="22"/>
              </w:rPr>
            </w:pPr>
            <w:r w:rsidRPr="000B6029">
              <w:rPr>
                <w:rFonts w:cs="Arial"/>
                <w:b/>
                <w:bCs/>
                <w:color w:val="000000"/>
                <w:szCs w:val="22"/>
              </w:rPr>
              <w:t> </w:t>
            </w:r>
          </w:p>
        </w:tc>
      </w:tr>
      <w:tr w:rsidR="00F03BAC" w:rsidRPr="003226CA" w14:paraId="68E3F6BD" w14:textId="77777777" w:rsidTr="00870D93">
        <w:trPr>
          <w:trHeight w:val="180"/>
        </w:trPr>
        <w:tc>
          <w:tcPr>
            <w:tcW w:w="2426" w:type="pct"/>
            <w:tcBorders>
              <w:top w:val="nil"/>
              <w:left w:val="nil"/>
              <w:bottom w:val="nil"/>
              <w:right w:val="nil"/>
            </w:tcBorders>
            <w:shd w:val="clear" w:color="auto" w:fill="auto"/>
            <w:vAlign w:val="center"/>
            <w:hideMark/>
          </w:tcPr>
          <w:p w14:paraId="0EDF8ADC" w14:textId="77777777" w:rsidR="00F03BAC" w:rsidRPr="003226CA" w:rsidRDefault="00F03BAC" w:rsidP="00F03BAC">
            <w:pPr>
              <w:spacing w:after="0"/>
              <w:jc w:val="left"/>
              <w:rPr>
                <w:rFonts w:cs="Arial"/>
                <w:color w:val="000000"/>
                <w:szCs w:val="22"/>
                <w:highlight w:val="yellow"/>
              </w:rPr>
            </w:pPr>
          </w:p>
        </w:tc>
        <w:tc>
          <w:tcPr>
            <w:tcW w:w="1030" w:type="pct"/>
            <w:tcBorders>
              <w:top w:val="nil"/>
              <w:left w:val="nil"/>
              <w:bottom w:val="nil"/>
              <w:right w:val="nil"/>
            </w:tcBorders>
            <w:shd w:val="clear" w:color="auto" w:fill="auto"/>
            <w:vAlign w:val="center"/>
            <w:hideMark/>
          </w:tcPr>
          <w:p w14:paraId="30DEC48F" w14:textId="77777777" w:rsidR="00F03BAC" w:rsidRPr="003226CA" w:rsidRDefault="00F03BAC" w:rsidP="00F03BAC">
            <w:pPr>
              <w:spacing w:after="0"/>
              <w:jc w:val="left"/>
              <w:rPr>
                <w:rFonts w:cs="Arial"/>
                <w:color w:val="000000"/>
                <w:szCs w:val="22"/>
                <w:highlight w:val="yellow"/>
              </w:rPr>
            </w:pPr>
          </w:p>
        </w:tc>
        <w:tc>
          <w:tcPr>
            <w:tcW w:w="588" w:type="pct"/>
            <w:tcBorders>
              <w:top w:val="nil"/>
              <w:left w:val="nil"/>
              <w:bottom w:val="nil"/>
              <w:right w:val="nil"/>
            </w:tcBorders>
            <w:shd w:val="clear" w:color="auto" w:fill="auto"/>
            <w:vAlign w:val="center"/>
            <w:hideMark/>
          </w:tcPr>
          <w:p w14:paraId="6D2762FC" w14:textId="77777777" w:rsidR="00F03BAC" w:rsidRPr="003226CA" w:rsidRDefault="00F03BAC" w:rsidP="00F03BAC">
            <w:pPr>
              <w:spacing w:after="0"/>
              <w:jc w:val="center"/>
              <w:rPr>
                <w:rFonts w:cs="Arial"/>
                <w:color w:val="000000"/>
                <w:szCs w:val="22"/>
                <w:highlight w:val="yellow"/>
              </w:rPr>
            </w:pPr>
          </w:p>
        </w:tc>
        <w:tc>
          <w:tcPr>
            <w:tcW w:w="956" w:type="pct"/>
            <w:tcBorders>
              <w:top w:val="nil"/>
              <w:left w:val="nil"/>
              <w:bottom w:val="nil"/>
              <w:right w:val="nil"/>
            </w:tcBorders>
            <w:shd w:val="clear" w:color="auto" w:fill="auto"/>
            <w:vAlign w:val="center"/>
            <w:hideMark/>
          </w:tcPr>
          <w:p w14:paraId="1B0D50DD" w14:textId="77777777" w:rsidR="00F03BAC" w:rsidRPr="003226CA" w:rsidRDefault="00F03BAC" w:rsidP="00F03BAC">
            <w:pPr>
              <w:spacing w:after="0"/>
              <w:jc w:val="center"/>
              <w:rPr>
                <w:rFonts w:cs="Arial"/>
                <w:color w:val="000000"/>
                <w:szCs w:val="22"/>
                <w:highlight w:val="yellow"/>
              </w:rPr>
            </w:pPr>
          </w:p>
        </w:tc>
      </w:tr>
      <w:tr w:rsidR="00F03BAC" w:rsidRPr="00C7317C" w14:paraId="1400A338" w14:textId="77777777" w:rsidTr="00870D93">
        <w:trPr>
          <w:trHeight w:val="375"/>
        </w:trPr>
        <w:tc>
          <w:tcPr>
            <w:tcW w:w="3456" w:type="pct"/>
            <w:gridSpan w:val="2"/>
            <w:tcBorders>
              <w:top w:val="single" w:sz="8" w:space="0" w:color="5A5A5A"/>
              <w:left w:val="single" w:sz="8" w:space="0" w:color="5A5A5A"/>
              <w:bottom w:val="single" w:sz="8" w:space="0" w:color="5A5A5A"/>
              <w:right w:val="single" w:sz="4" w:space="0" w:color="5A5A5A"/>
            </w:tcBorders>
            <w:shd w:val="clear" w:color="000000" w:fill="376091"/>
            <w:vAlign w:val="center"/>
            <w:hideMark/>
          </w:tcPr>
          <w:p w14:paraId="0C7DA34E" w14:textId="77777777" w:rsidR="00F03BAC" w:rsidRPr="000B6029" w:rsidRDefault="00F03BAC" w:rsidP="00F03BAC">
            <w:pPr>
              <w:spacing w:after="0"/>
              <w:jc w:val="center"/>
              <w:rPr>
                <w:rFonts w:cs="Arial"/>
                <w:b/>
                <w:bCs/>
                <w:color w:val="FFFFFF"/>
                <w:szCs w:val="28"/>
              </w:rPr>
            </w:pPr>
            <w:r w:rsidRPr="000B6029">
              <w:rPr>
                <w:rFonts w:cs="Arial"/>
                <w:b/>
                <w:bCs/>
                <w:color w:val="FFFFFF"/>
                <w:szCs w:val="28"/>
              </w:rPr>
              <w:t>NOTE TOTALE</w:t>
            </w:r>
          </w:p>
        </w:tc>
        <w:tc>
          <w:tcPr>
            <w:tcW w:w="588" w:type="pct"/>
            <w:tcBorders>
              <w:top w:val="single" w:sz="8" w:space="0" w:color="5A5A5A"/>
              <w:left w:val="nil"/>
              <w:bottom w:val="single" w:sz="8" w:space="0" w:color="5A5A5A"/>
              <w:right w:val="single" w:sz="4" w:space="0" w:color="5A5A5A"/>
            </w:tcBorders>
            <w:shd w:val="clear" w:color="000000" w:fill="376091"/>
            <w:vAlign w:val="center"/>
            <w:hideMark/>
          </w:tcPr>
          <w:p w14:paraId="4AEE975D" w14:textId="77777777" w:rsidR="00F03BAC" w:rsidRPr="000B6029" w:rsidRDefault="00F03BAC" w:rsidP="00F03BAC">
            <w:pPr>
              <w:spacing w:after="0"/>
              <w:jc w:val="center"/>
              <w:rPr>
                <w:rFonts w:cs="Arial"/>
                <w:b/>
                <w:bCs/>
                <w:color w:val="FFFFFF"/>
                <w:szCs w:val="28"/>
              </w:rPr>
            </w:pPr>
            <w:r w:rsidRPr="000B6029">
              <w:rPr>
                <w:rFonts w:cs="Arial"/>
                <w:b/>
                <w:bCs/>
                <w:color w:val="FFFFFF"/>
                <w:szCs w:val="28"/>
              </w:rPr>
              <w:t>100</w:t>
            </w:r>
          </w:p>
        </w:tc>
        <w:tc>
          <w:tcPr>
            <w:tcW w:w="956" w:type="pct"/>
            <w:tcBorders>
              <w:top w:val="nil"/>
              <w:left w:val="nil"/>
              <w:bottom w:val="nil"/>
              <w:right w:val="nil"/>
            </w:tcBorders>
            <w:shd w:val="clear" w:color="auto" w:fill="auto"/>
            <w:vAlign w:val="center"/>
            <w:hideMark/>
          </w:tcPr>
          <w:p w14:paraId="3E31B52F" w14:textId="77777777" w:rsidR="00F03BAC" w:rsidRPr="00C7317C" w:rsidRDefault="00F03BAC" w:rsidP="00F03BAC">
            <w:pPr>
              <w:spacing w:after="0"/>
              <w:jc w:val="center"/>
              <w:rPr>
                <w:rFonts w:cs="Arial"/>
                <w:color w:val="000000"/>
                <w:szCs w:val="28"/>
              </w:rPr>
            </w:pPr>
          </w:p>
        </w:tc>
      </w:tr>
    </w:tbl>
    <w:p w14:paraId="29583D80" w14:textId="77777777" w:rsidR="00F03BAC" w:rsidRDefault="00F03BAC" w:rsidP="00F03BAC">
      <w:pPr>
        <w:keepNext/>
      </w:pPr>
    </w:p>
    <w:p w14:paraId="2D63AE3B" w14:textId="7B7E6AFE" w:rsidR="000A61EC" w:rsidRPr="002B4237" w:rsidRDefault="00F03BAC" w:rsidP="00F03BAC">
      <w:r w:rsidRPr="002B4237">
        <w:rPr>
          <w:b/>
          <w:u w:val="single"/>
        </w:rPr>
        <w:t>Méthode de notation</w:t>
      </w:r>
      <w:r w:rsidRPr="002B4237">
        <w:t xml:space="preserve"> : </w:t>
      </w:r>
    </w:p>
    <w:p w14:paraId="5E83AF89" w14:textId="238908C3" w:rsidR="00F03BAC" w:rsidRPr="002B4237" w:rsidRDefault="00F03BAC" w:rsidP="003E5E69">
      <w:pPr>
        <w:pStyle w:val="Paragraphedeliste"/>
        <w:numPr>
          <w:ilvl w:val="0"/>
          <w:numId w:val="46"/>
        </w:numPr>
      </w:pPr>
      <w:r w:rsidRPr="002B4237">
        <w:t xml:space="preserve">La </w:t>
      </w:r>
      <w:r w:rsidRPr="002B4237">
        <w:rPr>
          <w:b/>
        </w:rPr>
        <w:t>note financière</w:t>
      </w:r>
      <w:r w:rsidRPr="002B4237">
        <w:t xml:space="preserve"> sera attribuée par application de la formule suivante :</w:t>
      </w:r>
    </w:p>
    <w:p w14:paraId="7CF201F1" w14:textId="77777777" w:rsidR="00F03BAC" w:rsidRPr="002B4237" w:rsidRDefault="00F03BAC" w:rsidP="00F03BAC">
      <w:pPr>
        <w:jc w:val="center"/>
        <w:rPr>
          <w:rFonts w:cs="Arial"/>
        </w:rPr>
      </w:pPr>
    </w:p>
    <w:tbl>
      <w:tblPr>
        <w:tblW w:w="0" w:type="auto"/>
        <w:tblInd w:w="675" w:type="dxa"/>
        <w:tblLook w:val="04A0" w:firstRow="1" w:lastRow="0" w:firstColumn="1" w:lastColumn="0" w:noHBand="0" w:noVBand="1"/>
      </w:tblPr>
      <w:tblGrid>
        <w:gridCol w:w="4153"/>
        <w:gridCol w:w="4810"/>
      </w:tblGrid>
      <w:tr w:rsidR="00F03BAC" w:rsidRPr="002B4237" w14:paraId="05A4A6D1" w14:textId="77777777" w:rsidTr="00F03BAC">
        <w:tc>
          <w:tcPr>
            <w:tcW w:w="4214" w:type="dxa"/>
            <w:tcBorders>
              <w:bottom w:val="single" w:sz="4" w:space="0" w:color="auto"/>
            </w:tcBorders>
            <w:shd w:val="clear" w:color="auto" w:fill="auto"/>
            <w:vAlign w:val="center"/>
          </w:tcPr>
          <w:p w14:paraId="6B417F52" w14:textId="132A98C5" w:rsidR="00F03BAC" w:rsidRPr="002B4237" w:rsidRDefault="00A75E8A" w:rsidP="00F03BAC">
            <w:pPr>
              <w:jc w:val="center"/>
              <w:rPr>
                <w:b/>
              </w:rPr>
            </w:pPr>
            <w:r w:rsidRPr="002B4237">
              <w:rPr>
                <w:rFonts w:cs="Arial"/>
              </w:rPr>
              <w:t>Prix proposé</w:t>
            </w:r>
          </w:p>
        </w:tc>
        <w:tc>
          <w:tcPr>
            <w:tcW w:w="4889" w:type="dxa"/>
            <w:vMerge w:val="restart"/>
            <w:shd w:val="clear" w:color="auto" w:fill="auto"/>
            <w:vAlign w:val="center"/>
          </w:tcPr>
          <w:p w14:paraId="4ABE67E5" w14:textId="77777777" w:rsidR="00F03BAC" w:rsidRPr="002B4237" w:rsidRDefault="00F03BAC" w:rsidP="00F03BAC">
            <w:pPr>
              <w:rPr>
                <w:b/>
              </w:rPr>
            </w:pPr>
            <w:r w:rsidRPr="002B4237">
              <w:rPr>
                <w:rFonts w:cs="Arial"/>
              </w:rPr>
              <w:t>X note max pondérée du critère financier</w:t>
            </w:r>
          </w:p>
        </w:tc>
      </w:tr>
      <w:tr w:rsidR="00F03BAC" w:rsidRPr="002B4237" w14:paraId="72F8972C" w14:textId="77777777" w:rsidTr="00F03BAC">
        <w:tc>
          <w:tcPr>
            <w:tcW w:w="4214" w:type="dxa"/>
            <w:tcBorders>
              <w:top w:val="single" w:sz="4" w:space="0" w:color="auto"/>
            </w:tcBorders>
            <w:shd w:val="clear" w:color="auto" w:fill="auto"/>
            <w:vAlign w:val="center"/>
          </w:tcPr>
          <w:p w14:paraId="18A0659D" w14:textId="64337277" w:rsidR="00F03BAC" w:rsidRPr="002B4237" w:rsidRDefault="00A75E8A" w:rsidP="00F03BAC">
            <w:pPr>
              <w:jc w:val="center"/>
              <w:rPr>
                <w:b/>
              </w:rPr>
            </w:pPr>
            <w:r w:rsidRPr="002B4237">
              <w:rPr>
                <w:rFonts w:cs="Arial"/>
              </w:rPr>
              <w:t>Prix le plus haut parmi les offres acceptables</w:t>
            </w:r>
          </w:p>
        </w:tc>
        <w:tc>
          <w:tcPr>
            <w:tcW w:w="4889" w:type="dxa"/>
            <w:vMerge/>
            <w:shd w:val="clear" w:color="auto" w:fill="auto"/>
          </w:tcPr>
          <w:p w14:paraId="5C66E8AA" w14:textId="77777777" w:rsidR="00F03BAC" w:rsidRPr="002B4237" w:rsidRDefault="00F03BAC" w:rsidP="00F03BAC">
            <w:pPr>
              <w:jc w:val="left"/>
              <w:rPr>
                <w:b/>
              </w:rPr>
            </w:pPr>
          </w:p>
        </w:tc>
      </w:tr>
    </w:tbl>
    <w:p w14:paraId="45CC75E2" w14:textId="11ECB5C0" w:rsidR="00F03BAC" w:rsidRDefault="00F03BAC" w:rsidP="00F03BAC">
      <w:pPr>
        <w:rPr>
          <w:i/>
        </w:rPr>
      </w:pPr>
      <w:r w:rsidRPr="002B4237">
        <w:rPr>
          <w:i/>
        </w:rPr>
        <w:t>En cas d’égalité des notes totales du classement final, celui-ci se fera en tenant compte de la meilleure note obtenue au 1er critère. En cas de note identique, le classement se fera en tenant compte de la meilleure note obtenue au 2</w:t>
      </w:r>
      <w:r w:rsidRPr="002B4237">
        <w:rPr>
          <w:i/>
          <w:vertAlign w:val="superscript"/>
        </w:rPr>
        <w:t>ème</w:t>
      </w:r>
      <w:r w:rsidRPr="002B4237">
        <w:rPr>
          <w:i/>
        </w:rPr>
        <w:t xml:space="preserve"> critère et ainsi de suite jusqu’au dernier critère.</w:t>
      </w:r>
    </w:p>
    <w:p w14:paraId="288D23CC" w14:textId="77777777" w:rsidR="002C4D97" w:rsidRPr="00D2023B" w:rsidRDefault="002C4D97" w:rsidP="00F03BAC">
      <w:pPr>
        <w:rPr>
          <w:i/>
        </w:rPr>
      </w:pPr>
    </w:p>
    <w:p w14:paraId="4FD34587" w14:textId="77777777" w:rsidR="00F03BAC" w:rsidRPr="00467810" w:rsidRDefault="00F03BAC" w:rsidP="00F03BAC">
      <w:pPr>
        <w:pStyle w:val="Titre1"/>
      </w:pPr>
      <w:bookmarkStart w:id="95" w:name="_Toc330298480"/>
      <w:bookmarkStart w:id="96" w:name="_Toc336358691"/>
      <w:bookmarkStart w:id="97" w:name="_Toc42263693"/>
      <w:bookmarkStart w:id="98" w:name="_Toc335387146"/>
      <w:bookmarkStart w:id="99" w:name="_Toc201743758"/>
      <w:bookmarkEnd w:id="94"/>
      <w:r w:rsidRPr="00F03BAC">
        <w:lastRenderedPageBreak/>
        <w:t>Négociation</w:t>
      </w:r>
      <w:bookmarkEnd w:id="95"/>
      <w:bookmarkEnd w:id="96"/>
      <w:bookmarkEnd w:id="97"/>
      <w:bookmarkEnd w:id="99"/>
    </w:p>
    <w:p w14:paraId="771F317E" w14:textId="3E8208C4" w:rsidR="00F03BAC" w:rsidRPr="000B6029" w:rsidRDefault="00F03BAC" w:rsidP="00F03BAC">
      <w:pPr>
        <w:rPr>
          <w:b/>
          <w:color w:val="FF0000"/>
        </w:rPr>
      </w:pPr>
      <w:r w:rsidRPr="000B6029">
        <w:rPr>
          <w:b/>
          <w:color w:val="FF0000"/>
        </w:rPr>
        <w:t>Le Mucem se réserve le droit de négocier.</w:t>
      </w:r>
    </w:p>
    <w:p w14:paraId="02BAACBB" w14:textId="77777777" w:rsidR="00F03BAC" w:rsidRPr="00C94329" w:rsidRDefault="00F03BAC" w:rsidP="00F03BAC">
      <w:r w:rsidRPr="00C94329">
        <w:t>Si une offre apparaît comme économiquement avantageuse et ne nécessite pas de discussion financière ou technique particulièr</w:t>
      </w:r>
      <w:r>
        <w:t>e, le Mucem</w:t>
      </w:r>
      <w:r w:rsidRPr="00C94329">
        <w:t xml:space="preserve"> peut décider qu’il est inut</w:t>
      </w:r>
      <w:r>
        <w:t>ile d’engager des négociations.</w:t>
      </w:r>
    </w:p>
    <w:p w14:paraId="4E814272" w14:textId="77777777" w:rsidR="00F03BAC" w:rsidRPr="00C94329" w:rsidRDefault="00F03BAC" w:rsidP="00F03BAC">
      <w:r w:rsidRPr="00C94329">
        <w:t xml:space="preserve">Les candidats seront informés de leur sélection en vue des négociations par email ou via la plate-forme de publication. A cette fin, </w:t>
      </w:r>
      <w:r w:rsidRPr="00C94329">
        <w:rPr>
          <w:b/>
        </w:rPr>
        <w:t>les candidats mentionneront une adresse email valide</w:t>
      </w:r>
      <w:r>
        <w:rPr>
          <w:b/>
        </w:rPr>
        <w:t xml:space="preserve"> pour permettre au Mucem</w:t>
      </w:r>
      <w:r w:rsidRPr="00C94329">
        <w:rPr>
          <w:b/>
        </w:rPr>
        <w:t xml:space="preserve"> de les contacter</w:t>
      </w:r>
      <w:r w:rsidRPr="00C94329">
        <w:t xml:space="preserve"> (cette adresse peut-être celle renseignée lors du téléchargement du </w:t>
      </w:r>
      <w:r>
        <w:t>dossier</w:t>
      </w:r>
      <w:r w:rsidRPr="00C94329">
        <w:t xml:space="preserve"> sur la plate-forme de publication de la consultation ou une adresse mentionnée en page de garde du mémoire de réponse).</w:t>
      </w:r>
    </w:p>
    <w:p w14:paraId="4FDEF851" w14:textId="77777777" w:rsidR="00F03BAC" w:rsidRPr="00C94329" w:rsidRDefault="00F03BAC" w:rsidP="00F03BAC">
      <w:r w:rsidRPr="00C94329">
        <w:t>Les négociations se dérouleront dans les conditions ci-dessous soit par écrit uniquement, soit oralement et par écrit.</w:t>
      </w:r>
    </w:p>
    <w:p w14:paraId="2DB18710" w14:textId="77777777" w:rsidR="00F03BAC" w:rsidRPr="00083948" w:rsidRDefault="00F03BAC" w:rsidP="00F03BAC">
      <w:r w:rsidRPr="00083948">
        <w:t>Les candidats éventuellement sélectionnés recevront une proposition de négociation dans laquelle figureront notamment les éléments suivants :</w:t>
      </w:r>
    </w:p>
    <w:p w14:paraId="0E972B30" w14:textId="77777777" w:rsidR="00F03BAC" w:rsidRPr="00083948" w:rsidRDefault="00F03BAC" w:rsidP="00F03BAC">
      <w:pPr>
        <w:pStyle w:val="Listepuces"/>
        <w:tabs>
          <w:tab w:val="clear" w:pos="1276"/>
        </w:tabs>
        <w:suppressAutoHyphens/>
        <w:overflowPunct/>
        <w:autoSpaceDE/>
        <w:autoSpaceDN/>
        <w:adjustRightInd/>
        <w:spacing w:before="120"/>
        <w:ind w:left="1276" w:hanging="425"/>
        <w:textAlignment w:val="auto"/>
      </w:pPr>
      <w:r w:rsidRPr="00083948">
        <w:t>Intitulé de la consultation ;</w:t>
      </w:r>
    </w:p>
    <w:p w14:paraId="586087A9" w14:textId="77777777" w:rsidR="00F03BAC" w:rsidRPr="00083948" w:rsidRDefault="00F03BAC" w:rsidP="00F03BAC">
      <w:pPr>
        <w:pStyle w:val="Listepuces"/>
        <w:tabs>
          <w:tab w:val="clear" w:pos="1276"/>
        </w:tabs>
        <w:suppressAutoHyphens/>
        <w:overflowPunct/>
        <w:autoSpaceDE/>
        <w:autoSpaceDN/>
        <w:adjustRightInd/>
        <w:spacing w:before="120"/>
        <w:ind w:left="1276" w:hanging="425"/>
        <w:textAlignment w:val="auto"/>
      </w:pPr>
      <w:r w:rsidRPr="00083948">
        <w:t>Objet de la négociation ;</w:t>
      </w:r>
    </w:p>
    <w:p w14:paraId="0A413338" w14:textId="77777777" w:rsidR="00F03BAC" w:rsidRPr="00083948" w:rsidRDefault="00F03BAC" w:rsidP="00F03BAC">
      <w:pPr>
        <w:pStyle w:val="Listepuces"/>
        <w:tabs>
          <w:tab w:val="clear" w:pos="1276"/>
        </w:tabs>
        <w:suppressAutoHyphens/>
        <w:overflowPunct/>
        <w:autoSpaceDE/>
        <w:autoSpaceDN/>
        <w:adjustRightInd/>
        <w:spacing w:before="120"/>
        <w:ind w:left="1276" w:hanging="425"/>
        <w:textAlignment w:val="auto"/>
      </w:pPr>
      <w:r w:rsidRPr="00083948">
        <w:t>Date et heure limites à laquelle le candidat devra proposer sa nouvelle offre, étant précisé qu'en l'absence de nouvelle proposition, le candidat sera réputé maintenir son offre initiale.</w:t>
      </w:r>
    </w:p>
    <w:p w14:paraId="469B14F6" w14:textId="4105350F" w:rsidR="00F03BAC" w:rsidRPr="000B6029" w:rsidRDefault="00F03BAC" w:rsidP="00F03BAC">
      <w:r w:rsidRPr="000B6029">
        <w:t>Lors de négociations, les candidats transmettront leur(s) nouvelle(s) offre(s) via la PLACE.</w:t>
      </w:r>
    </w:p>
    <w:p w14:paraId="46800A1E" w14:textId="191DD64C" w:rsidR="00F03BAC" w:rsidRDefault="00F03BAC" w:rsidP="00F03BAC">
      <w:r w:rsidRPr="000B6029">
        <w:t xml:space="preserve">Au terme de la négociation, les offres sont à nouveau classées sur la base des mêmes critères que ceux énoncés à </w:t>
      </w:r>
      <w:r w:rsidR="005C01DD" w:rsidRPr="005C01DD">
        <w:rPr>
          <w:b/>
          <w:i/>
          <w:color w:val="595959"/>
        </w:rPr>
        <w:t xml:space="preserve">l’article </w:t>
      </w:r>
      <w:r w:rsidR="005C01DD" w:rsidRPr="005C01DD">
        <w:rPr>
          <w:b/>
          <w:i/>
          <w:color w:val="595959"/>
        </w:rPr>
        <w:fldChar w:fldCharType="begin"/>
      </w:r>
      <w:r w:rsidR="005C01DD" w:rsidRPr="005C01DD">
        <w:rPr>
          <w:b/>
          <w:i/>
          <w:color w:val="595959"/>
        </w:rPr>
        <w:instrText xml:space="preserve"> REF _Ref422816786 \r \h </w:instrText>
      </w:r>
      <w:r w:rsidR="005C01DD">
        <w:rPr>
          <w:b/>
          <w:i/>
          <w:color w:val="595959"/>
        </w:rPr>
        <w:instrText xml:space="preserve"> \* MERGEFORMAT </w:instrText>
      </w:r>
      <w:r w:rsidR="005C01DD" w:rsidRPr="005C01DD">
        <w:rPr>
          <w:b/>
          <w:i/>
          <w:color w:val="595959"/>
        </w:rPr>
      </w:r>
      <w:r w:rsidR="005C01DD" w:rsidRPr="005C01DD">
        <w:rPr>
          <w:b/>
          <w:i/>
          <w:color w:val="595959"/>
        </w:rPr>
        <w:fldChar w:fldCharType="separate"/>
      </w:r>
      <w:r w:rsidR="00813D99">
        <w:rPr>
          <w:b/>
          <w:i/>
          <w:color w:val="595959"/>
        </w:rPr>
        <w:t>7.3</w:t>
      </w:r>
      <w:r w:rsidR="005C01DD" w:rsidRPr="005C01DD">
        <w:rPr>
          <w:b/>
          <w:i/>
          <w:color w:val="595959"/>
        </w:rPr>
        <w:fldChar w:fldCharType="end"/>
      </w:r>
      <w:r w:rsidR="005C01DD" w:rsidRPr="005C01DD">
        <w:rPr>
          <w:b/>
          <w:i/>
          <w:color w:val="595959"/>
        </w:rPr>
        <w:t xml:space="preserve"> </w:t>
      </w:r>
      <w:r w:rsidR="005C01DD">
        <w:rPr>
          <w:b/>
          <w:i/>
          <w:color w:val="595959"/>
        </w:rPr>
        <w:t>du présent document</w:t>
      </w:r>
      <w:r w:rsidRPr="000B6029">
        <w:t xml:space="preserve">. </w:t>
      </w:r>
      <w:bookmarkEnd w:id="98"/>
    </w:p>
    <w:p w14:paraId="150C63B0" w14:textId="095139B6" w:rsidR="00F03BAC" w:rsidRDefault="00F03BAC" w:rsidP="00870D93">
      <w:r w:rsidRPr="00AA75C0">
        <w:t xml:space="preserve">L'offre la mieux classée sera retenue à titre provisoire en attendant que le </w:t>
      </w:r>
      <w:r>
        <w:t>candidat produise</w:t>
      </w:r>
      <w:r w:rsidRPr="00AA75C0">
        <w:t xml:space="preserve"> les éléments </w:t>
      </w:r>
      <w:r w:rsidR="003E5E69">
        <w:t>nécessaire</w:t>
      </w:r>
      <w:r w:rsidR="00481CF1">
        <w:t>s</w:t>
      </w:r>
      <w:r w:rsidR="003E5E69">
        <w:t xml:space="preserve"> à la finalisation du contrat.</w:t>
      </w:r>
    </w:p>
    <w:p w14:paraId="3B7E59A6" w14:textId="228A8BB5" w:rsidR="007849FA" w:rsidRDefault="007849FA" w:rsidP="004E6F4E">
      <w:pPr>
        <w:pStyle w:val="Titre1"/>
      </w:pPr>
      <w:bookmarkStart w:id="100" w:name="_Toc300767441"/>
      <w:bookmarkStart w:id="101" w:name="_Ref329613463"/>
      <w:bookmarkStart w:id="102" w:name="_Toc293853475"/>
      <w:bookmarkStart w:id="103" w:name="_Toc295160936"/>
      <w:bookmarkStart w:id="104" w:name="_Toc295312894"/>
      <w:bookmarkStart w:id="105" w:name="_Toc201743759"/>
      <w:r>
        <w:t>Autorisation d’occupation des bâtiments</w:t>
      </w:r>
      <w:bookmarkEnd w:id="105"/>
    </w:p>
    <w:p w14:paraId="2568ABBA" w14:textId="77777777" w:rsidR="007849FA" w:rsidRDefault="007849FA" w:rsidP="007849FA">
      <w:pPr>
        <w:pStyle w:val="Titre2"/>
      </w:pPr>
      <w:bookmarkStart w:id="106" w:name="_Toc473106086"/>
      <w:bookmarkStart w:id="107" w:name="_Toc201743760"/>
      <w:r>
        <w:t xml:space="preserve">Objet de </w:t>
      </w:r>
      <w:r w:rsidRPr="007849FA">
        <w:t>l’autorisation</w:t>
      </w:r>
      <w:bookmarkEnd w:id="106"/>
      <w:bookmarkEnd w:id="107"/>
    </w:p>
    <w:p w14:paraId="3B90B21F" w14:textId="60E46C04" w:rsidR="007849FA" w:rsidRDefault="007849FA" w:rsidP="007849FA">
      <w:r>
        <w:t xml:space="preserve">La présente autorisation a pour objet de définir les conditions dans lesquelles le </w:t>
      </w:r>
      <w:r w:rsidR="00873D6B">
        <w:t>Bénéficiaire</w:t>
      </w:r>
      <w:r>
        <w:t xml:space="preserve"> est autorisé, sous le régime des occupations temporaires du domaine public, à occuper à titre précaire et révocable les emplacements réservés pour les distributeurs, afin de lui permettre d’installer, de mettre en service et d’exploiter des distributeurs de boissons</w:t>
      </w:r>
      <w:r w:rsidR="00D86AC5">
        <w:t>,</w:t>
      </w:r>
      <w:r w:rsidR="005C01DD">
        <w:t xml:space="preserve"> </w:t>
      </w:r>
      <w:r>
        <w:t>denrées alimentaires</w:t>
      </w:r>
      <w:r w:rsidR="00D86AC5">
        <w:t xml:space="preserve"> et des produits </w:t>
      </w:r>
      <w:r w:rsidR="005C01DD">
        <w:t>d’</w:t>
      </w:r>
      <w:r w:rsidR="00D86AC5">
        <w:t>hygiène</w:t>
      </w:r>
      <w:r w:rsidR="005C01DD">
        <w:t>.</w:t>
      </w:r>
    </w:p>
    <w:p w14:paraId="754273EA" w14:textId="633935F7" w:rsidR="007849FA" w:rsidRPr="007849FA" w:rsidRDefault="007849FA" w:rsidP="007849FA">
      <w:pPr>
        <w:pStyle w:val="Titre2"/>
      </w:pPr>
      <w:bookmarkStart w:id="108" w:name="_Toc473106087"/>
      <w:bookmarkStart w:id="109" w:name="_Toc201743761"/>
      <w:r>
        <w:t>Caractère personnel de l’autorisation</w:t>
      </w:r>
      <w:bookmarkEnd w:id="108"/>
      <w:bookmarkEnd w:id="109"/>
    </w:p>
    <w:p w14:paraId="6F1D9E2F" w14:textId="375FC48C" w:rsidR="007849FA" w:rsidRDefault="007849FA" w:rsidP="007849FA">
      <w:r>
        <w:t xml:space="preserve">L’autorisation est accordée à titre strictement personnel. Le </w:t>
      </w:r>
      <w:r w:rsidR="00873D6B">
        <w:t>Bénéficiaire</w:t>
      </w:r>
      <w:r>
        <w:t xml:space="preserve"> est tenu d’assurer directement, en son nom et sans discontinuité, l’exploitation autorisée.</w:t>
      </w:r>
    </w:p>
    <w:p w14:paraId="5E4A6609" w14:textId="3C9CB9D4" w:rsidR="007849FA" w:rsidRDefault="007849FA" w:rsidP="007849FA">
      <w:r>
        <w:t xml:space="preserve">Par dérogation aux dispositions des articles L.2122-6 et L.2122-14 du Code </w:t>
      </w:r>
      <w:r w:rsidR="005C01DD">
        <w:t>g</w:t>
      </w:r>
      <w:r>
        <w:t>énéral de la propriété des personnes publiques, l’</w:t>
      </w:r>
      <w:r w:rsidR="008231F9">
        <w:t>Occupant</w:t>
      </w:r>
      <w:r>
        <w:t xml:space="preserve"> ne se voit consentir aucun droit réel sur les biens immobiliers qui lui seront mis à disposition en application de la présente convention.</w:t>
      </w:r>
    </w:p>
    <w:p w14:paraId="673955F0" w14:textId="7003F178" w:rsidR="007849FA" w:rsidRPr="00F73EA0" w:rsidRDefault="007849FA" w:rsidP="007849FA">
      <w:r>
        <w:t xml:space="preserve">L’occupation des locaux par le </w:t>
      </w:r>
      <w:r w:rsidR="00873D6B">
        <w:t>Bénéficiaire</w:t>
      </w:r>
      <w:r>
        <w:t xml:space="preserve"> ne pourra en aucun cas lui conférer un droit au maintien dans les lieux et constituer un droit à la propriété commerciale.</w:t>
      </w:r>
    </w:p>
    <w:p w14:paraId="24C4B0D5" w14:textId="53AAB131" w:rsidR="004E6F4E" w:rsidRPr="00803896" w:rsidRDefault="00803896" w:rsidP="004E6F4E">
      <w:pPr>
        <w:pStyle w:val="Titre1"/>
      </w:pPr>
      <w:bookmarkStart w:id="110" w:name="_Toc201743762"/>
      <w:r>
        <w:t>Coordination</w:t>
      </w:r>
      <w:r w:rsidR="00A05E14">
        <w:t xml:space="preserve"> - pilotage</w:t>
      </w:r>
      <w:r>
        <w:t xml:space="preserve"> – suivi </w:t>
      </w:r>
      <w:r w:rsidR="00330AEC">
        <w:t>de la relation contractuelle</w:t>
      </w:r>
      <w:bookmarkEnd w:id="110"/>
    </w:p>
    <w:p w14:paraId="5D3E4C2F" w14:textId="625374CA" w:rsidR="00A5071A" w:rsidRDefault="00A5071A" w:rsidP="00A5071A">
      <w:pPr>
        <w:pStyle w:val="Titre2"/>
      </w:pPr>
      <w:bookmarkStart w:id="111" w:name="_Toc201743763"/>
      <w:r>
        <w:t>Représentant</w:t>
      </w:r>
      <w:r w:rsidR="00CF6B1F">
        <w:t>(</w:t>
      </w:r>
      <w:r>
        <w:t>s</w:t>
      </w:r>
      <w:r w:rsidR="00CF6B1F">
        <w:t>)</w:t>
      </w:r>
      <w:r>
        <w:t xml:space="preserve"> du </w:t>
      </w:r>
      <w:r w:rsidR="00873D6B">
        <w:t>Bénéficiaire</w:t>
      </w:r>
      <w:bookmarkEnd w:id="111"/>
    </w:p>
    <w:p w14:paraId="4607D375" w14:textId="3E2D203D" w:rsidR="00CF6B1F" w:rsidRDefault="004039A5" w:rsidP="00CF6B1F">
      <w:r>
        <w:t>D</w:t>
      </w:r>
      <w:r w:rsidR="00CF6B1F">
        <w:t>ès la notification d</w:t>
      </w:r>
      <w:r>
        <w:t>e l</w:t>
      </w:r>
      <w:r w:rsidR="007F263D">
        <w:t>’AOT</w:t>
      </w:r>
      <w:r w:rsidR="00CF6B1F">
        <w:t xml:space="preserve">, le </w:t>
      </w:r>
      <w:r w:rsidR="00873D6B">
        <w:t>Bénéficiaire</w:t>
      </w:r>
      <w:r w:rsidR="00CF6B1F">
        <w:t xml:space="preserve"> désigne une ou plusieurs personnes physiques, habilitées à le représenter auprès du Mucem, pour les besoins de l’exécution du </w:t>
      </w:r>
      <w:r w:rsidR="00591C85">
        <w:t>contrat</w:t>
      </w:r>
      <w:r w:rsidR="00CF6B1F">
        <w:t>. Ce ou ces représentants sont réputés disposer des pouvoirs suffisants pour prendre, dès notification de leur nom au Mucem</w:t>
      </w:r>
      <w:r w:rsidR="00DE5125">
        <w:t>,</w:t>
      </w:r>
      <w:r w:rsidR="00CF6B1F">
        <w:t xml:space="preserve"> dans les délais requis ou impartis par le </w:t>
      </w:r>
      <w:r w:rsidR="00591C85">
        <w:t>contrat</w:t>
      </w:r>
      <w:r w:rsidR="00CF6B1F">
        <w:t xml:space="preserve">, les décisions engageant le </w:t>
      </w:r>
      <w:r w:rsidR="00873D6B">
        <w:t>Bénéficiaire</w:t>
      </w:r>
      <w:r w:rsidR="00CF6B1F">
        <w:t>.</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Default="00A5071A" w:rsidP="00A5071A">
      <w:pPr>
        <w:pStyle w:val="Titre2"/>
      </w:pPr>
      <w:bookmarkStart w:id="112" w:name="_Toc201743764"/>
      <w:r>
        <w:lastRenderedPageBreak/>
        <w:t>Représentants du Mucem</w:t>
      </w:r>
      <w:bookmarkEnd w:id="112"/>
    </w:p>
    <w:p w14:paraId="5FA51D0E" w14:textId="78841D7F" w:rsidR="00631775" w:rsidRPr="00631775" w:rsidRDefault="00631775" w:rsidP="00631775">
      <w:pPr>
        <w:pStyle w:val="Commentaire"/>
      </w:pPr>
      <w:r>
        <w:rPr>
          <w:b/>
        </w:rPr>
        <w:t>Les r</w:t>
      </w:r>
      <w:r w:rsidRPr="00B931EA">
        <w:rPr>
          <w:b/>
        </w:rPr>
        <w:t>eprésentant</w:t>
      </w:r>
      <w:r>
        <w:rPr>
          <w:b/>
        </w:rPr>
        <w:t>s</w:t>
      </w:r>
      <w:r w:rsidRPr="00B931EA">
        <w:rPr>
          <w:b/>
        </w:rPr>
        <w:t xml:space="preserve"> du Mucem pour les besoins de l’exécution du </w:t>
      </w:r>
      <w:r>
        <w:rPr>
          <w:b/>
        </w:rPr>
        <w:t>contrat</w:t>
      </w:r>
      <w:r>
        <w:t xml:space="preserve"> sont :</w:t>
      </w:r>
    </w:p>
    <w:p w14:paraId="5C587D7F" w14:textId="28B2DD8E" w:rsidR="00631775" w:rsidRPr="00631775" w:rsidRDefault="00631775" w:rsidP="005C01DD">
      <w:pPr>
        <w:pStyle w:val="Paragraphedeliste"/>
        <w:numPr>
          <w:ilvl w:val="0"/>
          <w:numId w:val="41"/>
        </w:numPr>
        <w:overflowPunct/>
        <w:autoSpaceDE/>
        <w:autoSpaceDN/>
        <w:adjustRightInd/>
        <w:spacing w:after="0"/>
        <w:textAlignment w:val="auto"/>
        <w:rPr>
          <w:rFonts w:cs="Arial"/>
        </w:rPr>
      </w:pPr>
      <w:r w:rsidRPr="00631775">
        <w:rPr>
          <w:rFonts w:cs="Arial"/>
        </w:rPr>
        <w:t>M.</w:t>
      </w:r>
      <w:r w:rsidR="00BA35DC">
        <w:rPr>
          <w:rFonts w:cs="Arial"/>
        </w:rPr>
        <w:t xml:space="preserve"> </w:t>
      </w:r>
      <w:r w:rsidRPr="00631775">
        <w:rPr>
          <w:rFonts w:cs="Arial"/>
        </w:rPr>
        <w:t xml:space="preserve">Patrice LE CRAS, responsable technique et agent de prévention </w:t>
      </w:r>
      <w:r>
        <w:rPr>
          <w:rFonts w:cs="Arial"/>
        </w:rPr>
        <w:t>pour le suivi technique</w:t>
      </w:r>
      <w:r w:rsidR="005C01DD">
        <w:rPr>
          <w:rFonts w:cs="Arial"/>
        </w:rPr>
        <w:t> :</w:t>
      </w:r>
      <w:r w:rsidRPr="00631775">
        <w:rPr>
          <w:rFonts w:cs="Arial"/>
        </w:rPr>
        <w:t xml:space="preserve"> </w:t>
      </w:r>
      <w:hyperlink r:id="rId14" w:history="1">
        <w:r w:rsidRPr="00631775">
          <w:rPr>
            <w:rStyle w:val="Lienhypertexte"/>
            <w:rFonts w:cs="Arial"/>
          </w:rPr>
          <w:t>patrice.le-cras@mucem.org</w:t>
        </w:r>
      </w:hyperlink>
    </w:p>
    <w:p w14:paraId="49D3620E" w14:textId="77777777" w:rsidR="00631775" w:rsidRPr="00631775" w:rsidRDefault="00631775" w:rsidP="005C01DD">
      <w:pPr>
        <w:overflowPunct/>
        <w:autoSpaceDE/>
        <w:autoSpaceDN/>
        <w:adjustRightInd/>
        <w:spacing w:after="0"/>
        <w:textAlignment w:val="auto"/>
        <w:rPr>
          <w:rFonts w:cs="Arial"/>
        </w:rPr>
      </w:pPr>
    </w:p>
    <w:p w14:paraId="4D6582A9" w14:textId="70EA500C" w:rsidR="00631775" w:rsidRPr="00631775" w:rsidRDefault="00631775" w:rsidP="005C01DD">
      <w:pPr>
        <w:pStyle w:val="Paragraphedeliste"/>
        <w:numPr>
          <w:ilvl w:val="0"/>
          <w:numId w:val="41"/>
        </w:numPr>
        <w:overflowPunct/>
        <w:autoSpaceDE/>
        <w:autoSpaceDN/>
        <w:adjustRightInd/>
        <w:spacing w:after="0"/>
        <w:textAlignment w:val="auto"/>
        <w:rPr>
          <w:rFonts w:cs="Arial"/>
        </w:rPr>
      </w:pPr>
      <w:r w:rsidRPr="00631775">
        <w:rPr>
          <w:rFonts w:cs="Arial"/>
        </w:rPr>
        <w:t>Mme Joana S</w:t>
      </w:r>
      <w:r w:rsidR="00D1710A">
        <w:rPr>
          <w:rFonts w:cs="Arial"/>
        </w:rPr>
        <w:t>AADA</w:t>
      </w:r>
      <w:r w:rsidRPr="00631775">
        <w:rPr>
          <w:rFonts w:cs="Arial"/>
        </w:rPr>
        <w:t>, Coordinatrice du service du développement des ressources</w:t>
      </w:r>
      <w:r>
        <w:rPr>
          <w:rFonts w:cs="Arial"/>
        </w:rPr>
        <w:t xml:space="preserve"> pour le suivi administratif et la facturation</w:t>
      </w:r>
      <w:r w:rsidR="005C01DD">
        <w:rPr>
          <w:rFonts w:cs="Arial"/>
        </w:rPr>
        <w:t> :</w:t>
      </w:r>
      <w:r w:rsidRPr="00631775">
        <w:rPr>
          <w:rFonts w:cs="Arial"/>
        </w:rPr>
        <w:t xml:space="preserve"> </w:t>
      </w:r>
      <w:hyperlink r:id="rId15" w:history="1">
        <w:r w:rsidRPr="00631775">
          <w:rPr>
            <w:rStyle w:val="Lienhypertexte"/>
            <w:rFonts w:cs="Arial"/>
          </w:rPr>
          <w:t>joana.saada@mucem.org</w:t>
        </w:r>
      </w:hyperlink>
    </w:p>
    <w:p w14:paraId="4A52637D" w14:textId="77777777" w:rsidR="00631775" w:rsidRDefault="00631775" w:rsidP="00631775">
      <w:pPr>
        <w:overflowPunct/>
        <w:autoSpaceDE/>
        <w:autoSpaceDN/>
        <w:adjustRightInd/>
        <w:spacing w:after="0"/>
        <w:jc w:val="left"/>
        <w:textAlignment w:val="auto"/>
        <w:rPr>
          <w:rFonts w:ascii="Times New Roman" w:hAnsi="Times New Roman"/>
          <w:sz w:val="24"/>
          <w:szCs w:val="24"/>
        </w:rPr>
      </w:pPr>
    </w:p>
    <w:p w14:paraId="4FD52ACF" w14:textId="643AA172" w:rsidR="00A5071A" w:rsidRDefault="00A5071A" w:rsidP="00A5071A">
      <w:r>
        <w:t xml:space="preserve">En cas de modification </w:t>
      </w:r>
      <w:r w:rsidR="00442AD6">
        <w:t>d</w:t>
      </w:r>
      <w:r>
        <w:t xml:space="preserve">es interlocuteurs nommés ci-dessus, le Mucem s’engage à indiquer au </w:t>
      </w:r>
      <w:r w:rsidR="00873D6B">
        <w:t>Bénéficiaire</w:t>
      </w:r>
      <w:r>
        <w:t xml:space="preserve"> le nom de la personne chargée du suivi technique</w:t>
      </w:r>
      <w:r w:rsidR="00442AD6">
        <w:t xml:space="preserve"> et/ou opérationnel</w:t>
      </w:r>
      <w:r>
        <w:t>. L’habilitation de nouveaux repr</w:t>
      </w:r>
      <w:r w:rsidR="00442AD6">
        <w:t>ésentants sera réalisée s</w:t>
      </w:r>
      <w:r>
        <w:t>ans avenant.</w:t>
      </w:r>
    </w:p>
    <w:p w14:paraId="3FD81FD7" w14:textId="385071B9"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w:t>
      </w:r>
      <w:r w:rsidR="00873D6B">
        <w:t>Bénéficiaire</w:t>
      </w:r>
      <w:r w:rsidR="00A5071A">
        <w:t xml:space="preserv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850"/>
        <w:gridCol w:w="4778"/>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r w:rsidRPr="008F55B0">
              <w:rPr>
                <w:b/>
              </w:rPr>
              <w:t>Ordonnateur</w:t>
            </w:r>
          </w:p>
        </w:tc>
        <w:tc>
          <w:tcPr>
            <w:tcW w:w="4850" w:type="dxa"/>
            <w:vAlign w:val="center"/>
          </w:tcPr>
          <w:p w14:paraId="291DB4D6" w14:textId="77777777" w:rsidR="00A5071A" w:rsidRDefault="00A5071A" w:rsidP="000848A1">
            <w:r>
              <w:t>Monsieur le Président de l'Établissement public du Mucem</w:t>
            </w:r>
          </w:p>
        </w:tc>
      </w:tr>
      <w:tr w:rsidR="00A5071A" w14:paraId="64195631" w14:textId="77777777" w:rsidTr="00E1431E">
        <w:tc>
          <w:tcPr>
            <w:tcW w:w="4928" w:type="dxa"/>
            <w:shd w:val="clear" w:color="auto" w:fill="D9D9D9" w:themeFill="background1" w:themeFillShade="D9"/>
            <w:vAlign w:val="center"/>
          </w:tcPr>
          <w:p w14:paraId="25289459" w14:textId="0127A1D9" w:rsidR="00A5071A" w:rsidRPr="008F55B0" w:rsidRDefault="00145AB2" w:rsidP="00145AB2">
            <w:pPr>
              <w:rPr>
                <w:b/>
              </w:rPr>
            </w:pPr>
            <w:r>
              <w:rPr>
                <w:b/>
              </w:rPr>
              <w:t>Comptable assignataire</w:t>
            </w:r>
          </w:p>
        </w:tc>
        <w:tc>
          <w:tcPr>
            <w:tcW w:w="4850" w:type="dxa"/>
            <w:vAlign w:val="center"/>
          </w:tcPr>
          <w:p w14:paraId="20CFEF3A" w14:textId="2248EFD3" w:rsidR="00A5071A" w:rsidRDefault="00791597" w:rsidP="000848A1">
            <w:r>
              <w:t>L</w:t>
            </w:r>
            <w:r w:rsidR="00A5071A" w:rsidRPr="00B931EA">
              <w:t>’Agent comptable de l’Etablissement public du Mucem</w:t>
            </w:r>
          </w:p>
        </w:tc>
      </w:tr>
      <w:tr w:rsidR="00A5071A" w14:paraId="1B60D445" w14:textId="77777777" w:rsidTr="00E1431E">
        <w:tc>
          <w:tcPr>
            <w:tcW w:w="4928" w:type="dxa"/>
            <w:shd w:val="clear" w:color="auto" w:fill="D9D9D9" w:themeFill="background1" w:themeFillShade="D9"/>
            <w:vAlign w:val="center"/>
          </w:tcPr>
          <w:p w14:paraId="3B0C72A3" w14:textId="4817FD15" w:rsidR="00A5071A" w:rsidRPr="008F55B0" w:rsidRDefault="00A5071A" w:rsidP="000848A1">
            <w:pPr>
              <w:rPr>
                <w:b/>
              </w:rPr>
            </w:pPr>
            <w:r w:rsidRPr="008F55B0">
              <w:rPr>
                <w:b/>
              </w:rPr>
              <w:t>Suivi administratif</w:t>
            </w:r>
            <w:r w:rsidR="00033FFA">
              <w:rPr>
                <w:b/>
              </w:rPr>
              <w:t xml:space="preserve"> et juridique</w:t>
            </w:r>
          </w:p>
        </w:tc>
        <w:tc>
          <w:tcPr>
            <w:tcW w:w="4850" w:type="dxa"/>
            <w:vAlign w:val="center"/>
          </w:tcPr>
          <w:p w14:paraId="6796B313" w14:textId="6752026D" w:rsidR="00A5071A" w:rsidRDefault="006347DB" w:rsidP="000848A1">
            <w:r>
              <w:t>Cellule</w:t>
            </w:r>
            <w:r w:rsidR="00A5071A">
              <w:t xml:space="preserve"> achats du Mucem</w:t>
            </w:r>
          </w:p>
        </w:tc>
      </w:tr>
      <w:tr w:rsidR="00A5071A" w14:paraId="7F4E3429" w14:textId="77777777" w:rsidTr="00E1431E">
        <w:tc>
          <w:tcPr>
            <w:tcW w:w="4928" w:type="dxa"/>
            <w:shd w:val="clear" w:color="auto" w:fill="D9D9D9" w:themeFill="background1" w:themeFillShade="D9"/>
            <w:vAlign w:val="center"/>
          </w:tcPr>
          <w:p w14:paraId="6CBC11E9" w14:textId="4B5EC9A3" w:rsidR="00A5071A" w:rsidRPr="008F55B0" w:rsidRDefault="00A5071A" w:rsidP="00870D93">
            <w:pPr>
              <w:rPr>
                <w:b/>
              </w:rPr>
            </w:pPr>
            <w:r w:rsidRPr="008F55B0">
              <w:rPr>
                <w:b/>
              </w:rPr>
              <w:t>Suivi financier</w:t>
            </w:r>
            <w:r w:rsidR="00870D93">
              <w:rPr>
                <w:b/>
              </w:rPr>
              <w:t xml:space="preserve"> et opérationnel</w:t>
            </w:r>
          </w:p>
        </w:tc>
        <w:tc>
          <w:tcPr>
            <w:tcW w:w="4850" w:type="dxa"/>
            <w:vAlign w:val="center"/>
          </w:tcPr>
          <w:p w14:paraId="0608165A" w14:textId="52190023" w:rsidR="00A5071A" w:rsidRDefault="00631775" w:rsidP="000848A1">
            <w:r>
              <w:t xml:space="preserve">Service du </w:t>
            </w:r>
            <w:r w:rsidR="005C01DD">
              <w:t>D</w:t>
            </w:r>
            <w:r>
              <w:t xml:space="preserve">éveloppement des </w:t>
            </w:r>
            <w:r w:rsidR="005C01DD">
              <w:t>R</w:t>
            </w:r>
            <w:r>
              <w:t>essources</w:t>
            </w:r>
            <w:r w:rsidR="00870D93">
              <w:t xml:space="preserve"> et </w:t>
            </w:r>
            <w:r w:rsidR="005C01DD">
              <w:t>D</w:t>
            </w:r>
            <w:r w:rsidR="00870D93">
              <w:t>épartement des Bâtiments et de l’</w:t>
            </w:r>
            <w:r w:rsidR="005C01DD">
              <w:t>E</w:t>
            </w:r>
            <w:r w:rsidR="00870D93">
              <w:t>xploitation</w:t>
            </w:r>
          </w:p>
        </w:tc>
      </w:tr>
    </w:tbl>
    <w:p w14:paraId="26DFAC89" w14:textId="7928A7B5" w:rsidR="007976E3" w:rsidRDefault="00081A0C" w:rsidP="00237E45">
      <w:pPr>
        <w:pStyle w:val="Titre2"/>
      </w:pPr>
      <w:bookmarkStart w:id="113" w:name="_Toc201743765"/>
      <w:bookmarkEnd w:id="100"/>
      <w:bookmarkEnd w:id="101"/>
      <w:r>
        <w:t>Modalités de communication entre les parties</w:t>
      </w:r>
      <w:bookmarkEnd w:id="113"/>
    </w:p>
    <w:p w14:paraId="6DEACD32" w14:textId="6D514C43" w:rsidR="007976E3" w:rsidRDefault="007976E3" w:rsidP="007976E3">
      <w:r>
        <w:t xml:space="preserve">Pour les notifications au </w:t>
      </w:r>
      <w:r w:rsidR="00873D6B">
        <w:t>Bénéficiaire</w:t>
      </w:r>
      <w:r>
        <w:t xml:space="preserve"> de ses décisions ou informations, le </w:t>
      </w:r>
      <w:r w:rsidR="00875AE3">
        <w:t>Mucem prévoit</w:t>
      </w:r>
      <w:r>
        <w:t xml:space="preserve"> les formes suivantes, par ordre de préférence :</w:t>
      </w:r>
    </w:p>
    <w:p w14:paraId="2C0D2944" w14:textId="69A56E6B" w:rsidR="005F5409" w:rsidRDefault="00875AE3" w:rsidP="005F5409">
      <w:pPr>
        <w:pStyle w:val="Listepuces"/>
      </w:pPr>
      <w:r>
        <w:t>Courrier</w:t>
      </w:r>
      <w:r w:rsidR="005F5409">
        <w:t xml:space="preserve"> électronique</w:t>
      </w:r>
    </w:p>
    <w:p w14:paraId="1E33B31D" w14:textId="69DD7B27" w:rsidR="007976E3" w:rsidRDefault="00875AE3" w:rsidP="007976E3">
      <w:pPr>
        <w:pStyle w:val="Listepuces"/>
      </w:pPr>
      <w:r>
        <w:t>Lettre</w:t>
      </w:r>
      <w:r w:rsidR="007976E3">
        <w:t xml:space="preserve"> recommandée avec accusé de réception</w:t>
      </w:r>
    </w:p>
    <w:p w14:paraId="406B2B23" w14:textId="208229AF" w:rsidR="007976E3" w:rsidRDefault="00875AE3" w:rsidP="007976E3">
      <w:pPr>
        <w:pStyle w:val="Listepuces"/>
      </w:pPr>
      <w:r>
        <w:t>À</w:t>
      </w:r>
      <w:r w:rsidR="005C01DD">
        <w:t xml:space="preserve"> défaut, </w:t>
      </w:r>
      <w:r w:rsidR="007976E3">
        <w:t xml:space="preserve">tout autre moyen permettant d’attester la date de réception </w:t>
      </w:r>
    </w:p>
    <w:p w14:paraId="37E3A25B" w14:textId="268EF870" w:rsidR="007A1F1C" w:rsidRDefault="007A1F1C" w:rsidP="00C12D91">
      <w:pPr>
        <w:pStyle w:val="Titre1"/>
      </w:pPr>
      <w:bookmarkStart w:id="114" w:name="_Toc251755489"/>
      <w:bookmarkStart w:id="115" w:name="_Toc251755565"/>
      <w:bookmarkStart w:id="116" w:name="_Toc251761086"/>
      <w:bookmarkStart w:id="117" w:name="_Toc295160971"/>
      <w:bookmarkStart w:id="118" w:name="_Toc295312929"/>
      <w:bookmarkStart w:id="119" w:name="_Toc237763167"/>
      <w:bookmarkStart w:id="120" w:name="_Toc201743766"/>
      <w:r>
        <w:t>Désignation des espaces</w:t>
      </w:r>
      <w:bookmarkEnd w:id="120"/>
    </w:p>
    <w:p w14:paraId="4F04DCF0" w14:textId="77777777" w:rsidR="007A1F1C" w:rsidRPr="007A1F1C" w:rsidRDefault="007A1F1C" w:rsidP="007A1F1C">
      <w:pPr>
        <w:pStyle w:val="Titre2"/>
      </w:pPr>
      <w:bookmarkStart w:id="121" w:name="_Toc473106092"/>
      <w:bookmarkStart w:id="122" w:name="_Toc201743767"/>
      <w:r w:rsidRPr="007A1F1C">
        <w:t>Stipulations générales</w:t>
      </w:r>
      <w:bookmarkEnd w:id="121"/>
      <w:bookmarkEnd w:id="122"/>
    </w:p>
    <w:p w14:paraId="089CC353" w14:textId="027EF2C4" w:rsidR="007A1F1C" w:rsidRPr="007A1F1C" w:rsidRDefault="007A1F1C" w:rsidP="007A1F1C">
      <w:r w:rsidRPr="007A1F1C">
        <w:t>L’</w:t>
      </w:r>
      <w:r w:rsidR="008231F9">
        <w:t>Occupant</w:t>
      </w:r>
      <w:r w:rsidRPr="007A1F1C">
        <w:t xml:space="preserve"> prend les lieux, qu’il déclare parfaitement connaître, dans l’état où ils se trouvent, sans aucun recours possible contre le Mucem, et sans que ce dernier puisse être astreint, pendant la durée de la convention, à exécuter aucune réparation.</w:t>
      </w:r>
    </w:p>
    <w:p w14:paraId="00FDFC5B" w14:textId="766E39FE" w:rsidR="007A1F1C" w:rsidRPr="007A1F1C" w:rsidRDefault="007A1F1C" w:rsidP="007A1F1C">
      <w:r w:rsidRPr="007A1F1C">
        <w:t>Un état des lieux est dressé contradictoirement entre le Mucem et l’</w:t>
      </w:r>
      <w:r w:rsidR="008231F9">
        <w:t>Occupant</w:t>
      </w:r>
      <w:r w:rsidRPr="007A1F1C">
        <w:t>, lors de l’entrée en jouissance des lieux d’une part, et au terme de la présente convention, quelle qu’en soit la cause, d’autre part.</w:t>
      </w:r>
    </w:p>
    <w:p w14:paraId="2AC6E130" w14:textId="77777777" w:rsidR="007A1F1C" w:rsidRPr="007A1F1C" w:rsidRDefault="007A1F1C" w:rsidP="007A1F1C">
      <w:r w:rsidRPr="007A1F1C">
        <w:t>Un protocole de sécurité ainsi qu’un plan de chargement/déchargement seront signés conjointement au moment de l’état des lieux contradictoire dressé à l’entrée en jouissance des lieux.</w:t>
      </w:r>
    </w:p>
    <w:p w14:paraId="2AB9B5C6" w14:textId="08E36E00" w:rsidR="00A942AF" w:rsidRDefault="007A1F1C" w:rsidP="007A1F1C">
      <w:r w:rsidRPr="007A1F1C">
        <w:t xml:space="preserve">Le </w:t>
      </w:r>
      <w:r w:rsidR="00873D6B">
        <w:t>Bénéficiaire</w:t>
      </w:r>
      <w:r w:rsidRPr="007A1F1C">
        <w:t xml:space="preserve"> installe lui-même les distributeurs, à ses frais et sous sa responsabilité. Les Parties vérifient contradictoirement que les équipements disposent de tous les accessoires prévus dans l’offre du </w:t>
      </w:r>
      <w:r w:rsidR="00873D6B">
        <w:t>Bénéficiaire</w:t>
      </w:r>
      <w:r w:rsidRPr="007A1F1C">
        <w:t xml:space="preserve"> et qu’ils sont en parfait état de fonctionnement. Cette vérification est notifiée dans l’état des lieux entrant mentionné ci-avant. En outre, tout déplacement d’un distributeur sur le site (J4 – </w:t>
      </w:r>
      <w:r w:rsidR="005C01DD">
        <w:t>F</w:t>
      </w:r>
      <w:r w:rsidRPr="007A1F1C">
        <w:t xml:space="preserve">ort Saint-Jean), validé au préalable par le Mucem, sera à la charge du </w:t>
      </w:r>
      <w:r w:rsidR="00873D6B">
        <w:t>Bénéficiaire</w:t>
      </w:r>
      <w:r w:rsidRPr="007A1F1C">
        <w:t>.</w:t>
      </w:r>
    </w:p>
    <w:p w14:paraId="17FF9ACB" w14:textId="77777777" w:rsidR="00A942AF" w:rsidRDefault="00A942AF">
      <w:pPr>
        <w:overflowPunct/>
        <w:autoSpaceDE/>
        <w:autoSpaceDN/>
        <w:adjustRightInd/>
        <w:spacing w:after="200" w:line="276" w:lineRule="auto"/>
        <w:jc w:val="left"/>
        <w:textAlignment w:val="auto"/>
      </w:pPr>
      <w:r>
        <w:br w:type="page"/>
      </w:r>
    </w:p>
    <w:p w14:paraId="317F28E9" w14:textId="77777777" w:rsidR="007A1F1C" w:rsidRPr="007A1F1C" w:rsidRDefault="007A1F1C" w:rsidP="008E09AF">
      <w:pPr>
        <w:pStyle w:val="Titre2"/>
      </w:pPr>
      <w:bookmarkStart w:id="123" w:name="_Toc473106093"/>
      <w:bookmarkStart w:id="124" w:name="_Toc201743768"/>
      <w:r w:rsidRPr="007A1F1C">
        <w:lastRenderedPageBreak/>
        <w:t>Localisation des espaces</w:t>
      </w:r>
      <w:bookmarkEnd w:id="123"/>
      <w:r w:rsidRPr="007A1F1C">
        <w:t xml:space="preserve"> et nombre de distributeurs</w:t>
      </w:r>
      <w:bookmarkEnd w:id="124"/>
    </w:p>
    <w:p w14:paraId="765148C6" w14:textId="3DE28566" w:rsidR="007A1F1C" w:rsidRDefault="007A1F1C" w:rsidP="007A1F1C">
      <w:r w:rsidRPr="007A1F1C">
        <w:t>Le Mucem met à disposition de l’</w:t>
      </w:r>
      <w:r w:rsidR="008231F9">
        <w:t>Occupant</w:t>
      </w:r>
      <w:r w:rsidRPr="007A1F1C">
        <w:t xml:space="preserve"> les espaces suivants, dans les conditions décrites ci-après :</w:t>
      </w:r>
    </w:p>
    <w:p w14:paraId="27562730" w14:textId="6D8A6E33" w:rsidR="005067FA" w:rsidRPr="005C01DD" w:rsidRDefault="005067FA" w:rsidP="00825F99">
      <w:pPr>
        <w:pStyle w:val="Paragraphedeliste"/>
        <w:numPr>
          <w:ilvl w:val="0"/>
          <w:numId w:val="47"/>
        </w:numPr>
        <w:rPr>
          <w:b/>
          <w:u w:val="single"/>
        </w:rPr>
      </w:pPr>
      <w:r w:rsidRPr="005C01DD">
        <w:rPr>
          <w:b/>
          <w:u w:val="single"/>
        </w:rPr>
        <w:t>Distributeurs de boissons et denrées alimentaires</w:t>
      </w:r>
    </w:p>
    <w:tbl>
      <w:tblPr>
        <w:tblStyle w:val="Grilledutableau"/>
        <w:tblW w:w="10060" w:type="dxa"/>
        <w:jc w:val="center"/>
        <w:tblLook w:val="04A0" w:firstRow="1" w:lastRow="0" w:firstColumn="1" w:lastColumn="0" w:noHBand="0" w:noVBand="1"/>
      </w:tblPr>
      <w:tblGrid>
        <w:gridCol w:w="2835"/>
        <w:gridCol w:w="1439"/>
        <w:gridCol w:w="4085"/>
        <w:gridCol w:w="1701"/>
      </w:tblGrid>
      <w:tr w:rsidR="007A1F1C" w:rsidRPr="007A1F1C" w14:paraId="583F5C3C" w14:textId="77777777" w:rsidTr="00086473">
        <w:trPr>
          <w:trHeight w:val="475"/>
          <w:tblHeader/>
          <w:jc w:val="center"/>
        </w:trPr>
        <w:tc>
          <w:tcPr>
            <w:tcW w:w="2835" w:type="dxa"/>
            <w:shd w:val="clear" w:color="auto" w:fill="D9D9D9" w:themeFill="background1" w:themeFillShade="D9"/>
            <w:vAlign w:val="center"/>
          </w:tcPr>
          <w:p w14:paraId="2761B91F" w14:textId="77777777" w:rsidR="007A1F1C" w:rsidRPr="007A1F1C" w:rsidRDefault="007A1F1C" w:rsidP="00870D93">
            <w:pPr>
              <w:jc w:val="center"/>
              <w:rPr>
                <w:b/>
              </w:rPr>
            </w:pPr>
            <w:r w:rsidRPr="007A1F1C">
              <w:rPr>
                <w:b/>
              </w:rPr>
              <w:t>Localisation</w:t>
            </w:r>
          </w:p>
        </w:tc>
        <w:tc>
          <w:tcPr>
            <w:tcW w:w="1439" w:type="dxa"/>
            <w:shd w:val="clear" w:color="auto" w:fill="D9D9D9" w:themeFill="background1" w:themeFillShade="D9"/>
            <w:vAlign w:val="center"/>
          </w:tcPr>
          <w:p w14:paraId="6B07ACC1" w14:textId="77777777" w:rsidR="007A1F1C" w:rsidRPr="007A1F1C" w:rsidRDefault="007A1F1C" w:rsidP="00870D93">
            <w:pPr>
              <w:jc w:val="center"/>
              <w:rPr>
                <w:b/>
              </w:rPr>
            </w:pPr>
            <w:r w:rsidRPr="007A1F1C">
              <w:rPr>
                <w:b/>
              </w:rPr>
              <w:t>Nombre de distributeurs</w:t>
            </w:r>
          </w:p>
        </w:tc>
        <w:tc>
          <w:tcPr>
            <w:tcW w:w="4085" w:type="dxa"/>
            <w:shd w:val="clear" w:color="auto" w:fill="D9D9D9" w:themeFill="background1" w:themeFillShade="D9"/>
            <w:vAlign w:val="center"/>
          </w:tcPr>
          <w:p w14:paraId="207B67CB" w14:textId="77777777" w:rsidR="007A1F1C" w:rsidRPr="007A1F1C" w:rsidRDefault="007A1F1C" w:rsidP="00870D93">
            <w:pPr>
              <w:jc w:val="center"/>
              <w:rPr>
                <w:b/>
              </w:rPr>
            </w:pPr>
            <w:r w:rsidRPr="007A1F1C">
              <w:rPr>
                <w:b/>
              </w:rPr>
              <w:t>Type de distributeurs</w:t>
            </w:r>
          </w:p>
        </w:tc>
        <w:tc>
          <w:tcPr>
            <w:tcW w:w="1701" w:type="dxa"/>
            <w:shd w:val="clear" w:color="auto" w:fill="D9D9D9" w:themeFill="background1" w:themeFillShade="D9"/>
            <w:vAlign w:val="center"/>
          </w:tcPr>
          <w:p w14:paraId="39499E01" w14:textId="77777777" w:rsidR="007A1F1C" w:rsidRPr="007A1F1C" w:rsidRDefault="007A1F1C" w:rsidP="00870D93">
            <w:pPr>
              <w:jc w:val="center"/>
              <w:rPr>
                <w:b/>
              </w:rPr>
            </w:pPr>
            <w:r w:rsidRPr="007A1F1C">
              <w:rPr>
                <w:b/>
              </w:rPr>
              <w:t>Public concerné</w:t>
            </w:r>
          </w:p>
        </w:tc>
      </w:tr>
      <w:tr w:rsidR="007A1F1C" w:rsidRPr="007A1F1C" w14:paraId="407B2BB8" w14:textId="77777777" w:rsidTr="00086473">
        <w:trPr>
          <w:jc w:val="center"/>
        </w:trPr>
        <w:tc>
          <w:tcPr>
            <w:tcW w:w="2835" w:type="dxa"/>
          </w:tcPr>
          <w:p w14:paraId="11C25BC4" w14:textId="77777777" w:rsidR="007A1F1C" w:rsidRPr="007A1F1C" w:rsidRDefault="007A1F1C" w:rsidP="007A1F1C">
            <w:pPr>
              <w:rPr>
                <w:b/>
              </w:rPr>
            </w:pPr>
            <w:r w:rsidRPr="007A1F1C">
              <w:rPr>
                <w:b/>
              </w:rPr>
              <w:t xml:space="preserve">Bâtiment du J4 </w:t>
            </w:r>
          </w:p>
          <w:p w14:paraId="68472C3E" w14:textId="77777777" w:rsidR="007A1F1C" w:rsidRPr="007A1F1C" w:rsidRDefault="007A1F1C" w:rsidP="007A1F1C">
            <w:r w:rsidRPr="007A1F1C">
              <w:t>4</w:t>
            </w:r>
            <w:r w:rsidRPr="007A1F1C">
              <w:rPr>
                <w:vertAlign w:val="superscript"/>
              </w:rPr>
              <w:t>ème</w:t>
            </w:r>
            <w:r w:rsidRPr="007A1F1C">
              <w:t xml:space="preserve"> étage </w:t>
            </w:r>
          </w:p>
          <w:p w14:paraId="0D792FA7" w14:textId="77777777" w:rsidR="007A1F1C" w:rsidRPr="007A1F1C" w:rsidRDefault="007A1F1C" w:rsidP="007A1F1C">
            <w:r w:rsidRPr="007A1F1C">
              <w:t>Salle de restauration du personnel (R+4)</w:t>
            </w:r>
          </w:p>
        </w:tc>
        <w:tc>
          <w:tcPr>
            <w:tcW w:w="1439" w:type="dxa"/>
            <w:vAlign w:val="center"/>
          </w:tcPr>
          <w:p w14:paraId="7D25C712" w14:textId="77777777" w:rsidR="007A1F1C" w:rsidRPr="007A1F1C" w:rsidRDefault="007A1F1C" w:rsidP="00870D93">
            <w:pPr>
              <w:jc w:val="center"/>
            </w:pPr>
            <w:r w:rsidRPr="007A1F1C">
              <w:t>4</w:t>
            </w:r>
          </w:p>
        </w:tc>
        <w:tc>
          <w:tcPr>
            <w:tcW w:w="4085" w:type="dxa"/>
            <w:vAlign w:val="center"/>
          </w:tcPr>
          <w:p w14:paraId="2D530097" w14:textId="77777777" w:rsidR="007A1F1C" w:rsidRPr="007A1F1C" w:rsidRDefault="007A1F1C" w:rsidP="007A1F1C">
            <w:r w:rsidRPr="007A1F1C">
              <w:t>2 distributeurs boissons chaudes</w:t>
            </w:r>
          </w:p>
          <w:p w14:paraId="644A6EDB" w14:textId="77777777" w:rsidR="007A1F1C" w:rsidRPr="007A1F1C" w:rsidRDefault="007A1F1C" w:rsidP="007A1F1C">
            <w:r w:rsidRPr="007A1F1C">
              <w:t>1 distributeur boissons froides</w:t>
            </w:r>
          </w:p>
          <w:p w14:paraId="168BA4C6" w14:textId="77777777" w:rsidR="007A1F1C" w:rsidRPr="007A1F1C" w:rsidRDefault="007A1F1C" w:rsidP="007A1F1C">
            <w:r w:rsidRPr="007A1F1C">
              <w:t>1 distributeur snacks / confiseries</w:t>
            </w:r>
          </w:p>
        </w:tc>
        <w:tc>
          <w:tcPr>
            <w:tcW w:w="1701" w:type="dxa"/>
            <w:vAlign w:val="center"/>
          </w:tcPr>
          <w:p w14:paraId="063CF1E9" w14:textId="04EDF3E1" w:rsidR="007A1F1C" w:rsidRPr="007A1F1C" w:rsidRDefault="007A1F1C" w:rsidP="005C01DD">
            <w:pPr>
              <w:jc w:val="center"/>
            </w:pPr>
            <w:r w:rsidRPr="007A1F1C">
              <w:t>Personnel Mucem</w:t>
            </w:r>
          </w:p>
          <w:p w14:paraId="6B19310A" w14:textId="77777777" w:rsidR="007A1F1C" w:rsidRPr="007A1F1C" w:rsidRDefault="007A1F1C" w:rsidP="005C01DD">
            <w:pPr>
              <w:jc w:val="center"/>
            </w:pPr>
            <w:r w:rsidRPr="007A1F1C">
              <w:t>Prestataires Mucem</w:t>
            </w:r>
          </w:p>
        </w:tc>
      </w:tr>
      <w:tr w:rsidR="007A1F1C" w:rsidRPr="007A1F1C" w14:paraId="5F7B914B" w14:textId="77777777" w:rsidTr="00086473">
        <w:trPr>
          <w:jc w:val="center"/>
        </w:trPr>
        <w:tc>
          <w:tcPr>
            <w:tcW w:w="2835" w:type="dxa"/>
          </w:tcPr>
          <w:p w14:paraId="5048F8A6" w14:textId="77777777" w:rsidR="007A1F1C" w:rsidRPr="007A1F1C" w:rsidRDefault="007A1F1C" w:rsidP="007A1F1C">
            <w:pPr>
              <w:rPr>
                <w:b/>
              </w:rPr>
            </w:pPr>
            <w:r w:rsidRPr="007A1F1C">
              <w:rPr>
                <w:b/>
              </w:rPr>
              <w:t xml:space="preserve">Bâtiment du J4 </w:t>
            </w:r>
          </w:p>
          <w:p w14:paraId="1A77EB19" w14:textId="77777777" w:rsidR="007A1F1C" w:rsidRPr="007A1F1C" w:rsidRDefault="007A1F1C" w:rsidP="007A1F1C">
            <w:r w:rsidRPr="007A1F1C">
              <w:t>Niveau -1 (SS1)</w:t>
            </w:r>
          </w:p>
        </w:tc>
        <w:tc>
          <w:tcPr>
            <w:tcW w:w="1439" w:type="dxa"/>
            <w:vAlign w:val="center"/>
          </w:tcPr>
          <w:p w14:paraId="0582DC0D" w14:textId="77777777" w:rsidR="007A1F1C" w:rsidRPr="007A1F1C" w:rsidRDefault="007A1F1C" w:rsidP="00870D93">
            <w:pPr>
              <w:jc w:val="center"/>
            </w:pPr>
          </w:p>
          <w:p w14:paraId="08409A85" w14:textId="2715A38E" w:rsidR="007A1F1C" w:rsidRPr="007A1F1C" w:rsidRDefault="00DC00E2" w:rsidP="00870D93">
            <w:pPr>
              <w:jc w:val="center"/>
            </w:pPr>
            <w:r>
              <w:t>1</w:t>
            </w:r>
          </w:p>
        </w:tc>
        <w:tc>
          <w:tcPr>
            <w:tcW w:w="4085" w:type="dxa"/>
            <w:vAlign w:val="center"/>
          </w:tcPr>
          <w:p w14:paraId="317491D8" w14:textId="048BB2EB" w:rsidR="007A1F1C" w:rsidRPr="007A1F1C" w:rsidRDefault="00DC00E2" w:rsidP="007A1F1C">
            <w:r>
              <w:t>1 distributeur</w:t>
            </w:r>
            <w:r w:rsidR="007A1F1C" w:rsidRPr="007A1F1C">
              <w:t xml:space="preserve"> boissons froides</w:t>
            </w:r>
            <w:r w:rsidR="00067EBF">
              <w:t xml:space="preserve"> refermables</w:t>
            </w:r>
          </w:p>
          <w:p w14:paraId="600BE7C7" w14:textId="766A7C49" w:rsidR="007A1F1C" w:rsidRPr="007A1F1C" w:rsidRDefault="007A1F1C" w:rsidP="007A1F1C">
            <w:r w:rsidRPr="007A1F1C">
              <w:t>(</w:t>
            </w:r>
            <w:r w:rsidR="00875AE3" w:rsidRPr="007A1F1C">
              <w:t>Dont</w:t>
            </w:r>
            <w:r w:rsidRPr="007A1F1C">
              <w:t xml:space="preserve"> 1/3 snack)</w:t>
            </w:r>
          </w:p>
        </w:tc>
        <w:tc>
          <w:tcPr>
            <w:tcW w:w="1701" w:type="dxa"/>
            <w:vAlign w:val="center"/>
          </w:tcPr>
          <w:p w14:paraId="43C7B51A" w14:textId="77777777" w:rsidR="007A1F1C" w:rsidRPr="007A1F1C" w:rsidRDefault="007A1F1C" w:rsidP="005C01DD">
            <w:pPr>
              <w:jc w:val="center"/>
            </w:pPr>
            <w:r w:rsidRPr="007A1F1C">
              <w:t>Visiteurs</w:t>
            </w:r>
          </w:p>
        </w:tc>
      </w:tr>
      <w:tr w:rsidR="007A1F1C" w:rsidRPr="007A1F1C" w14:paraId="600F13EB" w14:textId="77777777" w:rsidTr="00086473">
        <w:trPr>
          <w:jc w:val="center"/>
        </w:trPr>
        <w:tc>
          <w:tcPr>
            <w:tcW w:w="2835" w:type="dxa"/>
          </w:tcPr>
          <w:p w14:paraId="2281C4D6" w14:textId="77777777" w:rsidR="007A1F1C" w:rsidRPr="007A1F1C" w:rsidRDefault="007A1F1C" w:rsidP="007A1F1C">
            <w:pPr>
              <w:rPr>
                <w:b/>
              </w:rPr>
            </w:pPr>
            <w:r w:rsidRPr="007A1F1C">
              <w:rPr>
                <w:b/>
              </w:rPr>
              <w:t xml:space="preserve">Fort Saint-Jean </w:t>
            </w:r>
          </w:p>
          <w:p w14:paraId="44A5E30E" w14:textId="77777777" w:rsidR="007A1F1C" w:rsidRPr="007A1F1C" w:rsidRDefault="007A1F1C" w:rsidP="007A1F1C">
            <w:r w:rsidRPr="007A1F1C">
              <w:t>1</w:t>
            </w:r>
            <w:r w:rsidRPr="007A1F1C">
              <w:rPr>
                <w:vertAlign w:val="superscript"/>
              </w:rPr>
              <w:t>er</w:t>
            </w:r>
            <w:r w:rsidRPr="007A1F1C">
              <w:t xml:space="preserve"> étage du bâtiment Georges Henri Rivière (R+1 du GHR)</w:t>
            </w:r>
          </w:p>
        </w:tc>
        <w:tc>
          <w:tcPr>
            <w:tcW w:w="1439" w:type="dxa"/>
            <w:vAlign w:val="center"/>
          </w:tcPr>
          <w:p w14:paraId="2B04620F" w14:textId="77777777" w:rsidR="007A1F1C" w:rsidRPr="007A1F1C" w:rsidRDefault="007A1F1C" w:rsidP="00870D93">
            <w:pPr>
              <w:jc w:val="center"/>
            </w:pPr>
            <w:r w:rsidRPr="007A1F1C">
              <w:t>2</w:t>
            </w:r>
          </w:p>
        </w:tc>
        <w:tc>
          <w:tcPr>
            <w:tcW w:w="4085" w:type="dxa"/>
            <w:vAlign w:val="center"/>
          </w:tcPr>
          <w:p w14:paraId="6232A859" w14:textId="77777777" w:rsidR="007A1F1C" w:rsidRPr="007A1F1C" w:rsidRDefault="007A1F1C" w:rsidP="007A1F1C">
            <w:r w:rsidRPr="007A1F1C">
              <w:t>1 distributeur boissons chaudes</w:t>
            </w:r>
          </w:p>
          <w:p w14:paraId="4C714270" w14:textId="77777777" w:rsidR="007A1F1C" w:rsidRPr="007A1F1C" w:rsidRDefault="007A1F1C" w:rsidP="007A1F1C">
            <w:r w:rsidRPr="007A1F1C">
              <w:t>1 mixte : boissons froides / snack</w:t>
            </w:r>
          </w:p>
          <w:p w14:paraId="300E8FF1" w14:textId="77777777" w:rsidR="007A1F1C" w:rsidRPr="007A1F1C" w:rsidRDefault="007A1F1C" w:rsidP="007A1F1C">
            <w:pPr>
              <w:rPr>
                <w:b/>
              </w:rPr>
            </w:pPr>
            <w:r w:rsidRPr="007A1F1C">
              <w:rPr>
                <w:b/>
              </w:rPr>
              <w:t xml:space="preserve">Ces machines sont disposées l’une sur l’autre </w:t>
            </w:r>
          </w:p>
          <w:p w14:paraId="39B4CE71" w14:textId="77777777" w:rsidR="007A1F1C" w:rsidRPr="007A1F1C" w:rsidRDefault="007A1F1C" w:rsidP="007A1F1C">
            <w:r w:rsidRPr="007A1F1C">
              <w:rPr>
                <w:b/>
              </w:rPr>
              <w:t>(1 emplacement disponible)</w:t>
            </w:r>
          </w:p>
        </w:tc>
        <w:tc>
          <w:tcPr>
            <w:tcW w:w="1701" w:type="dxa"/>
          </w:tcPr>
          <w:p w14:paraId="6860A03D" w14:textId="77777777" w:rsidR="007A1F1C" w:rsidRPr="007A1F1C" w:rsidRDefault="007A1F1C" w:rsidP="005C01DD">
            <w:pPr>
              <w:jc w:val="center"/>
            </w:pPr>
            <w:r w:rsidRPr="007A1F1C">
              <w:t>Personnel Mucem</w:t>
            </w:r>
          </w:p>
          <w:p w14:paraId="5DF0202C" w14:textId="77777777" w:rsidR="007A1F1C" w:rsidRPr="007A1F1C" w:rsidRDefault="007A1F1C" w:rsidP="005C01DD">
            <w:pPr>
              <w:jc w:val="center"/>
            </w:pPr>
            <w:r w:rsidRPr="007A1F1C">
              <w:t>Prestataires Mucem</w:t>
            </w:r>
          </w:p>
        </w:tc>
      </w:tr>
      <w:tr w:rsidR="007A1F1C" w:rsidRPr="007A1F1C" w14:paraId="21C687E8" w14:textId="77777777" w:rsidTr="00086473">
        <w:trPr>
          <w:jc w:val="center"/>
        </w:trPr>
        <w:tc>
          <w:tcPr>
            <w:tcW w:w="2835" w:type="dxa"/>
          </w:tcPr>
          <w:p w14:paraId="3D7C19B4" w14:textId="77777777" w:rsidR="007A1F1C" w:rsidRPr="007A1F1C" w:rsidRDefault="007A1F1C" w:rsidP="007A1F1C">
            <w:pPr>
              <w:rPr>
                <w:b/>
              </w:rPr>
            </w:pPr>
            <w:r w:rsidRPr="007A1F1C">
              <w:rPr>
                <w:b/>
              </w:rPr>
              <w:t xml:space="preserve">Fort Saint-Jean </w:t>
            </w:r>
          </w:p>
          <w:p w14:paraId="6DA73265" w14:textId="77777777" w:rsidR="007A1F1C" w:rsidRPr="007A1F1C" w:rsidRDefault="007A1F1C" w:rsidP="007A1F1C">
            <w:r w:rsidRPr="007A1F1C">
              <w:t>1</w:t>
            </w:r>
            <w:r w:rsidRPr="007A1F1C">
              <w:rPr>
                <w:vertAlign w:val="superscript"/>
              </w:rPr>
              <w:t>er</w:t>
            </w:r>
            <w:r w:rsidRPr="007A1F1C">
              <w:t xml:space="preserve"> étage de l’Institut Méditerranéen des Métiers du Patrimoine</w:t>
            </w:r>
          </w:p>
          <w:p w14:paraId="42454F4B" w14:textId="4D9F01B0" w:rsidR="007A1F1C" w:rsidRPr="007A1F1C" w:rsidRDefault="007A1F1C" w:rsidP="007A1F1C">
            <w:r w:rsidRPr="007A1F1C">
              <w:t>(R+1 d</w:t>
            </w:r>
            <w:r w:rsidR="005067FA">
              <w:t>u MucemLab</w:t>
            </w:r>
            <w:r w:rsidRPr="007A1F1C">
              <w:t>)</w:t>
            </w:r>
          </w:p>
        </w:tc>
        <w:tc>
          <w:tcPr>
            <w:tcW w:w="1439" w:type="dxa"/>
            <w:vAlign w:val="center"/>
          </w:tcPr>
          <w:p w14:paraId="77FFBACC" w14:textId="77777777" w:rsidR="007A1F1C" w:rsidRPr="007A1F1C" w:rsidRDefault="007A1F1C" w:rsidP="00870D93">
            <w:pPr>
              <w:jc w:val="center"/>
            </w:pPr>
            <w:r w:rsidRPr="007A1F1C">
              <w:t>2</w:t>
            </w:r>
          </w:p>
        </w:tc>
        <w:tc>
          <w:tcPr>
            <w:tcW w:w="4085" w:type="dxa"/>
            <w:vAlign w:val="center"/>
          </w:tcPr>
          <w:p w14:paraId="28AE1A0C" w14:textId="77777777" w:rsidR="007A1F1C" w:rsidRPr="007A1F1C" w:rsidRDefault="007A1F1C" w:rsidP="007A1F1C">
            <w:r w:rsidRPr="007A1F1C">
              <w:t>1 distributeur boissons chaudes</w:t>
            </w:r>
          </w:p>
          <w:p w14:paraId="3A2A149A" w14:textId="77777777" w:rsidR="007A1F1C" w:rsidRPr="007A1F1C" w:rsidRDefault="007A1F1C" w:rsidP="007A1F1C">
            <w:r w:rsidRPr="007A1F1C">
              <w:t>1 mixte : boissons froides / snack</w:t>
            </w:r>
          </w:p>
          <w:p w14:paraId="7B653467" w14:textId="77777777" w:rsidR="007A1F1C" w:rsidRPr="007A1F1C" w:rsidRDefault="007A1F1C" w:rsidP="007A1F1C">
            <w:pPr>
              <w:rPr>
                <w:b/>
              </w:rPr>
            </w:pPr>
            <w:r w:rsidRPr="007A1F1C">
              <w:rPr>
                <w:b/>
              </w:rPr>
              <w:t xml:space="preserve">Ces machines sont disposées l’une sur l’autre </w:t>
            </w:r>
          </w:p>
          <w:p w14:paraId="74985929" w14:textId="77777777" w:rsidR="007A1F1C" w:rsidRPr="007A1F1C" w:rsidRDefault="007A1F1C" w:rsidP="007A1F1C">
            <w:r w:rsidRPr="007A1F1C">
              <w:rPr>
                <w:b/>
              </w:rPr>
              <w:t>(1 emplacement disponible)</w:t>
            </w:r>
          </w:p>
        </w:tc>
        <w:tc>
          <w:tcPr>
            <w:tcW w:w="1701" w:type="dxa"/>
          </w:tcPr>
          <w:p w14:paraId="13A182F1" w14:textId="77777777" w:rsidR="007A1F1C" w:rsidRPr="007A1F1C" w:rsidRDefault="007A1F1C" w:rsidP="005C01DD">
            <w:pPr>
              <w:jc w:val="center"/>
            </w:pPr>
            <w:r w:rsidRPr="007A1F1C">
              <w:t>Personnel Mucem</w:t>
            </w:r>
          </w:p>
          <w:p w14:paraId="36291392" w14:textId="37B1A6C0" w:rsidR="007A1F1C" w:rsidRPr="007A1F1C" w:rsidRDefault="007A1F1C" w:rsidP="005C01DD">
            <w:pPr>
              <w:jc w:val="center"/>
            </w:pPr>
            <w:r w:rsidRPr="007A1F1C">
              <w:t>Prestataires Mucem</w:t>
            </w:r>
          </w:p>
          <w:p w14:paraId="60E08E78" w14:textId="77777777" w:rsidR="007A1F1C" w:rsidRPr="007A1F1C" w:rsidRDefault="007A1F1C" w:rsidP="005C01DD">
            <w:pPr>
              <w:jc w:val="center"/>
            </w:pPr>
            <w:r w:rsidRPr="007A1F1C">
              <w:t>Participants aux formations</w:t>
            </w:r>
          </w:p>
        </w:tc>
      </w:tr>
    </w:tbl>
    <w:p w14:paraId="5858A1DA" w14:textId="72B2884B" w:rsidR="007A1F1C" w:rsidRDefault="007A1F1C" w:rsidP="007A1F1C"/>
    <w:p w14:paraId="4623A97F" w14:textId="75B23CB4" w:rsidR="005067FA" w:rsidRPr="005C01DD" w:rsidRDefault="005067FA" w:rsidP="005067FA">
      <w:pPr>
        <w:pStyle w:val="Paragraphedeliste"/>
        <w:numPr>
          <w:ilvl w:val="0"/>
          <w:numId w:val="47"/>
        </w:numPr>
        <w:rPr>
          <w:b/>
          <w:u w:val="single"/>
        </w:rPr>
      </w:pPr>
      <w:r w:rsidRPr="005C01DD">
        <w:rPr>
          <w:b/>
          <w:u w:val="single"/>
        </w:rPr>
        <w:t>Distributeur</w:t>
      </w:r>
      <w:r w:rsidR="005C01DD">
        <w:rPr>
          <w:b/>
          <w:u w:val="single"/>
        </w:rPr>
        <w:t>s</w:t>
      </w:r>
      <w:r w:rsidRPr="005C01DD">
        <w:rPr>
          <w:b/>
          <w:u w:val="single"/>
        </w:rPr>
        <w:t xml:space="preserve"> de produits d’hygièn</w:t>
      </w:r>
      <w:r w:rsidR="00086473">
        <w:rPr>
          <w:b/>
          <w:u w:val="single"/>
        </w:rPr>
        <w:t>e</w:t>
      </w:r>
    </w:p>
    <w:tbl>
      <w:tblPr>
        <w:tblStyle w:val="Grilledutableau"/>
        <w:tblW w:w="10060" w:type="dxa"/>
        <w:jc w:val="center"/>
        <w:tblLook w:val="04A0" w:firstRow="1" w:lastRow="0" w:firstColumn="1" w:lastColumn="0" w:noHBand="0" w:noVBand="1"/>
      </w:tblPr>
      <w:tblGrid>
        <w:gridCol w:w="3397"/>
        <w:gridCol w:w="2268"/>
        <w:gridCol w:w="2353"/>
        <w:gridCol w:w="2042"/>
      </w:tblGrid>
      <w:tr w:rsidR="005067FA" w:rsidRPr="007A1F1C" w14:paraId="04DDBC34" w14:textId="77777777" w:rsidTr="005C01DD">
        <w:trPr>
          <w:trHeight w:val="170"/>
          <w:tblHeader/>
          <w:jc w:val="center"/>
        </w:trPr>
        <w:tc>
          <w:tcPr>
            <w:tcW w:w="3397" w:type="dxa"/>
            <w:shd w:val="clear" w:color="auto" w:fill="D9D9D9" w:themeFill="background1" w:themeFillShade="D9"/>
            <w:vAlign w:val="center"/>
          </w:tcPr>
          <w:p w14:paraId="5B40F343" w14:textId="77777777" w:rsidR="005067FA" w:rsidRPr="007A1F1C" w:rsidRDefault="005067FA" w:rsidP="00E26E40">
            <w:pPr>
              <w:jc w:val="center"/>
              <w:rPr>
                <w:b/>
              </w:rPr>
            </w:pPr>
            <w:r w:rsidRPr="007A1F1C">
              <w:rPr>
                <w:b/>
              </w:rPr>
              <w:t>Localisation</w:t>
            </w:r>
          </w:p>
        </w:tc>
        <w:tc>
          <w:tcPr>
            <w:tcW w:w="2268" w:type="dxa"/>
            <w:shd w:val="clear" w:color="auto" w:fill="D9D9D9" w:themeFill="background1" w:themeFillShade="D9"/>
            <w:vAlign w:val="center"/>
          </w:tcPr>
          <w:p w14:paraId="65C1287B" w14:textId="77777777" w:rsidR="005067FA" w:rsidRPr="007A1F1C" w:rsidRDefault="005067FA" w:rsidP="00E26E40">
            <w:pPr>
              <w:jc w:val="center"/>
              <w:rPr>
                <w:b/>
              </w:rPr>
            </w:pPr>
            <w:r w:rsidRPr="007A1F1C">
              <w:rPr>
                <w:b/>
              </w:rPr>
              <w:t>Nombre de distributeurs</w:t>
            </w:r>
          </w:p>
        </w:tc>
        <w:tc>
          <w:tcPr>
            <w:tcW w:w="2353" w:type="dxa"/>
            <w:shd w:val="clear" w:color="auto" w:fill="D9D9D9" w:themeFill="background1" w:themeFillShade="D9"/>
            <w:vAlign w:val="center"/>
          </w:tcPr>
          <w:p w14:paraId="3E3ADA0A" w14:textId="77777777" w:rsidR="005067FA" w:rsidRPr="007A1F1C" w:rsidRDefault="005067FA" w:rsidP="00E26E40">
            <w:pPr>
              <w:jc w:val="center"/>
              <w:rPr>
                <w:b/>
              </w:rPr>
            </w:pPr>
            <w:r w:rsidRPr="007A1F1C">
              <w:rPr>
                <w:b/>
              </w:rPr>
              <w:t>Type de distributeurs</w:t>
            </w:r>
          </w:p>
        </w:tc>
        <w:tc>
          <w:tcPr>
            <w:tcW w:w="2042" w:type="dxa"/>
            <w:shd w:val="clear" w:color="auto" w:fill="D9D9D9" w:themeFill="background1" w:themeFillShade="D9"/>
            <w:vAlign w:val="center"/>
          </w:tcPr>
          <w:p w14:paraId="72CB85ED" w14:textId="77777777" w:rsidR="005067FA" w:rsidRPr="007A1F1C" w:rsidRDefault="005067FA" w:rsidP="00E26E40">
            <w:pPr>
              <w:jc w:val="center"/>
              <w:rPr>
                <w:b/>
              </w:rPr>
            </w:pPr>
            <w:r w:rsidRPr="007A1F1C">
              <w:rPr>
                <w:b/>
              </w:rPr>
              <w:t>Public concerné</w:t>
            </w:r>
          </w:p>
        </w:tc>
      </w:tr>
      <w:tr w:rsidR="005067FA" w:rsidRPr="007A1F1C" w14:paraId="3FE7AF1F" w14:textId="77777777" w:rsidTr="005C01DD">
        <w:trPr>
          <w:trHeight w:val="170"/>
          <w:jc w:val="center"/>
        </w:trPr>
        <w:tc>
          <w:tcPr>
            <w:tcW w:w="3397" w:type="dxa"/>
          </w:tcPr>
          <w:p w14:paraId="2A39052C" w14:textId="77777777" w:rsidR="005067FA" w:rsidRDefault="005067FA" w:rsidP="00E26E40">
            <w:pPr>
              <w:rPr>
                <w:b/>
              </w:rPr>
            </w:pPr>
            <w:r w:rsidRPr="007A1F1C">
              <w:rPr>
                <w:b/>
              </w:rPr>
              <w:t>Bâtiment du J4</w:t>
            </w:r>
          </w:p>
          <w:p w14:paraId="56C09A2D" w14:textId="59D7C0D9" w:rsidR="005067FA" w:rsidRPr="004321F0" w:rsidRDefault="005067FA" w:rsidP="00E26E40">
            <w:r w:rsidRPr="00825F99">
              <w:t>R+2</w:t>
            </w:r>
          </w:p>
        </w:tc>
        <w:tc>
          <w:tcPr>
            <w:tcW w:w="2268" w:type="dxa"/>
            <w:vAlign w:val="center"/>
          </w:tcPr>
          <w:p w14:paraId="35E798F3" w14:textId="1A8A3A9F" w:rsidR="005067FA" w:rsidRPr="007A1F1C" w:rsidRDefault="005067FA" w:rsidP="00E26E40">
            <w:pPr>
              <w:jc w:val="center"/>
            </w:pPr>
            <w:r>
              <w:t>1</w:t>
            </w:r>
          </w:p>
        </w:tc>
        <w:tc>
          <w:tcPr>
            <w:tcW w:w="2353" w:type="dxa"/>
            <w:vAlign w:val="center"/>
          </w:tcPr>
          <w:p w14:paraId="76F2267B" w14:textId="57171A43" w:rsidR="004321F0" w:rsidRPr="007A1F1C" w:rsidRDefault="005067FA" w:rsidP="005C01DD">
            <w:pPr>
              <w:jc w:val="center"/>
            </w:pPr>
            <w:r>
              <w:t>Produits d’hygiène</w:t>
            </w:r>
          </w:p>
        </w:tc>
        <w:tc>
          <w:tcPr>
            <w:tcW w:w="2042" w:type="dxa"/>
            <w:vAlign w:val="center"/>
          </w:tcPr>
          <w:p w14:paraId="21867FF5" w14:textId="67924496" w:rsidR="005067FA" w:rsidRPr="007A1F1C" w:rsidRDefault="004321F0" w:rsidP="005C01DD">
            <w:pPr>
              <w:jc w:val="center"/>
            </w:pPr>
            <w:r>
              <w:t>Visiteurs</w:t>
            </w:r>
          </w:p>
        </w:tc>
      </w:tr>
      <w:tr w:rsidR="005067FA" w:rsidRPr="007A1F1C" w14:paraId="4DC251D2" w14:textId="77777777" w:rsidTr="005C01DD">
        <w:trPr>
          <w:trHeight w:val="170"/>
          <w:jc w:val="center"/>
        </w:trPr>
        <w:tc>
          <w:tcPr>
            <w:tcW w:w="3397" w:type="dxa"/>
          </w:tcPr>
          <w:p w14:paraId="36361F4A" w14:textId="4323B2F3" w:rsidR="005067FA" w:rsidRPr="007A1F1C" w:rsidRDefault="005067FA" w:rsidP="00E26E40">
            <w:pPr>
              <w:rPr>
                <w:b/>
              </w:rPr>
            </w:pPr>
            <w:r w:rsidRPr="007A1F1C">
              <w:rPr>
                <w:b/>
              </w:rPr>
              <w:t xml:space="preserve">Bâtiment du J4 </w:t>
            </w:r>
          </w:p>
          <w:p w14:paraId="555B2A5B" w14:textId="639EB021" w:rsidR="005067FA" w:rsidRPr="007A1F1C" w:rsidRDefault="005067FA" w:rsidP="00E26E40">
            <w:r w:rsidRPr="007A1F1C">
              <w:t>Niveau -1 (SS1)</w:t>
            </w:r>
          </w:p>
        </w:tc>
        <w:tc>
          <w:tcPr>
            <w:tcW w:w="2268" w:type="dxa"/>
            <w:vAlign w:val="center"/>
          </w:tcPr>
          <w:p w14:paraId="2574C20C" w14:textId="77777777" w:rsidR="005067FA" w:rsidRPr="007A1F1C" w:rsidRDefault="005067FA" w:rsidP="00E26E40">
            <w:pPr>
              <w:jc w:val="center"/>
            </w:pPr>
          </w:p>
          <w:p w14:paraId="0B4509CC" w14:textId="77777777" w:rsidR="005067FA" w:rsidRPr="007A1F1C" w:rsidRDefault="005067FA" w:rsidP="00E26E40">
            <w:pPr>
              <w:jc w:val="center"/>
            </w:pPr>
            <w:r>
              <w:t>1</w:t>
            </w:r>
          </w:p>
        </w:tc>
        <w:tc>
          <w:tcPr>
            <w:tcW w:w="2353" w:type="dxa"/>
            <w:vAlign w:val="center"/>
          </w:tcPr>
          <w:p w14:paraId="70AFCE9B" w14:textId="755946BA" w:rsidR="005067FA" w:rsidRPr="007A1F1C" w:rsidRDefault="004321F0" w:rsidP="005C01DD">
            <w:pPr>
              <w:jc w:val="center"/>
            </w:pPr>
            <w:r>
              <w:t>Produits d’hygiène</w:t>
            </w:r>
          </w:p>
        </w:tc>
        <w:tc>
          <w:tcPr>
            <w:tcW w:w="2042" w:type="dxa"/>
            <w:vAlign w:val="center"/>
          </w:tcPr>
          <w:p w14:paraId="2396081F" w14:textId="77777777" w:rsidR="005067FA" w:rsidRPr="007A1F1C" w:rsidRDefault="005067FA" w:rsidP="005C01DD">
            <w:pPr>
              <w:jc w:val="center"/>
            </w:pPr>
            <w:r w:rsidRPr="007A1F1C">
              <w:t>Visiteurs</w:t>
            </w:r>
          </w:p>
        </w:tc>
      </w:tr>
      <w:tr w:rsidR="005067FA" w:rsidRPr="007A1F1C" w14:paraId="273E91A1" w14:textId="77777777" w:rsidTr="005C01DD">
        <w:trPr>
          <w:trHeight w:val="170"/>
          <w:jc w:val="center"/>
        </w:trPr>
        <w:tc>
          <w:tcPr>
            <w:tcW w:w="3397" w:type="dxa"/>
          </w:tcPr>
          <w:p w14:paraId="01DE3958" w14:textId="1ADE7697" w:rsidR="005067FA" w:rsidRPr="00825F99" w:rsidRDefault="005067FA" w:rsidP="00E26E40">
            <w:pPr>
              <w:rPr>
                <w:b/>
              </w:rPr>
            </w:pPr>
            <w:r w:rsidRPr="007A1F1C">
              <w:rPr>
                <w:b/>
              </w:rPr>
              <w:t xml:space="preserve">Fort Saint-Jean </w:t>
            </w:r>
          </w:p>
          <w:p w14:paraId="454A9586" w14:textId="13E56CED" w:rsidR="005067FA" w:rsidRPr="007A1F1C" w:rsidRDefault="00670394" w:rsidP="00E26E40">
            <w:r>
              <w:t>Sanitaire public</w:t>
            </w:r>
            <w:r w:rsidR="004321F0">
              <w:t xml:space="preserve"> au rez-de-chaussée</w:t>
            </w:r>
            <w:r w:rsidR="005067FA" w:rsidRPr="007A1F1C">
              <w:t xml:space="preserve"> du bâtiment Georges Henri Rivière </w:t>
            </w:r>
          </w:p>
        </w:tc>
        <w:tc>
          <w:tcPr>
            <w:tcW w:w="2268" w:type="dxa"/>
            <w:vAlign w:val="center"/>
          </w:tcPr>
          <w:p w14:paraId="59570421" w14:textId="256C0D40" w:rsidR="005067FA" w:rsidRPr="007A1F1C" w:rsidRDefault="004321F0" w:rsidP="00E26E40">
            <w:pPr>
              <w:jc w:val="center"/>
            </w:pPr>
            <w:r>
              <w:t>1</w:t>
            </w:r>
          </w:p>
        </w:tc>
        <w:tc>
          <w:tcPr>
            <w:tcW w:w="2353" w:type="dxa"/>
            <w:vAlign w:val="center"/>
          </w:tcPr>
          <w:p w14:paraId="47CACB84" w14:textId="2F663A68" w:rsidR="005067FA" w:rsidRPr="007A1F1C" w:rsidRDefault="004321F0" w:rsidP="005C01DD">
            <w:pPr>
              <w:jc w:val="center"/>
            </w:pPr>
            <w:r>
              <w:t>Produits d’hygiène</w:t>
            </w:r>
          </w:p>
        </w:tc>
        <w:tc>
          <w:tcPr>
            <w:tcW w:w="2042" w:type="dxa"/>
            <w:vAlign w:val="center"/>
          </w:tcPr>
          <w:p w14:paraId="5A9F2AEC" w14:textId="637835ED" w:rsidR="005067FA" w:rsidRPr="007A1F1C" w:rsidRDefault="004321F0" w:rsidP="005C01DD">
            <w:pPr>
              <w:jc w:val="center"/>
            </w:pPr>
            <w:r w:rsidRPr="007A1F1C">
              <w:t>Visiteurs</w:t>
            </w:r>
          </w:p>
        </w:tc>
      </w:tr>
    </w:tbl>
    <w:p w14:paraId="26AA9D58" w14:textId="77777777" w:rsidR="005067FA" w:rsidRDefault="005067FA" w:rsidP="005067FA"/>
    <w:p w14:paraId="36C6A617" w14:textId="1232C54C" w:rsidR="00BA35DC" w:rsidRDefault="007A1F1C" w:rsidP="007A1F1C">
      <w:r w:rsidRPr="007A1F1C">
        <w:t xml:space="preserve">En ce qui concerne les distributeurs automatiques </w:t>
      </w:r>
      <w:r w:rsidR="00BA35DC">
        <w:t>mentionnés comme « </w:t>
      </w:r>
      <w:r w:rsidRPr="007A1F1C">
        <w:t>à destination des personnels du Mucem</w:t>
      </w:r>
      <w:r w:rsidR="00BA35DC">
        <w:t> »</w:t>
      </w:r>
      <w:r w:rsidRPr="007A1F1C">
        <w:t> : ces derniers peuvent être utilisés</w:t>
      </w:r>
      <w:r w:rsidR="00BA35DC">
        <w:t> :</w:t>
      </w:r>
    </w:p>
    <w:p w14:paraId="5C6A28E4" w14:textId="0759A2EA" w:rsidR="00BA35DC" w:rsidRDefault="00A75E8A" w:rsidP="00BA35DC">
      <w:pPr>
        <w:pStyle w:val="Listepuces"/>
      </w:pPr>
      <w:r>
        <w:t>P</w:t>
      </w:r>
      <w:r w:rsidR="007A1F1C" w:rsidRPr="007A1F1C">
        <w:t xml:space="preserve">ar </w:t>
      </w:r>
      <w:r w:rsidR="007A1F1C" w:rsidRPr="007A1F1C">
        <w:rPr>
          <w:b/>
        </w:rPr>
        <w:t>les personnels du Mucem</w:t>
      </w:r>
      <w:r w:rsidR="007A1F1C" w:rsidRPr="007A1F1C">
        <w:t xml:space="preserve">, soit environ </w:t>
      </w:r>
      <w:r w:rsidR="007A1F1C" w:rsidRPr="007A1F1C">
        <w:rPr>
          <w:b/>
        </w:rPr>
        <w:t>140 personnes</w:t>
      </w:r>
      <w:r w:rsidR="007A1F1C" w:rsidRPr="007A1F1C">
        <w:t>,</w:t>
      </w:r>
    </w:p>
    <w:p w14:paraId="28C019D2" w14:textId="2EE99791" w:rsidR="007A1F1C" w:rsidRPr="007A1F1C" w:rsidRDefault="00A75E8A" w:rsidP="00BA35DC">
      <w:pPr>
        <w:pStyle w:val="Listepuces"/>
      </w:pPr>
      <w:r w:rsidRPr="007A1F1C">
        <w:t>Ainsi</w:t>
      </w:r>
      <w:r w:rsidR="007A1F1C" w:rsidRPr="007A1F1C">
        <w:t xml:space="preserve"> que par </w:t>
      </w:r>
      <w:r w:rsidR="007A1F1C" w:rsidRPr="007A1F1C">
        <w:rPr>
          <w:b/>
        </w:rPr>
        <w:t>les différents prestataires</w:t>
      </w:r>
      <w:r w:rsidR="00BA35DC">
        <w:rPr>
          <w:b/>
        </w:rPr>
        <w:t xml:space="preserve"> </w:t>
      </w:r>
      <w:r w:rsidR="007A1F1C" w:rsidRPr="007A1F1C">
        <w:rPr>
          <w:b/>
        </w:rPr>
        <w:t>du musée</w:t>
      </w:r>
      <w:r w:rsidR="00BA35DC">
        <w:rPr>
          <w:b/>
        </w:rPr>
        <w:t xml:space="preserve"> présent</w:t>
      </w:r>
      <w:r w:rsidR="009628E3">
        <w:rPr>
          <w:b/>
        </w:rPr>
        <w:t>s</w:t>
      </w:r>
      <w:r w:rsidR="00BA35DC">
        <w:rPr>
          <w:b/>
        </w:rPr>
        <w:t xml:space="preserve"> sur site</w:t>
      </w:r>
      <w:r w:rsidR="007A1F1C" w:rsidRPr="007A1F1C">
        <w:t xml:space="preserve"> (</w:t>
      </w:r>
      <w:r w:rsidR="00BA35DC">
        <w:t xml:space="preserve">ex : </w:t>
      </w:r>
      <w:r w:rsidR="007A1F1C" w:rsidRPr="007A1F1C">
        <w:t xml:space="preserve">maintenance, sécurité, médiation, </w:t>
      </w:r>
      <w:r w:rsidR="00536C52">
        <w:t>-</w:t>
      </w:r>
      <w:r w:rsidR="007A1F1C" w:rsidRPr="007A1F1C">
        <w:t>librairie</w:t>
      </w:r>
      <w:r w:rsidR="009628E3">
        <w:t>,</w:t>
      </w:r>
      <w:r w:rsidR="00536C52">
        <w:t xml:space="preserve"> </w:t>
      </w:r>
      <w:r w:rsidR="007A1F1C" w:rsidRPr="007A1F1C">
        <w:t>restaurant</w:t>
      </w:r>
      <w:r w:rsidR="009628E3">
        <w:t xml:space="preserve"> et concept store</w:t>
      </w:r>
      <w:r w:rsidR="007A1F1C" w:rsidRPr="007A1F1C">
        <w:t xml:space="preserve">-, entretien général du site), soit environ </w:t>
      </w:r>
      <w:r w:rsidR="007A1F1C" w:rsidRPr="007A1F1C">
        <w:rPr>
          <w:b/>
        </w:rPr>
        <w:t>200 personnes</w:t>
      </w:r>
      <w:r w:rsidR="007A1F1C" w:rsidRPr="007A1F1C">
        <w:t>.</w:t>
      </w:r>
    </w:p>
    <w:p w14:paraId="05303F38" w14:textId="2B91F185" w:rsidR="007A1F1C" w:rsidRPr="007A1F1C" w:rsidRDefault="007A1F1C" w:rsidP="007A1F1C">
      <w:r w:rsidRPr="007A1F1C">
        <w:t>Ainsi, par jour, plus de 200 personnes seront susceptibles d’utiliser ces services du lundi au vendredi, et environ 100 personnes le week-end.</w:t>
      </w:r>
    </w:p>
    <w:p w14:paraId="138E3AFA" w14:textId="5BEBE9A8" w:rsidR="008E09AF" w:rsidRDefault="007A1F1C" w:rsidP="007A1F1C">
      <w:r w:rsidRPr="007A1F1C">
        <w:t>S’agissant des distributeurs automatiques à destination des visiteurs : le Mucem accueille 1.4 millions de visiteurs par an</w:t>
      </w:r>
      <w:r w:rsidR="00FE5DB5">
        <w:t>.</w:t>
      </w:r>
      <w:r w:rsidRPr="007A1F1C">
        <w:t xml:space="preserve"> Les distributeurs sont situés au niveau -1 </w:t>
      </w:r>
      <w:r w:rsidR="00FE5DB5">
        <w:t xml:space="preserve">et R+2 </w:t>
      </w:r>
      <w:r w:rsidRPr="007A1F1C">
        <w:t xml:space="preserve">du bâtiment du J4, proches des sanitaires et des vestiaires, profitant ainsi de la circulation des visiteurs. </w:t>
      </w:r>
    </w:p>
    <w:p w14:paraId="72BFFEE6" w14:textId="5D8D5656" w:rsidR="002779BC" w:rsidRDefault="002779BC" w:rsidP="007A1F1C">
      <w:r>
        <w:lastRenderedPageBreak/>
        <w:t xml:space="preserve">En plus de cette proposition de base, le Bénéficiaire pourra être sollicité pour l’installation de machines supplémentaires pendant la durée de l’AOT. </w:t>
      </w:r>
    </w:p>
    <w:p w14:paraId="2CD648AB" w14:textId="77777777" w:rsidR="00631775" w:rsidRDefault="00631775" w:rsidP="007A1F1C"/>
    <w:p w14:paraId="5A21C66F" w14:textId="2E56C811" w:rsidR="008E09AF" w:rsidRDefault="00631775" w:rsidP="007A1F1C">
      <w:r w:rsidRPr="00631775">
        <w:rPr>
          <w:b/>
        </w:rPr>
        <w:t>Les machines à disposition des visiteurs ne peuvent proposer que des boissons refermables</w:t>
      </w:r>
      <w:r>
        <w:t xml:space="preserve"> (avec un bouchon).</w:t>
      </w:r>
    </w:p>
    <w:p w14:paraId="4428AD08" w14:textId="77777777" w:rsidR="007A1F1C" w:rsidRPr="007A1F1C" w:rsidRDefault="007A1F1C" w:rsidP="007A1F1C">
      <w:pPr>
        <w:pStyle w:val="Titre2"/>
      </w:pPr>
      <w:bookmarkStart w:id="125" w:name="_Toc201743769"/>
      <w:r w:rsidRPr="007A1F1C">
        <w:t>Contraintes techniques</w:t>
      </w:r>
      <w:bookmarkEnd w:id="125"/>
    </w:p>
    <w:tbl>
      <w:tblPr>
        <w:tblStyle w:val="Grilledutableau"/>
        <w:tblW w:w="9923" w:type="dxa"/>
        <w:tblInd w:w="-5" w:type="dxa"/>
        <w:tblLook w:val="04A0" w:firstRow="1" w:lastRow="0" w:firstColumn="1" w:lastColumn="0" w:noHBand="0" w:noVBand="1"/>
      </w:tblPr>
      <w:tblGrid>
        <w:gridCol w:w="1875"/>
        <w:gridCol w:w="2642"/>
        <w:gridCol w:w="2699"/>
        <w:gridCol w:w="2707"/>
      </w:tblGrid>
      <w:tr w:rsidR="007A1F1C" w:rsidRPr="00086473" w14:paraId="680708F6" w14:textId="77777777" w:rsidTr="00BA35DC">
        <w:trPr>
          <w:trHeight w:val="497"/>
          <w:tblHeader/>
        </w:trPr>
        <w:tc>
          <w:tcPr>
            <w:tcW w:w="1875" w:type="dxa"/>
            <w:shd w:val="clear" w:color="auto" w:fill="D9D9D9" w:themeFill="background1" w:themeFillShade="D9"/>
            <w:vAlign w:val="center"/>
          </w:tcPr>
          <w:p w14:paraId="24ABD6F0" w14:textId="77777777" w:rsidR="007A1F1C" w:rsidRPr="00086473" w:rsidRDefault="007A1F1C" w:rsidP="00BA35DC">
            <w:pPr>
              <w:jc w:val="center"/>
              <w:rPr>
                <w:b/>
              </w:rPr>
            </w:pPr>
            <w:r w:rsidRPr="00086473">
              <w:rPr>
                <w:b/>
              </w:rPr>
              <w:t>Localisation</w:t>
            </w:r>
          </w:p>
        </w:tc>
        <w:tc>
          <w:tcPr>
            <w:tcW w:w="2642" w:type="dxa"/>
            <w:shd w:val="clear" w:color="auto" w:fill="D9D9D9" w:themeFill="background1" w:themeFillShade="D9"/>
            <w:vAlign w:val="center"/>
          </w:tcPr>
          <w:p w14:paraId="6F61856F" w14:textId="77777777" w:rsidR="007A1F1C" w:rsidRPr="00086473" w:rsidRDefault="007A1F1C" w:rsidP="00BA35DC">
            <w:pPr>
              <w:jc w:val="center"/>
              <w:rPr>
                <w:b/>
              </w:rPr>
            </w:pPr>
            <w:r w:rsidRPr="00086473">
              <w:rPr>
                <w:b/>
              </w:rPr>
              <w:t>Type de distributeurs</w:t>
            </w:r>
          </w:p>
        </w:tc>
        <w:tc>
          <w:tcPr>
            <w:tcW w:w="2699" w:type="dxa"/>
            <w:shd w:val="clear" w:color="auto" w:fill="D9D9D9" w:themeFill="background1" w:themeFillShade="D9"/>
            <w:vAlign w:val="center"/>
          </w:tcPr>
          <w:p w14:paraId="060A1285" w14:textId="77777777" w:rsidR="007A1F1C" w:rsidRPr="00086473" w:rsidRDefault="007A1F1C" w:rsidP="00BA35DC">
            <w:pPr>
              <w:jc w:val="center"/>
              <w:rPr>
                <w:b/>
              </w:rPr>
            </w:pPr>
            <w:r w:rsidRPr="00086473">
              <w:rPr>
                <w:b/>
              </w:rPr>
              <w:t>Surface disponible</w:t>
            </w:r>
          </w:p>
        </w:tc>
        <w:tc>
          <w:tcPr>
            <w:tcW w:w="2707" w:type="dxa"/>
            <w:shd w:val="clear" w:color="auto" w:fill="D9D9D9" w:themeFill="background1" w:themeFillShade="D9"/>
          </w:tcPr>
          <w:p w14:paraId="4B752486" w14:textId="77777777" w:rsidR="007A1F1C" w:rsidRPr="00086473" w:rsidRDefault="007A1F1C" w:rsidP="00BA35DC">
            <w:pPr>
              <w:jc w:val="center"/>
              <w:rPr>
                <w:b/>
              </w:rPr>
            </w:pPr>
            <w:r w:rsidRPr="00086473">
              <w:rPr>
                <w:b/>
              </w:rPr>
              <w:t>Conditions d’acheminement</w:t>
            </w:r>
          </w:p>
        </w:tc>
      </w:tr>
      <w:tr w:rsidR="007A1F1C" w:rsidRPr="00086473" w14:paraId="3F067913" w14:textId="77777777" w:rsidTr="000638C1">
        <w:tc>
          <w:tcPr>
            <w:tcW w:w="1875" w:type="dxa"/>
          </w:tcPr>
          <w:p w14:paraId="70EFAEDD" w14:textId="77777777" w:rsidR="007A1F1C" w:rsidRPr="00086473" w:rsidRDefault="007A1F1C" w:rsidP="007A1F1C"/>
          <w:p w14:paraId="36144AE6" w14:textId="77777777" w:rsidR="007A1F1C" w:rsidRPr="00086473" w:rsidRDefault="007A1F1C" w:rsidP="007A1F1C">
            <w:pPr>
              <w:rPr>
                <w:b/>
              </w:rPr>
            </w:pPr>
            <w:r w:rsidRPr="00086473">
              <w:rPr>
                <w:b/>
              </w:rPr>
              <w:t>Bâtiment du J4</w:t>
            </w:r>
          </w:p>
          <w:p w14:paraId="438A21B6" w14:textId="77777777" w:rsidR="007A1F1C" w:rsidRPr="00086473" w:rsidRDefault="007A1F1C" w:rsidP="007A1F1C"/>
          <w:p w14:paraId="253C19E3" w14:textId="77777777" w:rsidR="007A1F1C" w:rsidRPr="00086473" w:rsidRDefault="007A1F1C" w:rsidP="007A1F1C">
            <w:r w:rsidRPr="00086473">
              <w:t>R+4</w:t>
            </w:r>
          </w:p>
        </w:tc>
        <w:tc>
          <w:tcPr>
            <w:tcW w:w="2642" w:type="dxa"/>
            <w:vAlign w:val="center"/>
          </w:tcPr>
          <w:p w14:paraId="0DB9D9FB" w14:textId="77777777" w:rsidR="007A1F1C" w:rsidRPr="00086473" w:rsidRDefault="007A1F1C" w:rsidP="007A1F1C">
            <w:r w:rsidRPr="00086473">
              <w:t>2 distributeurs boissons chaudes</w:t>
            </w:r>
          </w:p>
          <w:p w14:paraId="2DEC34B9" w14:textId="77777777" w:rsidR="007A1F1C" w:rsidRPr="00086473" w:rsidRDefault="007A1F1C" w:rsidP="007A1F1C"/>
          <w:p w14:paraId="59AF5C12" w14:textId="77777777" w:rsidR="007A1F1C" w:rsidRPr="00086473" w:rsidRDefault="007A1F1C" w:rsidP="007A1F1C"/>
          <w:p w14:paraId="376C0797" w14:textId="77777777" w:rsidR="007A1F1C" w:rsidRPr="00086473" w:rsidRDefault="007A1F1C" w:rsidP="007A1F1C">
            <w:r w:rsidRPr="00086473">
              <w:t>1 distributeur boissons fraiches</w:t>
            </w:r>
          </w:p>
          <w:p w14:paraId="466BF8A8" w14:textId="77777777" w:rsidR="007A1F1C" w:rsidRPr="00086473" w:rsidRDefault="007A1F1C" w:rsidP="007A1F1C">
            <w:r w:rsidRPr="00086473">
              <w:t>1 distributeur snacks / confiseries</w:t>
            </w:r>
          </w:p>
        </w:tc>
        <w:tc>
          <w:tcPr>
            <w:tcW w:w="2699" w:type="dxa"/>
          </w:tcPr>
          <w:p w14:paraId="372F25D7" w14:textId="77777777" w:rsidR="007A1F1C" w:rsidRPr="00086473" w:rsidRDefault="007A1F1C" w:rsidP="007A1F1C">
            <w:r w:rsidRPr="00086473">
              <w:t>Les machines Boissons chaudes doivent tenir sur un emplacement de 1,7 m (largeur) X 0,8 m (profondeur) X 1,9 m (hauteur).</w:t>
            </w:r>
          </w:p>
          <w:p w14:paraId="26CB76A8" w14:textId="77777777" w:rsidR="007A1F1C" w:rsidRPr="00086473" w:rsidRDefault="007A1F1C" w:rsidP="007A1F1C"/>
          <w:p w14:paraId="6693E4CB" w14:textId="3AF32937" w:rsidR="007A1F1C" w:rsidRPr="00086473" w:rsidRDefault="007A1F1C" w:rsidP="007A1F1C">
            <w:r w:rsidRPr="00086473">
              <w:t xml:space="preserve">Les machines Snack et Boissons Fraiches doivent tenir sur un emplacement </w:t>
            </w:r>
            <w:r w:rsidR="00086473" w:rsidRPr="00086473">
              <w:t>de 1</w:t>
            </w:r>
            <w:r w:rsidRPr="00086473">
              <w:t>,7 m (largeur) X 0,9 m (profondeur) X 1,9 m (hauteur). </w:t>
            </w:r>
          </w:p>
        </w:tc>
        <w:tc>
          <w:tcPr>
            <w:tcW w:w="2707" w:type="dxa"/>
          </w:tcPr>
          <w:p w14:paraId="52BD30D0" w14:textId="77777777" w:rsidR="007A1F1C" w:rsidRPr="00086473" w:rsidRDefault="007A1F1C" w:rsidP="007A1F1C">
            <w:r w:rsidRPr="00086473">
              <w:t xml:space="preserve">Ces machines doivent être acheminées au R+4 en empruntant le monte-charge intérieur du musée, depuis le SS2 (parking Vinci &gt; Rameau &gt; aire de livraison &gt; SS2). </w:t>
            </w:r>
          </w:p>
        </w:tc>
      </w:tr>
      <w:tr w:rsidR="007A1F1C" w:rsidRPr="00086473" w14:paraId="21773FB3" w14:textId="77777777" w:rsidTr="000638C1">
        <w:tc>
          <w:tcPr>
            <w:tcW w:w="1875" w:type="dxa"/>
          </w:tcPr>
          <w:p w14:paraId="765F9BC0" w14:textId="77777777" w:rsidR="007A1F1C" w:rsidRPr="00086473" w:rsidRDefault="007A1F1C" w:rsidP="007A1F1C"/>
          <w:p w14:paraId="6281E5C0" w14:textId="77777777" w:rsidR="00086473" w:rsidRPr="00086473" w:rsidRDefault="007A1F1C" w:rsidP="007A1F1C">
            <w:pPr>
              <w:rPr>
                <w:b/>
              </w:rPr>
            </w:pPr>
            <w:r w:rsidRPr="00086473">
              <w:rPr>
                <w:b/>
              </w:rPr>
              <w:t>Bâtiment du J4</w:t>
            </w:r>
          </w:p>
          <w:p w14:paraId="568658B2" w14:textId="2C57D7C9" w:rsidR="007A1F1C" w:rsidRPr="00086473" w:rsidRDefault="007A1F1C" w:rsidP="007A1F1C">
            <w:pPr>
              <w:rPr>
                <w:b/>
              </w:rPr>
            </w:pPr>
            <w:r w:rsidRPr="00086473">
              <w:t>SS1</w:t>
            </w:r>
          </w:p>
        </w:tc>
        <w:tc>
          <w:tcPr>
            <w:tcW w:w="2642" w:type="dxa"/>
            <w:vAlign w:val="center"/>
          </w:tcPr>
          <w:p w14:paraId="7B05919B" w14:textId="68DBEB0F" w:rsidR="007A1F1C" w:rsidRPr="00086473" w:rsidRDefault="00067EBF" w:rsidP="007A1F1C">
            <w:r w:rsidRPr="00086473">
              <w:t>1 distributeur</w:t>
            </w:r>
            <w:r w:rsidR="007A1F1C" w:rsidRPr="00086473">
              <w:t xml:space="preserve"> boissons fraiches</w:t>
            </w:r>
            <w:r w:rsidRPr="00086473">
              <w:t xml:space="preserve"> refermables</w:t>
            </w:r>
            <w:r w:rsidR="007A1F1C" w:rsidRPr="00086473">
              <w:t xml:space="preserve"> (+ 1/3 snacks)</w:t>
            </w:r>
          </w:p>
        </w:tc>
        <w:tc>
          <w:tcPr>
            <w:tcW w:w="2699" w:type="dxa"/>
          </w:tcPr>
          <w:p w14:paraId="1FAFEB8F" w14:textId="248068C9" w:rsidR="007A1F1C" w:rsidRPr="00086473" w:rsidRDefault="00067EBF" w:rsidP="007A1F1C">
            <w:r w:rsidRPr="00086473">
              <w:t>Cette machine</w:t>
            </w:r>
            <w:r w:rsidR="00086473" w:rsidRPr="00086473">
              <w:t xml:space="preserve"> </w:t>
            </w:r>
            <w:r w:rsidRPr="00086473">
              <w:t>à disposition du public doi</w:t>
            </w:r>
            <w:r w:rsidR="007A1F1C" w:rsidRPr="00086473">
              <w:t xml:space="preserve">t tenir dans un emplacement de 2,5 m (largeur) </w:t>
            </w:r>
            <w:r w:rsidR="00875AE3" w:rsidRPr="00086473">
              <w:t>X 1</w:t>
            </w:r>
            <w:r w:rsidR="007A1F1C" w:rsidRPr="00086473">
              <w:t>,1 m (</w:t>
            </w:r>
            <w:r w:rsidR="00875AE3" w:rsidRPr="00086473">
              <w:t>profondeur) X 1</w:t>
            </w:r>
            <w:r w:rsidR="007A1F1C" w:rsidRPr="00086473">
              <w:t>,9 m (hauteur).</w:t>
            </w:r>
          </w:p>
        </w:tc>
        <w:tc>
          <w:tcPr>
            <w:tcW w:w="2707" w:type="dxa"/>
          </w:tcPr>
          <w:p w14:paraId="3AEC975B" w14:textId="66FC57E5" w:rsidR="007A1F1C" w:rsidRPr="00086473" w:rsidRDefault="00067EBF" w:rsidP="00067EBF">
            <w:r w:rsidRPr="00086473">
              <w:t>Elle sera ensuite amenée</w:t>
            </w:r>
            <w:r w:rsidR="007A1F1C" w:rsidRPr="00086473">
              <w:t xml:space="preserve"> de la terrasse du J4 jusqu’à </w:t>
            </w:r>
            <w:r w:rsidRPr="00086473">
              <w:t>son</w:t>
            </w:r>
            <w:r w:rsidR="007A1F1C" w:rsidRPr="00086473">
              <w:t xml:space="preserve"> lieu d’implantation en traversant le restaurant </w:t>
            </w:r>
            <w:r w:rsidR="001768CD" w:rsidRPr="00086473">
              <w:t>Sodexo</w:t>
            </w:r>
            <w:r w:rsidR="007A1F1C" w:rsidRPr="00086473">
              <w:t xml:space="preserve"> (chemin de roulement avec plaques de protection à prévoir).</w:t>
            </w:r>
          </w:p>
        </w:tc>
      </w:tr>
      <w:tr w:rsidR="007A1F1C" w:rsidRPr="00086473" w14:paraId="739D54FB" w14:textId="77777777" w:rsidTr="000638C1">
        <w:tc>
          <w:tcPr>
            <w:tcW w:w="1875" w:type="dxa"/>
          </w:tcPr>
          <w:p w14:paraId="76D36DFF" w14:textId="77777777" w:rsidR="007A1F1C" w:rsidRPr="00086473" w:rsidRDefault="007A1F1C" w:rsidP="007A1F1C"/>
          <w:p w14:paraId="282FC3C7" w14:textId="77777777" w:rsidR="007A1F1C" w:rsidRPr="00086473" w:rsidRDefault="007A1F1C" w:rsidP="007A1F1C">
            <w:pPr>
              <w:rPr>
                <w:b/>
              </w:rPr>
            </w:pPr>
            <w:r w:rsidRPr="00086473">
              <w:rPr>
                <w:b/>
              </w:rPr>
              <w:t>Fort Saint-Jean</w:t>
            </w:r>
          </w:p>
          <w:p w14:paraId="19F69F08" w14:textId="77777777" w:rsidR="007A1F1C" w:rsidRPr="00086473" w:rsidRDefault="007A1F1C" w:rsidP="007A1F1C">
            <w:r w:rsidRPr="00086473">
              <w:t>R+1 du GHR</w:t>
            </w:r>
          </w:p>
        </w:tc>
        <w:tc>
          <w:tcPr>
            <w:tcW w:w="2642" w:type="dxa"/>
            <w:vAlign w:val="center"/>
          </w:tcPr>
          <w:p w14:paraId="253FA5F0" w14:textId="77777777" w:rsidR="007A1F1C" w:rsidRPr="00086473" w:rsidRDefault="007A1F1C" w:rsidP="007A1F1C">
            <w:r w:rsidRPr="00086473">
              <w:t>1 distributeur boissons chaudes</w:t>
            </w:r>
          </w:p>
          <w:p w14:paraId="15CDAC3A" w14:textId="77777777" w:rsidR="007A1F1C" w:rsidRPr="00086473" w:rsidRDefault="007A1F1C" w:rsidP="007A1F1C">
            <w:r w:rsidRPr="00086473">
              <w:t>1 mixte : boissons fraiches / snacks</w:t>
            </w:r>
          </w:p>
        </w:tc>
        <w:tc>
          <w:tcPr>
            <w:tcW w:w="2699" w:type="dxa"/>
          </w:tcPr>
          <w:p w14:paraId="0E54DDDA" w14:textId="2BA31E66" w:rsidR="007A1F1C" w:rsidRPr="00086473" w:rsidRDefault="007A1F1C" w:rsidP="007A1F1C">
            <w:r w:rsidRPr="00086473">
              <w:t xml:space="preserve">Le combiné (1 machine Boissons </w:t>
            </w:r>
            <w:r w:rsidR="00086473" w:rsidRPr="00086473">
              <w:t>chaudes +</w:t>
            </w:r>
            <w:r w:rsidRPr="00086473">
              <w:t xml:space="preserve"> 1 machine Snack/Boissons fraiches) doit tenir sur un emplacement de :</w:t>
            </w:r>
          </w:p>
          <w:p w14:paraId="68CFB12F" w14:textId="77777777" w:rsidR="007A1F1C" w:rsidRPr="00086473" w:rsidRDefault="007A1F1C" w:rsidP="007A1F1C">
            <w:r w:rsidRPr="00086473">
              <w:t>0,8 m (largeur) X 0,8 m (profondeur) X 1,9 m (hauteur).</w:t>
            </w:r>
          </w:p>
        </w:tc>
        <w:tc>
          <w:tcPr>
            <w:tcW w:w="2707" w:type="dxa"/>
          </w:tcPr>
          <w:p w14:paraId="02CD52BC" w14:textId="77777777" w:rsidR="007A1F1C" w:rsidRPr="00086473" w:rsidRDefault="007A1F1C" w:rsidP="007A1F1C">
            <w:r w:rsidRPr="00086473">
              <w:t xml:space="preserve">Ces machines sont acheminées au Fort Saint-Jean par la passerelle Saint-Laurent. </w:t>
            </w:r>
          </w:p>
          <w:p w14:paraId="19EBB70A" w14:textId="77777777" w:rsidR="007A1F1C" w:rsidRPr="00086473" w:rsidRDefault="007A1F1C" w:rsidP="007A1F1C">
            <w:r w:rsidRPr="00086473">
              <w:t>Attention cependant, il y a 24 marches à gravir pour accéder à la salle de pause du R+1 du GHR.</w:t>
            </w:r>
          </w:p>
          <w:p w14:paraId="02D9ABB8" w14:textId="77777777" w:rsidR="007A1F1C" w:rsidRPr="00086473" w:rsidRDefault="007A1F1C" w:rsidP="007A1F1C"/>
        </w:tc>
      </w:tr>
      <w:tr w:rsidR="007A1F1C" w:rsidRPr="00086473" w14:paraId="30E0D700" w14:textId="77777777" w:rsidTr="000638C1">
        <w:tc>
          <w:tcPr>
            <w:tcW w:w="1875" w:type="dxa"/>
          </w:tcPr>
          <w:p w14:paraId="75D228A7" w14:textId="77777777" w:rsidR="007A1F1C" w:rsidRPr="00086473" w:rsidRDefault="007A1F1C" w:rsidP="007A1F1C"/>
          <w:p w14:paraId="1A6E8F2C" w14:textId="77777777" w:rsidR="007A1F1C" w:rsidRPr="00086473" w:rsidRDefault="007A1F1C" w:rsidP="007A1F1C">
            <w:pPr>
              <w:rPr>
                <w:b/>
              </w:rPr>
            </w:pPr>
            <w:r w:rsidRPr="00086473">
              <w:rPr>
                <w:b/>
              </w:rPr>
              <w:t>Fort Saint-Jean</w:t>
            </w:r>
          </w:p>
          <w:p w14:paraId="629AE465" w14:textId="6D40BBE9" w:rsidR="007A1F1C" w:rsidRPr="00086473" w:rsidRDefault="007A1F1C" w:rsidP="007A1F1C">
            <w:r w:rsidRPr="00086473">
              <w:t>R+1 d</w:t>
            </w:r>
            <w:r w:rsidR="001A0651" w:rsidRPr="00086473">
              <w:t>u MucemLab</w:t>
            </w:r>
          </w:p>
        </w:tc>
        <w:tc>
          <w:tcPr>
            <w:tcW w:w="2642" w:type="dxa"/>
            <w:vAlign w:val="center"/>
          </w:tcPr>
          <w:p w14:paraId="6B38E8A8" w14:textId="77777777" w:rsidR="007A1F1C" w:rsidRPr="00086473" w:rsidRDefault="007A1F1C" w:rsidP="007A1F1C">
            <w:r w:rsidRPr="00086473">
              <w:t>1 distributeur boissons chaudes</w:t>
            </w:r>
          </w:p>
          <w:p w14:paraId="01425970" w14:textId="77777777" w:rsidR="007A1F1C" w:rsidRPr="00086473" w:rsidRDefault="007A1F1C" w:rsidP="007A1F1C">
            <w:r w:rsidRPr="00086473">
              <w:t>1 mixte : boissons fraiches / snacks</w:t>
            </w:r>
          </w:p>
        </w:tc>
        <w:tc>
          <w:tcPr>
            <w:tcW w:w="2699" w:type="dxa"/>
          </w:tcPr>
          <w:p w14:paraId="696DE072" w14:textId="69D783EF" w:rsidR="007A1F1C" w:rsidRPr="00086473" w:rsidRDefault="007A1F1C" w:rsidP="007A1F1C">
            <w:r w:rsidRPr="00086473">
              <w:t xml:space="preserve">Le combiné (1 machine Boissons </w:t>
            </w:r>
            <w:r w:rsidR="00086473" w:rsidRPr="00086473">
              <w:t>Chaudes +</w:t>
            </w:r>
            <w:r w:rsidRPr="00086473">
              <w:t xml:space="preserve"> 1 machine Snack/Boissons fraiches) doit tenir sur un emplacement de :</w:t>
            </w:r>
          </w:p>
          <w:p w14:paraId="37486F8D" w14:textId="77777777" w:rsidR="007A1F1C" w:rsidRPr="00086473" w:rsidRDefault="007A1F1C" w:rsidP="007A1F1C">
            <w:r w:rsidRPr="00086473">
              <w:t>0,7 m (largeur) X 0,8 m (profondeur) X 1,9 m (hauteur).</w:t>
            </w:r>
          </w:p>
        </w:tc>
        <w:tc>
          <w:tcPr>
            <w:tcW w:w="2707" w:type="dxa"/>
          </w:tcPr>
          <w:p w14:paraId="70EC3602" w14:textId="20D47DAF" w:rsidR="007A1F1C" w:rsidRPr="00086473" w:rsidRDefault="007A1F1C" w:rsidP="007A1F1C">
            <w:r w:rsidRPr="00086473">
              <w:t>Ces machines sont acheminées par l'ascenseur d</w:t>
            </w:r>
            <w:r w:rsidR="001A0651" w:rsidRPr="00086473">
              <w:t>u MucemLab</w:t>
            </w:r>
            <w:r w:rsidRPr="00086473">
              <w:t>, via l'entrée du 201 quai du Port.</w:t>
            </w:r>
          </w:p>
        </w:tc>
      </w:tr>
    </w:tbl>
    <w:p w14:paraId="36248900" w14:textId="17788C17" w:rsidR="001A0651" w:rsidRDefault="001A0651" w:rsidP="001A0651"/>
    <w:p w14:paraId="55E97079" w14:textId="653E5D53" w:rsidR="001A0651" w:rsidRPr="00086473" w:rsidRDefault="001A0651" w:rsidP="00086473">
      <w:pPr>
        <w:pStyle w:val="Paragraphedeliste"/>
        <w:numPr>
          <w:ilvl w:val="0"/>
          <w:numId w:val="47"/>
        </w:numPr>
        <w:rPr>
          <w:b/>
          <w:u w:val="single"/>
        </w:rPr>
      </w:pPr>
      <w:r w:rsidRPr="00086473">
        <w:rPr>
          <w:b/>
          <w:u w:val="single"/>
        </w:rPr>
        <w:t>Distributeur</w:t>
      </w:r>
      <w:r w:rsidR="00086473">
        <w:rPr>
          <w:b/>
          <w:u w:val="single"/>
        </w:rPr>
        <w:t>s de p</w:t>
      </w:r>
      <w:r w:rsidRPr="00086473">
        <w:rPr>
          <w:b/>
          <w:u w:val="single"/>
        </w:rPr>
        <w:t>roduits d’hygiène</w:t>
      </w:r>
    </w:p>
    <w:tbl>
      <w:tblPr>
        <w:tblStyle w:val="Grilledutableau"/>
        <w:tblW w:w="5151" w:type="pct"/>
        <w:tblLook w:val="04A0" w:firstRow="1" w:lastRow="0" w:firstColumn="1" w:lastColumn="0" w:noHBand="0" w:noVBand="1"/>
      </w:tblPr>
      <w:tblGrid>
        <w:gridCol w:w="2122"/>
        <w:gridCol w:w="5670"/>
        <w:gridCol w:w="2127"/>
      </w:tblGrid>
      <w:tr w:rsidR="001A0651" w14:paraId="6146C5EA" w14:textId="77777777" w:rsidTr="00086473">
        <w:trPr>
          <w:trHeight w:val="591"/>
        </w:trPr>
        <w:tc>
          <w:tcPr>
            <w:tcW w:w="1070" w:type="pct"/>
            <w:shd w:val="clear" w:color="auto" w:fill="D9D9D9" w:themeFill="background1" w:themeFillShade="D9"/>
            <w:vAlign w:val="center"/>
          </w:tcPr>
          <w:p w14:paraId="1789DC5C" w14:textId="4C5616F5" w:rsidR="001A0651" w:rsidRPr="00086473" w:rsidRDefault="001A0651" w:rsidP="00086473">
            <w:pPr>
              <w:jc w:val="center"/>
              <w:rPr>
                <w:b/>
              </w:rPr>
            </w:pPr>
            <w:r w:rsidRPr="00086473">
              <w:rPr>
                <w:b/>
              </w:rPr>
              <w:t>Localisation</w:t>
            </w:r>
          </w:p>
        </w:tc>
        <w:tc>
          <w:tcPr>
            <w:tcW w:w="2858" w:type="pct"/>
            <w:shd w:val="clear" w:color="auto" w:fill="D9D9D9" w:themeFill="background1" w:themeFillShade="D9"/>
            <w:vAlign w:val="center"/>
          </w:tcPr>
          <w:p w14:paraId="1ED779D5" w14:textId="1E9A5764" w:rsidR="001A0651" w:rsidRPr="00086473" w:rsidRDefault="001A0651" w:rsidP="00086473">
            <w:pPr>
              <w:jc w:val="center"/>
              <w:rPr>
                <w:b/>
              </w:rPr>
            </w:pPr>
            <w:r w:rsidRPr="00086473">
              <w:rPr>
                <w:b/>
              </w:rPr>
              <w:t>Type de distributeurs</w:t>
            </w:r>
          </w:p>
        </w:tc>
        <w:tc>
          <w:tcPr>
            <w:tcW w:w="1072" w:type="pct"/>
            <w:shd w:val="clear" w:color="auto" w:fill="D9D9D9" w:themeFill="background1" w:themeFillShade="D9"/>
            <w:vAlign w:val="center"/>
          </w:tcPr>
          <w:p w14:paraId="4B69B400" w14:textId="0FD6DFB5" w:rsidR="001A0651" w:rsidRPr="00086473" w:rsidRDefault="001A0651" w:rsidP="00086473">
            <w:pPr>
              <w:jc w:val="center"/>
              <w:rPr>
                <w:b/>
              </w:rPr>
            </w:pPr>
            <w:r w:rsidRPr="00086473">
              <w:rPr>
                <w:b/>
              </w:rPr>
              <w:t>Surface disponible</w:t>
            </w:r>
          </w:p>
        </w:tc>
      </w:tr>
      <w:tr w:rsidR="001A0651" w14:paraId="67FEAB61" w14:textId="77777777" w:rsidTr="00086473">
        <w:tc>
          <w:tcPr>
            <w:tcW w:w="1070" w:type="pct"/>
          </w:tcPr>
          <w:p w14:paraId="3B718B21" w14:textId="77777777" w:rsidR="001A0651" w:rsidRPr="00086473" w:rsidRDefault="001A0651" w:rsidP="001A0651">
            <w:pPr>
              <w:rPr>
                <w:b/>
              </w:rPr>
            </w:pPr>
            <w:r w:rsidRPr="00086473">
              <w:rPr>
                <w:b/>
              </w:rPr>
              <w:t>Bâtiment du J4</w:t>
            </w:r>
          </w:p>
          <w:p w14:paraId="73239DDD" w14:textId="0DF3413D" w:rsidR="001A0651" w:rsidRPr="00086473" w:rsidRDefault="001A0651" w:rsidP="001A0651">
            <w:r w:rsidRPr="00086473">
              <w:t>R+2</w:t>
            </w:r>
          </w:p>
        </w:tc>
        <w:tc>
          <w:tcPr>
            <w:tcW w:w="2858" w:type="pct"/>
            <w:vAlign w:val="center"/>
          </w:tcPr>
          <w:p w14:paraId="386C0ACA" w14:textId="53D2BFF4" w:rsidR="001A0651" w:rsidRPr="00086473" w:rsidRDefault="001A0651" w:rsidP="00086473">
            <w:pPr>
              <w:jc w:val="left"/>
            </w:pPr>
            <w:r w:rsidRPr="00086473">
              <w:t>Distributeur de produits d’hygiène</w:t>
            </w:r>
            <w:r w:rsidR="00BA2CCE" w:rsidRPr="00086473">
              <w:t xml:space="preserve"> (mouchoir</w:t>
            </w:r>
            <w:r w:rsidR="00086473">
              <w:t>s</w:t>
            </w:r>
            <w:r w:rsidR="00BA2CCE" w:rsidRPr="00086473">
              <w:t>, gel hydroalcoolique, serviette</w:t>
            </w:r>
            <w:r w:rsidR="00086473">
              <w:t>s</w:t>
            </w:r>
            <w:r w:rsidR="00BA2CCE" w:rsidRPr="00086473">
              <w:t xml:space="preserve"> hygiénique</w:t>
            </w:r>
            <w:r w:rsidR="00086473">
              <w:t>s</w:t>
            </w:r>
            <w:r w:rsidR="00BA2CCE" w:rsidRPr="00086473">
              <w:t>/tampon</w:t>
            </w:r>
            <w:r w:rsidR="00086473">
              <w:t>s</w:t>
            </w:r>
            <w:r w:rsidR="00BA2CCE" w:rsidRPr="00086473">
              <w:t xml:space="preserve">, </w:t>
            </w:r>
            <w:r w:rsidR="00875AE3" w:rsidRPr="00086473">
              <w:t>gourde</w:t>
            </w:r>
            <w:r w:rsidR="00875AE3">
              <w:t xml:space="preserve">s, </w:t>
            </w:r>
            <w:r w:rsidR="00875AE3" w:rsidRPr="00086473">
              <w:t>etc.</w:t>
            </w:r>
            <w:r w:rsidR="00BA2CCE" w:rsidRPr="00086473">
              <w:t xml:space="preserve">) </w:t>
            </w:r>
          </w:p>
        </w:tc>
        <w:tc>
          <w:tcPr>
            <w:tcW w:w="1072" w:type="pct"/>
          </w:tcPr>
          <w:p w14:paraId="23E6C99E" w14:textId="13A58535" w:rsidR="001A0651" w:rsidRPr="00086473" w:rsidRDefault="00311412" w:rsidP="001A0651">
            <w:r w:rsidRPr="00086473">
              <w:t>H0,8 x L0,4x 0,15P (unité : mètre)</w:t>
            </w:r>
          </w:p>
        </w:tc>
      </w:tr>
      <w:tr w:rsidR="001A0651" w14:paraId="15DA4579" w14:textId="77777777" w:rsidTr="00086473">
        <w:tc>
          <w:tcPr>
            <w:tcW w:w="1070" w:type="pct"/>
          </w:tcPr>
          <w:p w14:paraId="3B24028C" w14:textId="78119F06" w:rsidR="001A0651" w:rsidRPr="007A1F1C" w:rsidRDefault="001A0651" w:rsidP="001A0651">
            <w:pPr>
              <w:rPr>
                <w:b/>
              </w:rPr>
            </w:pPr>
            <w:r w:rsidRPr="007A1F1C">
              <w:rPr>
                <w:b/>
              </w:rPr>
              <w:lastRenderedPageBreak/>
              <w:t xml:space="preserve">Bâtiment du J4 </w:t>
            </w:r>
          </w:p>
          <w:p w14:paraId="3001A06D" w14:textId="6F82773E" w:rsidR="001A0651" w:rsidRDefault="001A0651" w:rsidP="001A0651">
            <w:r w:rsidRPr="007A1F1C">
              <w:t>Niveau -1 (SS1)</w:t>
            </w:r>
          </w:p>
        </w:tc>
        <w:tc>
          <w:tcPr>
            <w:tcW w:w="2858" w:type="pct"/>
            <w:vAlign w:val="center"/>
          </w:tcPr>
          <w:p w14:paraId="4974368F" w14:textId="308A1587" w:rsidR="001A0651" w:rsidRDefault="001A0651" w:rsidP="00086473">
            <w:pPr>
              <w:jc w:val="left"/>
            </w:pPr>
            <w:r>
              <w:t>Distributeur de produits d’hygiène</w:t>
            </w:r>
          </w:p>
        </w:tc>
        <w:tc>
          <w:tcPr>
            <w:tcW w:w="1072" w:type="pct"/>
          </w:tcPr>
          <w:p w14:paraId="0A5DF84D" w14:textId="2320CD3E" w:rsidR="001A0651" w:rsidRDefault="00311412" w:rsidP="001A0651">
            <w:r>
              <w:t>H0,8 x L0,4x 0,15P (unité : mètre)</w:t>
            </w:r>
          </w:p>
        </w:tc>
      </w:tr>
      <w:tr w:rsidR="001A0651" w14:paraId="353A08C4" w14:textId="77777777" w:rsidTr="00086473">
        <w:tc>
          <w:tcPr>
            <w:tcW w:w="1070" w:type="pct"/>
          </w:tcPr>
          <w:p w14:paraId="7CD6CB19" w14:textId="68F50161" w:rsidR="001A0651" w:rsidRPr="00A1494A" w:rsidRDefault="001A0651" w:rsidP="001A0651">
            <w:pPr>
              <w:rPr>
                <w:b/>
              </w:rPr>
            </w:pPr>
            <w:r w:rsidRPr="007A1F1C">
              <w:rPr>
                <w:b/>
              </w:rPr>
              <w:t xml:space="preserve">Fort Saint-Jean </w:t>
            </w:r>
          </w:p>
          <w:p w14:paraId="71A7EAA0" w14:textId="573A7119" w:rsidR="001A0651" w:rsidRDefault="001A0651" w:rsidP="001A0651">
            <w:r>
              <w:t>Sanitaire public au rez-de-chaussée</w:t>
            </w:r>
            <w:r w:rsidRPr="007A1F1C">
              <w:t xml:space="preserve"> du bâtiment Georges Henri Rivière</w:t>
            </w:r>
          </w:p>
        </w:tc>
        <w:tc>
          <w:tcPr>
            <w:tcW w:w="2858" w:type="pct"/>
            <w:vAlign w:val="center"/>
          </w:tcPr>
          <w:p w14:paraId="51E0FAC1" w14:textId="3C68AACB" w:rsidR="001A0651" w:rsidRDefault="001A0651" w:rsidP="00086473">
            <w:pPr>
              <w:jc w:val="left"/>
            </w:pPr>
            <w:r>
              <w:t>Distributeur de produits d’hygiène</w:t>
            </w:r>
          </w:p>
        </w:tc>
        <w:tc>
          <w:tcPr>
            <w:tcW w:w="1072" w:type="pct"/>
          </w:tcPr>
          <w:p w14:paraId="3F00970E" w14:textId="3C6E8157" w:rsidR="001A0651" w:rsidRDefault="00311412" w:rsidP="001A0651">
            <w:r>
              <w:t>H0,8 x L0,4x 0,15P (unité : mètre)</w:t>
            </w:r>
          </w:p>
        </w:tc>
      </w:tr>
    </w:tbl>
    <w:p w14:paraId="07786B96" w14:textId="77777777" w:rsidR="001A0651" w:rsidRPr="001A0651" w:rsidRDefault="001A0651" w:rsidP="00825F99"/>
    <w:p w14:paraId="71ECC041" w14:textId="464070C6" w:rsidR="008E09AF" w:rsidRDefault="008E09AF" w:rsidP="001A0651">
      <w:pPr>
        <w:pStyle w:val="Titre1"/>
      </w:pPr>
      <w:bookmarkStart w:id="126" w:name="_Toc201743770"/>
      <w:r>
        <w:t>Exploitation des distributeurs</w:t>
      </w:r>
      <w:bookmarkEnd w:id="126"/>
    </w:p>
    <w:p w14:paraId="0A932109" w14:textId="77777777" w:rsidR="008E09AF" w:rsidRDefault="008E09AF" w:rsidP="00962E94">
      <w:pPr>
        <w:pStyle w:val="Titre2"/>
      </w:pPr>
      <w:bookmarkStart w:id="127" w:name="_Toc473106095"/>
      <w:bookmarkStart w:id="128" w:name="_Toc201743771"/>
      <w:r>
        <w:t xml:space="preserve">Conditions </w:t>
      </w:r>
      <w:r w:rsidRPr="00962E94">
        <w:t>générales</w:t>
      </w:r>
      <w:bookmarkEnd w:id="127"/>
      <w:bookmarkEnd w:id="128"/>
    </w:p>
    <w:p w14:paraId="496710DD" w14:textId="499EA219" w:rsidR="008E09AF" w:rsidRDefault="008E09AF" w:rsidP="008E09AF">
      <w:r>
        <w:t xml:space="preserve">Le </w:t>
      </w:r>
      <w:r w:rsidR="00873D6B">
        <w:t>Bénéficiaire</w:t>
      </w:r>
      <w:r>
        <w:t xml:space="preserve"> devra disposer en permanence de toutes les autorisations administratives, licences nécessaires pour l’exploitation des distributeurs objet de la présente convention et en justifier à première demande.</w:t>
      </w:r>
    </w:p>
    <w:p w14:paraId="11FEC9C7" w14:textId="1DBB876D" w:rsidR="008E09AF" w:rsidRDefault="008E09AF" w:rsidP="00962E94">
      <w:pPr>
        <w:pStyle w:val="Titre2"/>
      </w:pPr>
      <w:bookmarkStart w:id="129" w:name="_Toc473106096"/>
      <w:bookmarkStart w:id="130" w:name="_Toc201743772"/>
      <w:r>
        <w:t>Caractéristique</w:t>
      </w:r>
      <w:r w:rsidR="00086473">
        <w:t>s</w:t>
      </w:r>
      <w:r>
        <w:t xml:space="preserve"> des appareils mis en </w:t>
      </w:r>
      <w:r w:rsidRPr="00962E94">
        <w:t>place</w:t>
      </w:r>
      <w:bookmarkEnd w:id="129"/>
      <w:bookmarkEnd w:id="130"/>
    </w:p>
    <w:p w14:paraId="768F8273" w14:textId="77777777" w:rsidR="008E09AF" w:rsidRDefault="008E09AF" w:rsidP="008E09AF">
      <w:r>
        <w:t>Les appareils devront être neufs ou en très bon état de marche, et devront respecter l’ensemble des normes d’hygiène et de sécurité en vigueur.</w:t>
      </w:r>
    </w:p>
    <w:p w14:paraId="7A8C6797" w14:textId="77777777" w:rsidR="008E09AF" w:rsidRDefault="008E09AF" w:rsidP="008E09AF">
      <w:r>
        <w:t xml:space="preserve">De plus, le nom et le numéro de téléphone de la société retenue devront figurer sur chaque distributeur. </w:t>
      </w:r>
    </w:p>
    <w:p w14:paraId="776F08C2" w14:textId="65BD8414" w:rsidR="008E09AF" w:rsidRDefault="008E09AF" w:rsidP="008E09AF">
      <w:r>
        <w:t xml:space="preserve">Les appareils devront être résistants, impossibles </w:t>
      </w:r>
      <w:r w:rsidRPr="00B643CE">
        <w:t>à déplacer</w:t>
      </w:r>
      <w:r>
        <w:t xml:space="preserve"> (par les consommateurs) et à secouer, afin d’éviter toute dégradation des dites machines ou du mur attenant. </w:t>
      </w:r>
      <w:r w:rsidRPr="00401130">
        <w:t xml:space="preserve">Le </w:t>
      </w:r>
      <w:r w:rsidR="00873D6B">
        <w:t>Bénéficiaire</w:t>
      </w:r>
      <w:r w:rsidRPr="00401130">
        <w:t xml:space="preserve"> pourra installer tout système de sécurisation de l’ensemble des distributeurs qui lui paraîtrait utile.</w:t>
      </w:r>
    </w:p>
    <w:p w14:paraId="79AFF2E2" w14:textId="2C043878" w:rsidR="008E09AF" w:rsidRDefault="008E09AF" w:rsidP="008E09AF">
      <w:r>
        <w:t xml:space="preserve">Les distributeurs doivent être </w:t>
      </w:r>
      <w:r w:rsidRPr="00401130">
        <w:t>esthétiques,</w:t>
      </w:r>
      <w:r>
        <w:t xml:space="preserve"> d’utilisation simple, permettant une sélection claire des produits. </w:t>
      </w:r>
      <w:r w:rsidRPr="0063129C">
        <w:t>Les prix des différents produits devront être clairement affichés sur les distributeurs</w:t>
      </w:r>
      <w:r w:rsidR="003A379A">
        <w:t xml:space="preserve"> et si possible faire apparaitre le critère qualitatif du produit. </w:t>
      </w:r>
    </w:p>
    <w:p w14:paraId="6E05C468" w14:textId="3280DBCB" w:rsidR="008E09AF" w:rsidRDefault="008E09AF" w:rsidP="008E09AF">
      <w:r w:rsidRPr="0063129C">
        <w:t xml:space="preserve">Une proposition d’aménagement pourra être proposée par le </w:t>
      </w:r>
      <w:r w:rsidR="00873D6B">
        <w:t>Bénéficiaire</w:t>
      </w:r>
      <w:r w:rsidRPr="0063129C">
        <w:t>, dans l’espace situé au R+4 du bâtiment du J4 exclusivement (salle de restauration du personnel).</w:t>
      </w:r>
    </w:p>
    <w:p w14:paraId="6E4CB0CE" w14:textId="6D65BE6E" w:rsidR="008E09AF" w:rsidRDefault="008E09AF" w:rsidP="008E09AF">
      <w:r w:rsidRPr="00631775">
        <w:rPr>
          <w:b/>
        </w:rPr>
        <w:t xml:space="preserve">Les distributeurs automatiques doivent </w:t>
      </w:r>
      <w:r w:rsidR="00631775" w:rsidRPr="00631775">
        <w:rPr>
          <w:b/>
        </w:rPr>
        <w:t xml:space="preserve">obligatoirement </w:t>
      </w:r>
      <w:r w:rsidRPr="00631775">
        <w:rPr>
          <w:b/>
        </w:rPr>
        <w:t xml:space="preserve">permettre le paiement </w:t>
      </w:r>
      <w:r w:rsidR="00631775" w:rsidRPr="00631775">
        <w:rPr>
          <w:b/>
        </w:rPr>
        <w:t xml:space="preserve">sans contact et le paiement </w:t>
      </w:r>
      <w:r w:rsidRPr="00631775">
        <w:rPr>
          <w:b/>
        </w:rPr>
        <w:t>en pièces de monnaie</w:t>
      </w:r>
      <w:r>
        <w:t xml:space="preserve"> (</w:t>
      </w:r>
      <w:r w:rsidRPr="0063129C">
        <w:t>monnayeurs éle</w:t>
      </w:r>
      <w:r w:rsidR="00067EBF">
        <w:t>ctroniques rendeurs de monnaie)</w:t>
      </w:r>
      <w:r>
        <w:t>.</w:t>
      </w:r>
      <w:r w:rsidR="000F783D">
        <w:t xml:space="preserve"> A noter aussi que pour les distributeurs de boissons et denrées alimentaire, il est demandé que le paiement par carte titre restaurant </w:t>
      </w:r>
      <w:r w:rsidR="006A02C8">
        <w:t>(actuellement</w:t>
      </w:r>
      <w:r w:rsidR="000F783D">
        <w:t xml:space="preserve"> carte </w:t>
      </w:r>
      <w:r w:rsidR="00FB63DD">
        <w:t>S</w:t>
      </w:r>
      <w:r w:rsidR="000F783D">
        <w:t xml:space="preserve">wile pour le Mucem) soit accepté. </w:t>
      </w:r>
    </w:p>
    <w:p w14:paraId="0F27C5C0" w14:textId="67C34964" w:rsidR="008E09AF" w:rsidRPr="00086473" w:rsidRDefault="008E09AF" w:rsidP="00086473">
      <w:r w:rsidRPr="00086473">
        <w:t xml:space="preserve">Enfin, dans le cadre d’une démarche éco-responsable, le </w:t>
      </w:r>
      <w:r w:rsidR="00873D6B" w:rsidRPr="00086473">
        <w:t>Bénéficiaire</w:t>
      </w:r>
      <w:r w:rsidRPr="00086473">
        <w:t xml:space="preserve"> pourra proposer des distributeurs de boissons chaudes équipés de détecteurs de gobelets</w:t>
      </w:r>
      <w:r w:rsidR="00775441">
        <w:t xml:space="preserve"> en état de fonctionnement. </w:t>
      </w:r>
    </w:p>
    <w:p w14:paraId="03DA146C" w14:textId="4C7840E1" w:rsidR="008E09AF" w:rsidRPr="0063129C" w:rsidRDefault="008E09AF" w:rsidP="00962E94">
      <w:pPr>
        <w:pStyle w:val="Titre2"/>
      </w:pPr>
      <w:bookmarkStart w:id="131" w:name="_Ref201225257"/>
      <w:bookmarkStart w:id="132" w:name="_Toc201743773"/>
      <w:r w:rsidRPr="0063129C">
        <w:t xml:space="preserve">Détail de l’offre des </w:t>
      </w:r>
      <w:r w:rsidRPr="00962E94">
        <w:t>distributeurs</w:t>
      </w:r>
      <w:bookmarkEnd w:id="131"/>
      <w:bookmarkEnd w:id="132"/>
      <w:r w:rsidR="00FB63DD">
        <w:t xml:space="preserve"> </w:t>
      </w:r>
    </w:p>
    <w:p w14:paraId="604E1327" w14:textId="12E65933" w:rsidR="008E09AF" w:rsidRPr="005331AD" w:rsidRDefault="008E09AF" w:rsidP="008E09AF">
      <w:pPr>
        <w:overflowPunct/>
        <w:spacing w:after="0"/>
        <w:textAlignment w:val="auto"/>
        <w:rPr>
          <w:rFonts w:cs="Arial"/>
          <w:color w:val="000000"/>
        </w:rPr>
      </w:pPr>
      <w:r w:rsidRPr="005331AD">
        <w:rPr>
          <w:rFonts w:cs="Arial"/>
          <w:color w:val="000000"/>
        </w:rPr>
        <w:t xml:space="preserve">Le </w:t>
      </w:r>
      <w:r w:rsidR="00873D6B" w:rsidRPr="005331AD">
        <w:rPr>
          <w:rFonts w:cs="Arial"/>
          <w:color w:val="000000"/>
        </w:rPr>
        <w:t>Bénéficiaire</w:t>
      </w:r>
      <w:r w:rsidRPr="005331AD">
        <w:rPr>
          <w:rFonts w:cs="Arial"/>
          <w:color w:val="000000"/>
        </w:rPr>
        <w:t xml:space="preserve"> s’engage à fournir des produits variés et de qualité, conformes aux normes en vigueur. </w:t>
      </w:r>
    </w:p>
    <w:p w14:paraId="2E41A78B" w14:textId="77777777" w:rsidR="008E09AF" w:rsidRPr="005331AD" w:rsidRDefault="008E09AF" w:rsidP="008E09AF">
      <w:pPr>
        <w:overflowPunct/>
        <w:spacing w:after="0"/>
        <w:textAlignment w:val="auto"/>
        <w:rPr>
          <w:rFonts w:cs="Arial"/>
          <w:color w:val="000000"/>
          <w:sz w:val="12"/>
          <w:szCs w:val="12"/>
        </w:rPr>
      </w:pPr>
    </w:p>
    <w:p w14:paraId="27C55A50" w14:textId="7A068310" w:rsidR="008E09AF" w:rsidRPr="005331AD" w:rsidRDefault="008E09AF" w:rsidP="008E09AF">
      <w:pPr>
        <w:overflowPunct/>
        <w:spacing w:after="0"/>
        <w:textAlignment w:val="auto"/>
        <w:rPr>
          <w:rFonts w:cs="Arial"/>
          <w:color w:val="000000"/>
        </w:rPr>
      </w:pPr>
      <w:r w:rsidRPr="005331AD">
        <w:rPr>
          <w:rFonts w:cs="Arial"/>
          <w:color w:val="000000"/>
        </w:rPr>
        <w:t xml:space="preserve">Le </w:t>
      </w:r>
      <w:r w:rsidR="00873D6B" w:rsidRPr="005331AD">
        <w:rPr>
          <w:rFonts w:cs="Arial"/>
          <w:color w:val="000000"/>
        </w:rPr>
        <w:t>Bénéficiaire</w:t>
      </w:r>
      <w:r w:rsidRPr="005331AD">
        <w:rPr>
          <w:rFonts w:cs="Arial"/>
          <w:color w:val="000000"/>
        </w:rPr>
        <w:t xml:space="preserve"> propose des opérations ponctuelles, des nouveautés et la rotation de certains produits, afin de diversifier et dynamiser l’offre.  </w:t>
      </w:r>
    </w:p>
    <w:p w14:paraId="6A0B6548" w14:textId="77777777" w:rsidR="007A49A8" w:rsidRPr="005331AD" w:rsidRDefault="007A49A8" w:rsidP="008E09AF">
      <w:pPr>
        <w:overflowPunct/>
        <w:spacing w:after="0"/>
        <w:textAlignment w:val="auto"/>
        <w:rPr>
          <w:rFonts w:cs="Arial"/>
          <w:color w:val="000000"/>
        </w:rPr>
      </w:pPr>
    </w:p>
    <w:p w14:paraId="5239669A" w14:textId="0FF71E4F" w:rsidR="007A49A8" w:rsidRPr="005331AD" w:rsidRDefault="007A49A8" w:rsidP="008E09AF">
      <w:pPr>
        <w:overflowPunct/>
        <w:spacing w:after="0"/>
        <w:textAlignment w:val="auto"/>
        <w:rPr>
          <w:rFonts w:cs="Arial"/>
          <w:color w:val="000000"/>
        </w:rPr>
      </w:pPr>
      <w:r w:rsidRPr="005331AD">
        <w:rPr>
          <w:rFonts w:cs="Arial"/>
          <w:color w:val="000000"/>
        </w:rPr>
        <w:t xml:space="preserve">Dans les deux mois suivant son installation puis au minimum une fois par année d’exploitation, </w:t>
      </w:r>
      <w:r w:rsidRPr="005331AD">
        <w:rPr>
          <w:rFonts w:cs="Arial"/>
          <w:b/>
          <w:color w:val="000000"/>
        </w:rPr>
        <w:t xml:space="preserve">le </w:t>
      </w:r>
      <w:r w:rsidR="00873D6B" w:rsidRPr="005331AD">
        <w:rPr>
          <w:rFonts w:cs="Arial"/>
          <w:b/>
          <w:color w:val="000000"/>
        </w:rPr>
        <w:t>Bénéficiaire</w:t>
      </w:r>
      <w:r w:rsidRPr="005331AD">
        <w:rPr>
          <w:rFonts w:cs="Arial"/>
          <w:b/>
          <w:color w:val="000000"/>
        </w:rPr>
        <w:t xml:space="preserve"> doit procéder à une enquête de satisfaction auprès des agents du Mucem et de ses prestataires</w:t>
      </w:r>
      <w:r w:rsidRPr="005331AD">
        <w:rPr>
          <w:rFonts w:cs="Arial"/>
          <w:color w:val="000000"/>
        </w:rPr>
        <w:t xml:space="preserve">. Le </w:t>
      </w:r>
      <w:r w:rsidR="00873D6B" w:rsidRPr="005331AD">
        <w:rPr>
          <w:rFonts w:cs="Arial"/>
          <w:color w:val="000000"/>
        </w:rPr>
        <w:t>Bénéficiaire</w:t>
      </w:r>
      <w:r w:rsidRPr="005331AD">
        <w:rPr>
          <w:rFonts w:cs="Arial"/>
          <w:color w:val="000000"/>
        </w:rPr>
        <w:t xml:space="preserve"> s’engage à prendre en compte les résultats de cette enquête et à modifier ses prestations pour coller au plus près </w:t>
      </w:r>
      <w:r w:rsidR="00631775" w:rsidRPr="005331AD">
        <w:rPr>
          <w:rFonts w:cs="Arial"/>
          <w:color w:val="000000"/>
        </w:rPr>
        <w:t>aux</w:t>
      </w:r>
      <w:r w:rsidRPr="005331AD">
        <w:rPr>
          <w:rFonts w:cs="Arial"/>
          <w:color w:val="000000"/>
        </w:rPr>
        <w:t xml:space="preserve"> attentes des utilisateurs.</w:t>
      </w:r>
    </w:p>
    <w:p w14:paraId="79EBA89C" w14:textId="77777777" w:rsidR="007A49A8" w:rsidRPr="0063129C" w:rsidRDefault="007A49A8" w:rsidP="008E09AF">
      <w:pPr>
        <w:overflowPunct/>
        <w:spacing w:after="0"/>
        <w:textAlignment w:val="auto"/>
        <w:rPr>
          <w:rFonts w:ascii="Tahoma" w:hAnsi="Tahoma" w:cs="Tahoma"/>
          <w:color w:val="000000"/>
        </w:rPr>
      </w:pPr>
    </w:p>
    <w:p w14:paraId="31798FFA" w14:textId="29F8BCF7" w:rsidR="008E09AF" w:rsidRPr="0063129C" w:rsidRDefault="00FC62E6" w:rsidP="00086473">
      <w:r w:rsidRPr="00086473">
        <w:t xml:space="preserve">Quatre </w:t>
      </w:r>
      <w:r w:rsidR="008E09AF" w:rsidRPr="00086473">
        <w:t>catégories de produits</w:t>
      </w:r>
      <w:r w:rsidR="005331AD" w:rsidRPr="00086473">
        <w:t xml:space="preserve"> </w:t>
      </w:r>
      <w:r w:rsidR="00C846B3">
        <w:t>sont</w:t>
      </w:r>
      <w:r w:rsidR="008F3994">
        <w:t xml:space="preserve"> </w:t>
      </w:r>
      <w:r w:rsidRPr="00FC62E6">
        <w:t>proposé</w:t>
      </w:r>
      <w:r w:rsidR="00541C94">
        <w:t>e</w:t>
      </w:r>
      <w:r w:rsidRPr="00FC62E6">
        <w:t>s :</w:t>
      </w:r>
    </w:p>
    <w:p w14:paraId="3B4EC7B5" w14:textId="79035F7E" w:rsidR="008E09AF" w:rsidRPr="0063129C" w:rsidRDefault="008E09AF" w:rsidP="005331AD">
      <w:pPr>
        <w:pStyle w:val="Titre3"/>
      </w:pPr>
      <w:r w:rsidRPr="0063129C">
        <w:t>Boissons chaudes</w:t>
      </w:r>
    </w:p>
    <w:p w14:paraId="58503768" w14:textId="47489934" w:rsidR="008E09AF" w:rsidRPr="00086473" w:rsidRDefault="008E09AF" w:rsidP="008E09AF">
      <w:pPr>
        <w:overflowPunct/>
        <w:spacing w:after="0"/>
        <w:textAlignment w:val="auto"/>
        <w:rPr>
          <w:rFonts w:cs="Arial"/>
          <w:color w:val="000000"/>
        </w:rPr>
      </w:pPr>
      <w:r w:rsidRPr="00086473">
        <w:rPr>
          <w:rFonts w:cs="Arial"/>
          <w:color w:val="000000"/>
        </w:rPr>
        <w:t xml:space="preserve">Les distributeurs de boissons chaudes comprennent </w:t>
      </w:r>
      <w:r w:rsidR="008F28DF" w:rsidRPr="00086473">
        <w:rPr>
          <w:rFonts w:cs="Arial"/>
          <w:color w:val="000000"/>
        </w:rPr>
        <w:t xml:space="preserve">au minimum </w:t>
      </w:r>
      <w:r w:rsidRPr="00086473">
        <w:rPr>
          <w:rFonts w:cs="Arial"/>
          <w:color w:val="000000"/>
        </w:rPr>
        <w:t>du café moulu/torréfié et en grains, avec un choix a minima de café court, allongé, au lait ainsi qu’au moins un chocolat, une ou plusieurs variétés de thés (avec au moins un thé nature) et un potage.</w:t>
      </w:r>
    </w:p>
    <w:p w14:paraId="117366B4" w14:textId="77777777" w:rsidR="005331AD" w:rsidRPr="00086473" w:rsidRDefault="005331AD" w:rsidP="008E09AF">
      <w:pPr>
        <w:overflowPunct/>
        <w:spacing w:after="0"/>
        <w:textAlignment w:val="auto"/>
        <w:rPr>
          <w:rFonts w:cs="Arial"/>
          <w:color w:val="000000"/>
        </w:rPr>
      </w:pPr>
    </w:p>
    <w:p w14:paraId="447DD376" w14:textId="77777777" w:rsidR="008E09AF" w:rsidRPr="00086473" w:rsidRDefault="008E09AF" w:rsidP="008E09AF">
      <w:pPr>
        <w:overflowPunct/>
        <w:spacing w:after="0"/>
        <w:textAlignment w:val="auto"/>
        <w:rPr>
          <w:rFonts w:cs="Arial"/>
          <w:color w:val="000000"/>
        </w:rPr>
      </w:pPr>
      <w:r w:rsidRPr="00086473">
        <w:rPr>
          <w:rFonts w:cs="Arial"/>
          <w:color w:val="000000"/>
        </w:rPr>
        <w:t>Une gamme « supérieure » pourra également être proposée : cette dernière pourra comporter des boissons plus gourmandes ou en format XXL.</w:t>
      </w:r>
    </w:p>
    <w:p w14:paraId="1337B9AC" w14:textId="77777777" w:rsidR="005331AD" w:rsidRPr="00086473" w:rsidRDefault="005331AD" w:rsidP="008E09AF">
      <w:pPr>
        <w:overflowPunct/>
        <w:spacing w:after="0"/>
        <w:textAlignment w:val="auto"/>
        <w:rPr>
          <w:rFonts w:cs="Arial"/>
          <w:color w:val="000000"/>
        </w:rPr>
      </w:pPr>
    </w:p>
    <w:p w14:paraId="15E165DA" w14:textId="77777777" w:rsidR="008E09AF" w:rsidRPr="00086473" w:rsidRDefault="008E09AF" w:rsidP="008E09AF">
      <w:pPr>
        <w:overflowPunct/>
        <w:spacing w:after="0"/>
        <w:textAlignment w:val="auto"/>
        <w:rPr>
          <w:rFonts w:cs="Arial"/>
          <w:color w:val="000000"/>
        </w:rPr>
      </w:pPr>
      <w:r w:rsidRPr="00086473">
        <w:rPr>
          <w:rFonts w:cs="Arial"/>
          <w:color w:val="000000"/>
        </w:rPr>
        <w:t>Ces boissons doivent pouvoir être sélectionnées « sans sucre » par le consommateur.</w:t>
      </w:r>
    </w:p>
    <w:p w14:paraId="28191FE8" w14:textId="5BDAAA63" w:rsidR="008E09AF" w:rsidRPr="00CB7E23" w:rsidRDefault="008E09AF" w:rsidP="005331AD">
      <w:pPr>
        <w:pStyle w:val="Titre3"/>
      </w:pPr>
      <w:r w:rsidRPr="00CB7E23">
        <w:t>Boissons froides</w:t>
      </w:r>
    </w:p>
    <w:p w14:paraId="6EC78CED" w14:textId="3B233A5F" w:rsidR="005331AD" w:rsidRDefault="008E09AF" w:rsidP="005331AD">
      <w:pPr>
        <w:pStyle w:val="rNormal"/>
      </w:pPr>
      <w:r w:rsidRPr="00CB7E23">
        <w:t>Les distributeurs de boissons fraîches comprennent au minimum de l’eau minérale ou de source ainsi que notamment des boissons gazeuses, des boissons à l’eau aromatisée non gazeuses, des jus de fruits, des sodas, des boissons basses calories et éventuellement des produits laitiers à boire</w:t>
      </w:r>
    </w:p>
    <w:p w14:paraId="0EE7F786" w14:textId="51831FCF" w:rsidR="008E09AF" w:rsidRPr="00CB7E23" w:rsidRDefault="008E09AF" w:rsidP="005331AD">
      <w:pPr>
        <w:pStyle w:val="rNormal"/>
      </w:pPr>
      <w:r w:rsidRPr="00CB7E23">
        <w:t>L’ensemble des boissons demandées sont des boissons non alcoolisées. Pour des raisons de sécurité, elles ne peuvent pas être présentées dans des contenants en verre</w:t>
      </w:r>
      <w:r w:rsidR="00C846B3">
        <w:t>.</w:t>
      </w:r>
    </w:p>
    <w:p w14:paraId="11C2CBBC" w14:textId="29CD8446" w:rsidR="008E09AF" w:rsidRPr="00CB7E23" w:rsidRDefault="008E09AF" w:rsidP="005331AD">
      <w:pPr>
        <w:pStyle w:val="Titre3"/>
      </w:pPr>
      <w:r w:rsidRPr="00CB7E23">
        <w:t>Denrées alimentaires</w:t>
      </w:r>
    </w:p>
    <w:p w14:paraId="790E952E" w14:textId="77777777" w:rsidR="008E09AF" w:rsidRPr="00CB7E23" w:rsidRDefault="008E09AF" w:rsidP="005331AD">
      <w:pPr>
        <w:pStyle w:val="rNormal"/>
      </w:pPr>
      <w:r w:rsidRPr="00CB7E23">
        <w:t xml:space="preserve">Les distributeurs comprennent des produits salés, ainsi que des produits sucrés (confiseries, barres de céréales, barres de fruits, barres chocolatées, chewing-gum…), avec la possibilité d’avoir une offre de produits diététiques entrant dans la gamme « santé et nutrition » (pauvres en sucre et en matières grasses, et respectant l’équilibre nutritionnel des consommateurs). </w:t>
      </w:r>
    </w:p>
    <w:p w14:paraId="329A4A61" w14:textId="77777777" w:rsidR="005331AD" w:rsidRDefault="005331AD" w:rsidP="005331AD">
      <w:pPr>
        <w:pStyle w:val="rNormal"/>
      </w:pPr>
    </w:p>
    <w:p w14:paraId="5E0C727A" w14:textId="2E68251D" w:rsidR="008E09AF" w:rsidRPr="00CB7E23" w:rsidRDefault="008E09AF" w:rsidP="005331AD">
      <w:pPr>
        <w:pStyle w:val="rNormal"/>
      </w:pPr>
      <w:r w:rsidRPr="00CB7E23">
        <w:t>Ces distributeurs doivent égalem</w:t>
      </w:r>
      <w:r w:rsidR="005331AD">
        <w:t xml:space="preserve">ent proposer des produits frais </w:t>
      </w:r>
      <w:r w:rsidRPr="00CB7E23">
        <w:t>de type</w:t>
      </w:r>
      <w:r w:rsidR="005331AD">
        <w:t xml:space="preserve"> : </w:t>
      </w:r>
      <w:r w:rsidRPr="00CB7E23">
        <w:t>sandwich (au moins deux variétés), p</w:t>
      </w:r>
      <w:r w:rsidR="00981954">
        <w:t>âtes instantanées</w:t>
      </w:r>
      <w:r w:rsidRPr="00CB7E23">
        <w:t>,</w:t>
      </w:r>
      <w:r w:rsidR="00981954">
        <w:t xml:space="preserve"> plats préparés,</w:t>
      </w:r>
      <w:r w:rsidRPr="00CB7E23">
        <w:t xml:space="preserve"> wrap ou salades</w:t>
      </w:r>
      <w:r w:rsidR="008F3994">
        <w:t>, avec une option sans gluten</w:t>
      </w:r>
      <w:r w:rsidR="00981954">
        <w:t xml:space="preserve"> souhaitée. </w:t>
      </w:r>
    </w:p>
    <w:p w14:paraId="64242EE6" w14:textId="77777777" w:rsidR="005331AD" w:rsidRDefault="005331AD" w:rsidP="005331AD">
      <w:pPr>
        <w:pStyle w:val="rNormal"/>
      </w:pPr>
    </w:p>
    <w:p w14:paraId="2F06BCE6" w14:textId="7D67F03C" w:rsidR="008E09AF" w:rsidRDefault="008E09AF" w:rsidP="005331AD">
      <w:pPr>
        <w:pStyle w:val="rNormal"/>
        <w:rPr>
          <w:color w:val="000000"/>
        </w:rPr>
      </w:pPr>
      <w:r w:rsidRPr="00CB7E23">
        <w:t>Une offre issue du commerce équitable et/ou de l’agriculture biologique ser</w:t>
      </w:r>
      <w:r w:rsidR="006A5832">
        <w:t>a</w:t>
      </w:r>
      <w:r w:rsidR="00825F99">
        <w:t xml:space="preserve">it </w:t>
      </w:r>
      <w:r w:rsidRPr="00CB7E23">
        <w:t xml:space="preserve">appréciée. </w:t>
      </w:r>
      <w:r w:rsidRPr="00CB7E23">
        <w:rPr>
          <w:color w:val="000000"/>
        </w:rPr>
        <w:t>Le cas échéant, ces produits pourront être identifiés et mis en valeur dans les distributeurs.</w:t>
      </w:r>
    </w:p>
    <w:p w14:paraId="5E5FD211" w14:textId="1D0ACE37" w:rsidR="00E26E40" w:rsidRDefault="00E26E40" w:rsidP="005331AD">
      <w:pPr>
        <w:pStyle w:val="rNormal"/>
        <w:rPr>
          <w:color w:val="000000"/>
        </w:rPr>
      </w:pPr>
    </w:p>
    <w:p w14:paraId="689EB0D6" w14:textId="17782383" w:rsidR="00913936" w:rsidRDefault="00913936" w:rsidP="005331AD">
      <w:pPr>
        <w:pStyle w:val="rNormal"/>
        <w:rPr>
          <w:color w:val="000000"/>
        </w:rPr>
      </w:pPr>
      <w:r>
        <w:rPr>
          <w:color w:val="000000"/>
        </w:rPr>
        <w:t xml:space="preserve">Pour information, vous trouverez en annexe 1 de ce présent contrat les suggestions recensés auprès des agents du Mucem. </w:t>
      </w:r>
    </w:p>
    <w:p w14:paraId="640D556D" w14:textId="1C2AD782" w:rsidR="00D6727C" w:rsidRDefault="00631775" w:rsidP="005331AD">
      <w:pPr>
        <w:pStyle w:val="Titre3"/>
      </w:pPr>
      <w:r w:rsidRPr="00631775">
        <w:t>Produits d’hygiène</w:t>
      </w:r>
    </w:p>
    <w:p w14:paraId="1140AC44" w14:textId="46B0FC48" w:rsidR="00631775" w:rsidRPr="00631775" w:rsidRDefault="006A5832" w:rsidP="00631775">
      <w:r>
        <w:t>L</w:t>
      </w:r>
      <w:r w:rsidR="00631775" w:rsidRPr="00631775">
        <w:t xml:space="preserve">es distributeurs </w:t>
      </w:r>
      <w:r>
        <w:t xml:space="preserve">des produits d’hygiène </w:t>
      </w:r>
      <w:r w:rsidR="00631775">
        <w:t>devront</w:t>
      </w:r>
      <w:r w:rsidR="00631775" w:rsidRPr="00631775">
        <w:t xml:space="preserve"> proposer des produits </w:t>
      </w:r>
      <w:r>
        <w:t xml:space="preserve">tels que : </w:t>
      </w:r>
      <w:r w:rsidRPr="00825F99">
        <w:t>gel</w:t>
      </w:r>
      <w:r w:rsidR="00086473">
        <w:t>s</w:t>
      </w:r>
      <w:r w:rsidRPr="00825F99">
        <w:t xml:space="preserve"> hydroalcoolique</w:t>
      </w:r>
      <w:r w:rsidR="00086473">
        <w:t>s</w:t>
      </w:r>
      <w:r w:rsidRPr="00825F99">
        <w:t>, serviettes hygiéniques, tampons, mouchoirs</w:t>
      </w:r>
      <w:r w:rsidR="00306454">
        <w:t>, petites gourdes</w:t>
      </w:r>
      <w:r w:rsidR="00825F99">
        <w:t>,</w:t>
      </w:r>
      <w:r w:rsidRPr="00536C52">
        <w:t xml:space="preserve"> etc</w:t>
      </w:r>
      <w:r w:rsidR="00825F99">
        <w:t>.</w:t>
      </w:r>
      <w:r w:rsidRPr="00631775" w:rsidDel="006A5832">
        <w:t xml:space="preserve"> </w:t>
      </w:r>
    </w:p>
    <w:p w14:paraId="308986B1" w14:textId="77777777" w:rsidR="008E09AF" w:rsidRPr="00FA0F71" w:rsidRDefault="008E09AF" w:rsidP="007A49A8">
      <w:pPr>
        <w:pStyle w:val="Titre2"/>
      </w:pPr>
      <w:bookmarkStart w:id="133" w:name="_Ref201225234"/>
      <w:bookmarkStart w:id="134" w:name="_Toc201743774"/>
      <w:r>
        <w:t>Période d’exploitation/</w:t>
      </w:r>
      <w:r w:rsidRPr="007A49A8">
        <w:t>approvisionnement</w:t>
      </w:r>
      <w:r>
        <w:t xml:space="preserve"> des produits</w:t>
      </w:r>
      <w:bookmarkEnd w:id="133"/>
      <w:bookmarkEnd w:id="134"/>
    </w:p>
    <w:p w14:paraId="2701048D" w14:textId="77777777" w:rsidR="008E09AF" w:rsidRDefault="008E09AF" w:rsidP="008E09AF">
      <w:r>
        <w:t>Les distributeurs automatiques alimentaires doivent être en état de fonctionnement 24 heures sur 24, 7 jours sur 7.</w:t>
      </w:r>
    </w:p>
    <w:p w14:paraId="6D185D4D" w14:textId="752A4E8F" w:rsidR="008E09AF" w:rsidRDefault="008E09AF" w:rsidP="008E09AF">
      <w:pPr>
        <w:overflowPunct/>
        <w:spacing w:after="0"/>
        <w:textAlignment w:val="auto"/>
      </w:pPr>
      <w:r w:rsidRPr="00CB7E23">
        <w:t xml:space="preserve">Le Mucem s’engage à informer le </w:t>
      </w:r>
      <w:r w:rsidR="00873D6B">
        <w:t>Bénéficiaire</w:t>
      </w:r>
      <w:r w:rsidRPr="00CB7E23">
        <w:t xml:space="preserve">, dès qu’il en a connaissance, de toute anomalie sur les appareils. Le </w:t>
      </w:r>
      <w:r w:rsidR="00873D6B">
        <w:t>Bénéficiaire</w:t>
      </w:r>
      <w:r w:rsidRPr="00CB7E23">
        <w:t xml:space="preserve"> s’engage à y remédier dans les délais indiqués ci-dessous :</w:t>
      </w:r>
    </w:p>
    <w:p w14:paraId="5AC04922" w14:textId="3ACDF368" w:rsidR="008E09AF" w:rsidRDefault="00875AE3" w:rsidP="005331AD">
      <w:pPr>
        <w:pStyle w:val="Listepuces"/>
      </w:pPr>
      <w:r>
        <w:t>En</w:t>
      </w:r>
      <w:r w:rsidR="008E09AF">
        <w:t xml:space="preserve"> cas de panne signalée, l’</w:t>
      </w:r>
      <w:r w:rsidR="008231F9">
        <w:t>Occupant</w:t>
      </w:r>
      <w:r w:rsidR="008E09AF">
        <w:t xml:space="preserve"> assure une intervention rapide sur le site et </w:t>
      </w:r>
      <w:r w:rsidR="008E09AF" w:rsidRPr="001E52C0">
        <w:t>dans un délai maximum de 24 heures</w:t>
      </w:r>
      <w:r w:rsidR="008E09AF">
        <w:t xml:space="preserve">. </w:t>
      </w:r>
    </w:p>
    <w:p w14:paraId="1DC2886D" w14:textId="2BA94017" w:rsidR="008E09AF" w:rsidRPr="00CB7E23" w:rsidRDefault="00875AE3" w:rsidP="005331AD">
      <w:pPr>
        <w:pStyle w:val="Listepuces"/>
      </w:pPr>
      <w:r>
        <w:t>En</w:t>
      </w:r>
      <w:r w:rsidR="008E09AF">
        <w:t xml:space="preserve"> cas d’immobilisation prolongée (72 heures), l’</w:t>
      </w:r>
      <w:r w:rsidR="008231F9">
        <w:t>Occupant</w:t>
      </w:r>
      <w:r w:rsidR="008E09AF">
        <w:t xml:space="preserve"> </w:t>
      </w:r>
      <w:r w:rsidR="008E09AF" w:rsidRPr="00CB7E23">
        <w:t>s’engage à proposer une solution alternative et, le cas échéant, à procéder au remplacement de l’appareil défectueux.</w:t>
      </w:r>
    </w:p>
    <w:p w14:paraId="4AF886BA" w14:textId="77777777" w:rsidR="008E09AF" w:rsidRPr="007F76E6" w:rsidRDefault="008E09AF" w:rsidP="008E09AF">
      <w:pPr>
        <w:pStyle w:val="Listepuces2"/>
        <w:numPr>
          <w:ilvl w:val="0"/>
          <w:numId w:val="0"/>
        </w:numPr>
        <w:spacing w:after="0"/>
        <w:ind w:left="1276"/>
        <w:rPr>
          <w:sz w:val="12"/>
          <w:szCs w:val="12"/>
        </w:rPr>
      </w:pPr>
    </w:p>
    <w:p w14:paraId="580AE631" w14:textId="0F4A9394" w:rsidR="008E09AF" w:rsidRPr="00F0435B" w:rsidRDefault="008E09AF" w:rsidP="005331AD">
      <w:r>
        <w:t xml:space="preserve">Les agents du </w:t>
      </w:r>
      <w:r w:rsidR="00873D6B">
        <w:t>Bénéficiaire</w:t>
      </w:r>
      <w:r>
        <w:t xml:space="preserve"> doivent porter un signe distinctif permettant de les identifier sans ambigüité possible. Ils doivent signaler leur présence à </w:t>
      </w:r>
      <w:r w:rsidRPr="00CB7E23">
        <w:t>l’accueil administratif du musée avant toute intervention. Le Mucem délivre un badge d’accès qui doit être porté et visible à tout moment. Ce badge reste la propriété du Mucem, il doit être restitué sur demande et, dans tous les cas, au moment du départ selon la procédure mise en place par le Mucem.</w:t>
      </w:r>
    </w:p>
    <w:p w14:paraId="352DD392" w14:textId="49629F9B" w:rsidR="008E09AF" w:rsidRDefault="008E09AF" w:rsidP="005331AD">
      <w:r w:rsidRPr="00283C57">
        <w:t>L’</w:t>
      </w:r>
      <w:r w:rsidR="008231F9">
        <w:t>Occupant</w:t>
      </w:r>
      <w:r w:rsidRPr="00283C57">
        <w:t xml:space="preserve"> prévoit une procédure en cas de dysfonctionnement (numéro d’appel) ainsi que la mise en place d’un système de remboursement (interlocuteur nommé avec n° de téléphonie, adresse courriel).</w:t>
      </w:r>
    </w:p>
    <w:p w14:paraId="3A1A65DA" w14:textId="77777777" w:rsidR="008E09AF" w:rsidRDefault="008E09AF" w:rsidP="005331AD">
      <w:r w:rsidRPr="00283C57">
        <w:t xml:space="preserve">L’approvisionnement des produits se fera de façon à éviter les ruptures de stocks, </w:t>
      </w:r>
      <w:r>
        <w:t>au minimum deux fois par semaine</w:t>
      </w:r>
      <w:r w:rsidRPr="00283C57">
        <w:t>. Ces approvisionnements se feront au moyen de véhicules adaptés, répondant à la législation en vigueur pour le tran</w:t>
      </w:r>
      <w:r>
        <w:t>sport des produits de ce type.</w:t>
      </w:r>
    </w:p>
    <w:p w14:paraId="21C21F8F" w14:textId="6339647B" w:rsidR="008E09AF" w:rsidRDefault="008E09AF" w:rsidP="005331AD">
      <w:r>
        <w:t>En cours d’exploitation, l’</w:t>
      </w:r>
      <w:r w:rsidR="008231F9">
        <w:t>Occupant</w:t>
      </w:r>
      <w:r>
        <w:t xml:space="preserve"> ne peut retirer de la vente des produits alimentaires y compris dans son offre initiale sans avoir obtenu l’acceptation du Mucem. Il propose, le cas échéant, la commercialisation d’un produit alimentaire, assorti d’un tarif appliqué à l’usager.</w:t>
      </w:r>
    </w:p>
    <w:p w14:paraId="2F416FBE" w14:textId="7F591818" w:rsidR="008E09AF" w:rsidRDefault="008E09AF" w:rsidP="005331AD">
      <w:r w:rsidRPr="00060E37">
        <w:lastRenderedPageBreak/>
        <w:t>En cas de disparition d’un produit alimentaire (cessation de fabrication par le fournisseur par exemple), l’</w:t>
      </w:r>
      <w:r w:rsidR="008231F9">
        <w:t>Occupant</w:t>
      </w:r>
      <w:r w:rsidRPr="00060E37">
        <w:t xml:space="preserve"> propose un produit de substitution aux qualités, gammes et tarif similaires.</w:t>
      </w:r>
    </w:p>
    <w:p w14:paraId="5996B238" w14:textId="77777777" w:rsidR="005331AD" w:rsidRDefault="005331AD" w:rsidP="008E09AF"/>
    <w:p w14:paraId="7C6887BD" w14:textId="618F82B8" w:rsidR="008E09AF" w:rsidRDefault="008E09AF" w:rsidP="008E09AF">
      <w:r w:rsidRPr="00060E37">
        <w:t>L</w:t>
      </w:r>
      <w:r w:rsidR="005331AD">
        <w:t>e Bénéficiaire</w:t>
      </w:r>
      <w:r w:rsidRPr="00060E37">
        <w:t xml:space="preserve"> peut, en cours d’exploitation, proposer de nouveaux produits alimentaires après avoir auparavant</w:t>
      </w:r>
      <w:r>
        <w:t xml:space="preserve"> obtenu l’agrément du Mucem.</w:t>
      </w:r>
      <w:r w:rsidRPr="00060E37">
        <w:t xml:space="preserve">   </w:t>
      </w:r>
    </w:p>
    <w:p w14:paraId="512C54F2" w14:textId="75F5FC17" w:rsidR="008E09AF" w:rsidRDefault="008E09AF" w:rsidP="008E09AF">
      <w:r>
        <w:t xml:space="preserve">Le </w:t>
      </w:r>
      <w:r w:rsidR="00873D6B">
        <w:t>Bénéficiaire</w:t>
      </w:r>
      <w:r>
        <w:t xml:space="preserve"> s’engage à ne placer dans les distributeurs que des produits de première qualité et conformes à la législation en vigueur et dont la date limite de conservation (DLC) n’est pas dépassée. En cas de produit présent dans un distributeur et dont la DLC serait dépassée, le </w:t>
      </w:r>
      <w:r w:rsidR="00873D6B">
        <w:t>Bénéficiaire</w:t>
      </w:r>
      <w:r>
        <w:t xml:space="preserve"> encourt des pénalités </w:t>
      </w:r>
      <w:r w:rsidRPr="006D3008">
        <w:t>prévues à l’</w:t>
      </w:r>
      <w:r w:rsidRPr="005331AD">
        <w:rPr>
          <w:b/>
          <w:i/>
          <w:color w:val="595959" w:themeColor="text1" w:themeTint="A6"/>
        </w:rPr>
        <w:t xml:space="preserve">article </w:t>
      </w:r>
      <w:r w:rsidR="005331AD" w:rsidRPr="005331AD">
        <w:rPr>
          <w:b/>
          <w:i/>
          <w:color w:val="595959" w:themeColor="text1" w:themeTint="A6"/>
        </w:rPr>
        <w:fldChar w:fldCharType="begin"/>
      </w:r>
      <w:r w:rsidR="005331AD" w:rsidRPr="005331AD">
        <w:rPr>
          <w:b/>
          <w:i/>
          <w:color w:val="595959" w:themeColor="text1" w:themeTint="A6"/>
        </w:rPr>
        <w:instrText xml:space="preserve"> REF _Ref42783814 \r \h  \* MERGEFORMAT </w:instrText>
      </w:r>
      <w:r w:rsidR="005331AD" w:rsidRPr="005331AD">
        <w:rPr>
          <w:b/>
          <w:i/>
          <w:color w:val="595959" w:themeColor="text1" w:themeTint="A6"/>
        </w:rPr>
      </w:r>
      <w:r w:rsidR="005331AD" w:rsidRPr="005331AD">
        <w:rPr>
          <w:b/>
          <w:i/>
          <w:color w:val="595959" w:themeColor="text1" w:themeTint="A6"/>
        </w:rPr>
        <w:fldChar w:fldCharType="separate"/>
      </w:r>
      <w:r w:rsidR="00813D99">
        <w:rPr>
          <w:b/>
          <w:i/>
          <w:color w:val="595959" w:themeColor="text1" w:themeTint="A6"/>
        </w:rPr>
        <w:t>17.3</w:t>
      </w:r>
      <w:r w:rsidR="005331AD" w:rsidRPr="005331AD">
        <w:rPr>
          <w:b/>
          <w:i/>
          <w:color w:val="595959" w:themeColor="text1" w:themeTint="A6"/>
        </w:rPr>
        <w:fldChar w:fldCharType="end"/>
      </w:r>
      <w:r w:rsidRPr="005331AD">
        <w:rPr>
          <w:b/>
          <w:i/>
          <w:color w:val="595959" w:themeColor="text1" w:themeTint="A6"/>
        </w:rPr>
        <w:t xml:space="preserve"> de la présente convention</w:t>
      </w:r>
      <w:r>
        <w:t>.</w:t>
      </w:r>
    </w:p>
    <w:p w14:paraId="2CC3A859" w14:textId="6FFB005B" w:rsidR="008E09AF" w:rsidRPr="00CB7E23" w:rsidRDefault="008E09AF" w:rsidP="008E09AF">
      <w:r w:rsidRPr="00CB7E23">
        <w:t xml:space="preserve">Les vérifications, réapprovisionnements s’effectueront du lundi au </w:t>
      </w:r>
      <w:r w:rsidR="00FC62E6">
        <w:t>samedi</w:t>
      </w:r>
      <w:r w:rsidRPr="00CB7E23">
        <w:t>, pendant les horaires suivants :</w:t>
      </w:r>
    </w:p>
    <w:p w14:paraId="691E2F67" w14:textId="268C7DD3" w:rsidR="008E09AF" w:rsidRPr="00CB7E23" w:rsidRDefault="00086473" w:rsidP="005331AD">
      <w:pPr>
        <w:pStyle w:val="Listepuces"/>
      </w:pPr>
      <w:r w:rsidRPr="00CB7E23">
        <w:t>Entre</w:t>
      </w:r>
      <w:r w:rsidR="008E09AF" w:rsidRPr="00CB7E23">
        <w:t xml:space="preserve"> 08h et 17h pour les distributeurs à destination du personnel ;</w:t>
      </w:r>
    </w:p>
    <w:p w14:paraId="460D70CA" w14:textId="50C8D1D0" w:rsidR="008E09AF" w:rsidRPr="00CB7E23" w:rsidRDefault="00086473" w:rsidP="005331AD">
      <w:pPr>
        <w:pStyle w:val="Listepuces"/>
      </w:pPr>
      <w:r w:rsidRPr="00CB7E23">
        <w:t>Entre</w:t>
      </w:r>
      <w:r w:rsidR="008E09AF" w:rsidRPr="00CB7E23">
        <w:t xml:space="preserve"> 08h et 11h pour les distributeurs à destination des visiteurs.</w:t>
      </w:r>
    </w:p>
    <w:p w14:paraId="0CACBE37" w14:textId="77777777" w:rsidR="008E09AF" w:rsidRDefault="008E09AF" w:rsidP="007A49A8">
      <w:pPr>
        <w:pStyle w:val="Titre2"/>
      </w:pPr>
      <w:bookmarkStart w:id="135" w:name="_Toc473106098"/>
      <w:bookmarkStart w:id="136" w:name="_Toc201743775"/>
      <w:r>
        <w:t>Hygiène et sécurité</w:t>
      </w:r>
      <w:bookmarkEnd w:id="135"/>
      <w:bookmarkEnd w:id="136"/>
    </w:p>
    <w:p w14:paraId="5A0A0CBC" w14:textId="4EA02B41" w:rsidR="008E09AF" w:rsidRDefault="008E09AF" w:rsidP="008E09AF">
      <w:r>
        <w:t xml:space="preserve">Les appareils </w:t>
      </w:r>
      <w:r w:rsidRPr="00CB7E23">
        <w:t xml:space="preserve">et équipements inhérents à l’activité du </w:t>
      </w:r>
      <w:r w:rsidR="00873D6B">
        <w:t>Bénéficiaire</w:t>
      </w:r>
      <w:r w:rsidRPr="00CB7E23">
        <w:t xml:space="preserve"> seront très régulièrement nettoyés et désinfectés, par ses soins et à ses frais, permettant</w:t>
      </w:r>
      <w:r>
        <w:t xml:space="preserve"> de garantir aux consommateurs une hygiène permanente.</w:t>
      </w:r>
    </w:p>
    <w:p w14:paraId="4E977072" w14:textId="71A82EF5" w:rsidR="008E09AF" w:rsidRDefault="008E09AF" w:rsidP="008E09AF">
      <w:r>
        <w:t>L’</w:t>
      </w:r>
      <w:r w:rsidR="005331AD">
        <w:t>O</w:t>
      </w:r>
      <w:r>
        <w:t>ccupant doit se conformer à la règlementation en vigueur pour ce qui concerne sa profession. Il doit se pourvoir des autorisations nécessaires et accomplir lui-même les formalités administratives et les contrôles d’hygiène et de sécurité afférents à son activité. Il doit si nécessaire se conformer à la réglementation en vigueur sur les dépôts de matières dangereuses.</w:t>
      </w:r>
    </w:p>
    <w:p w14:paraId="22C1B1B0" w14:textId="77777777" w:rsidR="008E09AF" w:rsidRDefault="008E09AF" w:rsidP="008E09AF">
      <w:r>
        <w:t>Il doit notamment respecter l’ensemble des règlements relatifs à :</w:t>
      </w:r>
    </w:p>
    <w:p w14:paraId="7BCA7278" w14:textId="5706905C" w:rsidR="008E09AF" w:rsidRDefault="00875AE3" w:rsidP="00004754">
      <w:pPr>
        <w:pStyle w:val="Listepuces"/>
      </w:pPr>
      <w:r>
        <w:t>La</w:t>
      </w:r>
      <w:r w:rsidR="008E09AF">
        <w:t xml:space="preserve"> sécurité des denrées alimentaires, l’hygiène de tous types de denrées alimentaires, aux critères microbiologiques applicables aux denrées alimentaires, etc. ;</w:t>
      </w:r>
    </w:p>
    <w:p w14:paraId="20965504" w14:textId="08BA117C" w:rsidR="008E09AF" w:rsidRDefault="00875AE3" w:rsidP="00004754">
      <w:pPr>
        <w:pStyle w:val="Listepuces"/>
      </w:pPr>
      <w:r>
        <w:t>La</w:t>
      </w:r>
      <w:r w:rsidR="008E09AF">
        <w:t xml:space="preserve"> maîtrise du stockage de toutes les denrées alimentaires ;</w:t>
      </w:r>
    </w:p>
    <w:p w14:paraId="424831D3" w14:textId="00EF5193" w:rsidR="008E09AF" w:rsidRDefault="00875AE3" w:rsidP="00004754">
      <w:pPr>
        <w:pStyle w:val="Listepuces"/>
      </w:pPr>
      <w:r>
        <w:t>La</w:t>
      </w:r>
      <w:r w:rsidR="008E09AF">
        <w:t xml:space="preserve"> maîtrise du transport de toutes les denrées alimentaires ;</w:t>
      </w:r>
    </w:p>
    <w:p w14:paraId="66AC4E68" w14:textId="75167732" w:rsidR="008E09AF" w:rsidRDefault="00875AE3" w:rsidP="00004754">
      <w:pPr>
        <w:pStyle w:val="Listepuces"/>
      </w:pPr>
      <w:r>
        <w:t>La</w:t>
      </w:r>
      <w:r w:rsidR="008E09AF">
        <w:t xml:space="preserve"> maîtrise de l’étiquetage ;</w:t>
      </w:r>
    </w:p>
    <w:p w14:paraId="7B48D50D" w14:textId="4AD3107B" w:rsidR="008E09AF" w:rsidRDefault="00875AE3" w:rsidP="00004754">
      <w:pPr>
        <w:pStyle w:val="Listepuces"/>
      </w:pPr>
      <w:r>
        <w:t>Aux</w:t>
      </w:r>
      <w:r w:rsidR="008E09AF">
        <w:t xml:space="preserve"> matières premières.</w:t>
      </w:r>
    </w:p>
    <w:p w14:paraId="34225BCB" w14:textId="6259C4B8" w:rsidR="008E09AF" w:rsidRDefault="008E09AF" w:rsidP="008E09AF">
      <w:r>
        <w:t>Il doit également disposer d’un agrément sanitaire délivré</w:t>
      </w:r>
      <w:r w:rsidR="00004754">
        <w:t xml:space="preserve"> par les services vétérinaires.</w:t>
      </w:r>
    </w:p>
    <w:p w14:paraId="25284F31" w14:textId="5C1E5EBE" w:rsidR="008E09AF" w:rsidRDefault="008E09AF" w:rsidP="008E09AF">
      <w:r>
        <w:t xml:space="preserve">Le </w:t>
      </w:r>
      <w:r w:rsidR="00873D6B">
        <w:t>Bénéficiaire</w:t>
      </w:r>
      <w:r>
        <w:t xml:space="preserve"> doit être en mesure de produire sur simple demande tout ou partie des documents </w:t>
      </w:r>
      <w:r w:rsidRPr="00CB7E23">
        <w:t>nécessaires au contrôle de son activité</w:t>
      </w:r>
      <w:r>
        <w:t xml:space="preserve"> (compte-rendu, certificats…).</w:t>
      </w:r>
    </w:p>
    <w:p w14:paraId="1672D97A" w14:textId="77777777" w:rsidR="008E09AF" w:rsidRDefault="008E09AF" w:rsidP="007A49A8">
      <w:pPr>
        <w:pStyle w:val="Titre2"/>
      </w:pPr>
      <w:bookmarkStart w:id="137" w:name="_Toc473106099"/>
      <w:bookmarkStart w:id="138" w:name="_Toc201743776"/>
      <w:r>
        <w:t xml:space="preserve">Charges de </w:t>
      </w:r>
      <w:r w:rsidRPr="007A49A8">
        <w:t>fonctionnement</w:t>
      </w:r>
      <w:r>
        <w:t xml:space="preserve"> liées à l’exploitation.</w:t>
      </w:r>
      <w:bookmarkEnd w:id="137"/>
      <w:bookmarkEnd w:id="138"/>
    </w:p>
    <w:p w14:paraId="4F0DEC85" w14:textId="1425950A" w:rsidR="008E09AF" w:rsidRDefault="008E09AF" w:rsidP="008E09AF">
      <w:r w:rsidRPr="00CB7E23">
        <w:t xml:space="preserve">Le Mucem s’engage à fournir au </w:t>
      </w:r>
      <w:r w:rsidR="00873D6B">
        <w:t>Bénéficiaire</w:t>
      </w:r>
      <w:r w:rsidRPr="00CB7E23">
        <w:t xml:space="preserve"> les arrivées d’eau et d’électricité nécessaires à son exploitation.</w:t>
      </w:r>
    </w:p>
    <w:p w14:paraId="643783EE" w14:textId="77777777" w:rsidR="008E09AF" w:rsidRPr="006B5A73" w:rsidRDefault="008E09AF" w:rsidP="008E09AF">
      <w:pPr>
        <w:rPr>
          <w:strike/>
        </w:rPr>
      </w:pPr>
      <w:r w:rsidRPr="005107E4">
        <w:t>Les dépenses de fonctionnement suivantes liées à l’exploitation : nettoyage courant des sols des espaces accueillant</w:t>
      </w:r>
      <w:r>
        <w:t xml:space="preserve"> les distributeurs, électricité et</w:t>
      </w:r>
      <w:r w:rsidRPr="005107E4">
        <w:t xml:space="preserve"> eau sont prises en charge par </w:t>
      </w:r>
      <w:r>
        <w:t>le Mucem</w:t>
      </w:r>
      <w:r w:rsidRPr="006B5A73">
        <w:t xml:space="preserve">. </w:t>
      </w:r>
    </w:p>
    <w:p w14:paraId="40CD2497" w14:textId="77777777" w:rsidR="008E09AF" w:rsidRDefault="008E09AF" w:rsidP="007A49A8">
      <w:pPr>
        <w:pStyle w:val="Titre2"/>
      </w:pPr>
      <w:bookmarkStart w:id="139" w:name="_Toc473106100"/>
      <w:bookmarkStart w:id="140" w:name="_Toc201743777"/>
      <w:r>
        <w:t xml:space="preserve">Publicité et </w:t>
      </w:r>
      <w:r w:rsidRPr="007A49A8">
        <w:t>promotion</w:t>
      </w:r>
      <w:bookmarkEnd w:id="139"/>
      <w:bookmarkEnd w:id="140"/>
    </w:p>
    <w:p w14:paraId="19019A9C" w14:textId="00D35756" w:rsidR="008E09AF" w:rsidRDefault="008E09AF" w:rsidP="008E09AF">
      <w:r>
        <w:t xml:space="preserve">Le </w:t>
      </w:r>
      <w:r w:rsidR="00873D6B">
        <w:t>Bénéficiaire</w:t>
      </w:r>
      <w:r>
        <w:t xml:space="preserve"> n’appose aucune publicité sur les appareils sans l’accord préalable et exprès du Mucem.</w:t>
      </w:r>
    </w:p>
    <w:p w14:paraId="6D951FC5" w14:textId="46CA2248" w:rsidR="008E09AF" w:rsidRDefault="008E09AF" w:rsidP="008E09AF">
      <w:r>
        <w:t xml:space="preserve">Dans le cadre de la présente convention, le </w:t>
      </w:r>
      <w:r w:rsidR="00873D6B">
        <w:t>Bénéficiaire</w:t>
      </w:r>
      <w:r>
        <w:t xml:space="preserve"> peut effectuer des opérations de promotion </w:t>
      </w:r>
      <w:r w:rsidRPr="00CB7E23">
        <w:t>sur certains produits alimentaires</w:t>
      </w:r>
      <w:r>
        <w:t xml:space="preserve">, après accord du Mucem. </w:t>
      </w:r>
    </w:p>
    <w:p w14:paraId="0CF0C540" w14:textId="77777777" w:rsidR="008E09AF" w:rsidRDefault="008E09AF" w:rsidP="007A49A8">
      <w:pPr>
        <w:pStyle w:val="Titre2"/>
      </w:pPr>
      <w:bookmarkStart w:id="141" w:name="_Toc473106101"/>
      <w:bookmarkStart w:id="142" w:name="_Ref201225420"/>
      <w:bookmarkStart w:id="143" w:name="_Ref201225432"/>
      <w:bookmarkStart w:id="144" w:name="_Toc201743778"/>
      <w:r>
        <w:t xml:space="preserve">Prestations </w:t>
      </w:r>
      <w:r w:rsidRPr="00CB7E23">
        <w:t>complémentaires</w:t>
      </w:r>
      <w:bookmarkEnd w:id="141"/>
      <w:r w:rsidRPr="00CB7E23">
        <w:t xml:space="preserve"> : </w:t>
      </w:r>
      <w:r w:rsidRPr="007A49A8">
        <w:t>statistiques</w:t>
      </w:r>
      <w:r w:rsidRPr="00CB7E23">
        <w:t xml:space="preserve"> et analyse des CA</w:t>
      </w:r>
      <w:bookmarkEnd w:id="142"/>
      <w:bookmarkEnd w:id="143"/>
      <w:bookmarkEnd w:id="144"/>
    </w:p>
    <w:p w14:paraId="4C567AE0" w14:textId="53920C28" w:rsidR="00631775" w:rsidRPr="00631775" w:rsidRDefault="00631775" w:rsidP="00631775">
      <w:r w:rsidRPr="00631775">
        <w:t xml:space="preserve">Le </w:t>
      </w:r>
      <w:r w:rsidR="00873D6B">
        <w:t>Bénéficiaire</w:t>
      </w:r>
      <w:r w:rsidRPr="00631775">
        <w:t xml:space="preserve"> s’engage à fournir obligatoirement au Mucem les documents mentionnés ci-dessous, selon le calendrier suivant :</w:t>
      </w:r>
    </w:p>
    <w:p w14:paraId="005A7778" w14:textId="1BE6A7AA" w:rsidR="00631775" w:rsidRDefault="00875AE3" w:rsidP="00004754">
      <w:pPr>
        <w:pStyle w:val="Listepuces"/>
      </w:pPr>
      <w:r w:rsidRPr="00631775">
        <w:t>Un</w:t>
      </w:r>
      <w:r w:rsidR="00631775" w:rsidRPr="00631775">
        <w:t xml:space="preserve"> relevé des chiffres d’affaires HT réalisés au premier euro, par espace et distributeur</w:t>
      </w:r>
      <w:r w:rsidR="00631775">
        <w:t>,</w:t>
      </w:r>
    </w:p>
    <w:p w14:paraId="7E0B7BFE" w14:textId="712DD79E" w:rsidR="00631775" w:rsidRPr="00631775" w:rsidRDefault="00875AE3" w:rsidP="00004754">
      <w:pPr>
        <w:pStyle w:val="Listepuces"/>
      </w:pPr>
      <w:r w:rsidRPr="00631775">
        <w:t>Un</w:t>
      </w:r>
      <w:r w:rsidR="00631775" w:rsidRPr="00631775">
        <w:t xml:space="preserve"> tableau de synthèse annuel des statistiques de consommation des produits par espace et distributeur en distinguant ceux des visiteurs et ceux du personnel.</w:t>
      </w:r>
    </w:p>
    <w:p w14:paraId="19A0BEF4" w14:textId="77777777" w:rsidR="00631775" w:rsidRPr="00631775" w:rsidRDefault="00631775" w:rsidP="00631775"/>
    <w:p w14:paraId="46CA5DE6" w14:textId="35772F71" w:rsidR="00631775" w:rsidRPr="00631775" w:rsidRDefault="00004754" w:rsidP="00631775">
      <w:r>
        <w:t xml:space="preserve">Les documents devront être </w:t>
      </w:r>
      <w:r w:rsidR="00631775" w:rsidRPr="00631775">
        <w:t>certifiés par un expert-comptable ou visé</w:t>
      </w:r>
      <w:r w:rsidR="00631775">
        <w:t>s</w:t>
      </w:r>
      <w:r w:rsidR="00631775" w:rsidRPr="00631775">
        <w:t xml:space="preserve"> par un commissaire aux comptes, faisant apparaitre clairement les éléments nécessaires au contrôle de l’assiette du chiffre d'affaires réalisé et notamment le détail des recettes de l’exploitation.</w:t>
      </w:r>
    </w:p>
    <w:p w14:paraId="5C81106D" w14:textId="77777777" w:rsidR="00631775" w:rsidRPr="00631775" w:rsidRDefault="00631775" w:rsidP="00631775"/>
    <w:tbl>
      <w:tblPr>
        <w:tblW w:w="0" w:type="auto"/>
        <w:tblCellMar>
          <w:left w:w="0" w:type="dxa"/>
          <w:right w:w="0" w:type="dxa"/>
        </w:tblCellMar>
        <w:tblLook w:val="04A0" w:firstRow="1" w:lastRow="0" w:firstColumn="1" w:lastColumn="0" w:noHBand="0" w:noVBand="1"/>
      </w:tblPr>
      <w:tblGrid>
        <w:gridCol w:w="4531"/>
        <w:gridCol w:w="4531"/>
      </w:tblGrid>
      <w:tr w:rsidR="00631775" w:rsidRPr="00004754" w14:paraId="47EAFC9B" w14:textId="77777777" w:rsidTr="00004754">
        <w:tc>
          <w:tcPr>
            <w:tcW w:w="453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5E601790" w14:textId="77777777" w:rsidR="00631775" w:rsidRPr="00004754" w:rsidRDefault="00631775" w:rsidP="00004754">
            <w:pPr>
              <w:jc w:val="center"/>
              <w:rPr>
                <w:b/>
              </w:rPr>
            </w:pPr>
            <w:r w:rsidRPr="00004754">
              <w:rPr>
                <w:b/>
              </w:rPr>
              <w:t>Date butoir pour la remise des documents</w:t>
            </w:r>
          </w:p>
        </w:tc>
        <w:tc>
          <w:tcPr>
            <w:tcW w:w="4531"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774D3B8" w14:textId="77777777" w:rsidR="00631775" w:rsidRPr="00004754" w:rsidRDefault="00631775" w:rsidP="00004754">
            <w:pPr>
              <w:jc w:val="center"/>
              <w:rPr>
                <w:b/>
              </w:rPr>
            </w:pPr>
            <w:r w:rsidRPr="00004754">
              <w:rPr>
                <w:b/>
              </w:rPr>
              <w:t>Période concernée</w:t>
            </w:r>
          </w:p>
        </w:tc>
      </w:tr>
      <w:tr w:rsidR="00631775" w:rsidRPr="00631775" w14:paraId="5A91D791" w14:textId="77777777" w:rsidTr="00631775">
        <w:tc>
          <w:tcPr>
            <w:tcW w:w="45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E99A15" w14:textId="575249DF" w:rsidR="00631775" w:rsidRPr="00631775" w:rsidRDefault="00533001" w:rsidP="00631775">
            <w:r>
              <w:t xml:space="preserve"> 20 septembre 2026</w:t>
            </w:r>
          </w:p>
        </w:tc>
        <w:tc>
          <w:tcPr>
            <w:tcW w:w="4531" w:type="dxa"/>
            <w:tcBorders>
              <w:top w:val="nil"/>
              <w:left w:val="nil"/>
              <w:bottom w:val="single" w:sz="8" w:space="0" w:color="auto"/>
              <w:right w:val="single" w:sz="8" w:space="0" w:color="auto"/>
            </w:tcBorders>
            <w:tcMar>
              <w:top w:w="0" w:type="dxa"/>
              <w:left w:w="108" w:type="dxa"/>
              <w:bottom w:w="0" w:type="dxa"/>
              <w:right w:w="108" w:type="dxa"/>
            </w:tcMar>
            <w:hideMark/>
          </w:tcPr>
          <w:p w14:paraId="48C8CDF4" w14:textId="30C256EF" w:rsidR="00631775" w:rsidRPr="00631775" w:rsidRDefault="00631775" w:rsidP="00631775">
            <w:r w:rsidRPr="00631775">
              <w:t>D</w:t>
            </w:r>
            <w:r w:rsidR="00533001">
              <w:t>e</w:t>
            </w:r>
            <w:r w:rsidR="008F3994">
              <w:t xml:space="preserve"> </w:t>
            </w:r>
            <w:r w:rsidRPr="00631775">
              <w:t xml:space="preserve">septembre </w:t>
            </w:r>
            <w:r w:rsidR="00533001">
              <w:t xml:space="preserve">2025 à septembre 2026 </w:t>
            </w:r>
          </w:p>
        </w:tc>
      </w:tr>
      <w:tr w:rsidR="00631775" w:rsidRPr="00631775" w14:paraId="4AB9F4C3" w14:textId="77777777" w:rsidTr="00631775">
        <w:tc>
          <w:tcPr>
            <w:tcW w:w="45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07ABEC" w14:textId="2A8DE704" w:rsidR="00631775" w:rsidRPr="00631775" w:rsidRDefault="00533001" w:rsidP="00631775">
            <w:r>
              <w:t xml:space="preserve"> 20 septembre 2027</w:t>
            </w:r>
          </w:p>
        </w:tc>
        <w:tc>
          <w:tcPr>
            <w:tcW w:w="4531" w:type="dxa"/>
            <w:tcBorders>
              <w:top w:val="nil"/>
              <w:left w:val="nil"/>
              <w:bottom w:val="single" w:sz="8" w:space="0" w:color="auto"/>
              <w:right w:val="single" w:sz="8" w:space="0" w:color="auto"/>
            </w:tcBorders>
            <w:tcMar>
              <w:top w:w="0" w:type="dxa"/>
              <w:left w:w="108" w:type="dxa"/>
              <w:bottom w:w="0" w:type="dxa"/>
              <w:right w:w="108" w:type="dxa"/>
            </w:tcMar>
            <w:hideMark/>
          </w:tcPr>
          <w:p w14:paraId="495B32D5" w14:textId="20E45647" w:rsidR="00631775" w:rsidRPr="00631775" w:rsidRDefault="00533001" w:rsidP="00631775">
            <w:r>
              <w:t xml:space="preserve"> De septembre 2026 à septembre 2027 </w:t>
            </w:r>
          </w:p>
        </w:tc>
      </w:tr>
      <w:tr w:rsidR="00631775" w:rsidRPr="00631775" w14:paraId="4DE9D6B3" w14:textId="77777777" w:rsidTr="00631775">
        <w:tc>
          <w:tcPr>
            <w:tcW w:w="45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FBF72" w14:textId="72CEA2C1" w:rsidR="00631775" w:rsidRPr="00631775" w:rsidRDefault="00533001" w:rsidP="00631775">
            <w:r>
              <w:t xml:space="preserve"> 20 septembre 2028</w:t>
            </w:r>
          </w:p>
        </w:tc>
        <w:tc>
          <w:tcPr>
            <w:tcW w:w="4531" w:type="dxa"/>
            <w:tcBorders>
              <w:top w:val="nil"/>
              <w:left w:val="nil"/>
              <w:bottom w:val="single" w:sz="8" w:space="0" w:color="auto"/>
              <w:right w:val="single" w:sz="8" w:space="0" w:color="auto"/>
            </w:tcBorders>
            <w:tcMar>
              <w:top w:w="0" w:type="dxa"/>
              <w:left w:w="108" w:type="dxa"/>
              <w:bottom w:w="0" w:type="dxa"/>
              <w:right w:w="108" w:type="dxa"/>
            </w:tcMar>
            <w:hideMark/>
          </w:tcPr>
          <w:p w14:paraId="3A9053C1" w14:textId="41D2111A" w:rsidR="00631775" w:rsidRPr="00631775" w:rsidRDefault="00533001" w:rsidP="00631775">
            <w:r>
              <w:t xml:space="preserve"> De septembre 2027 à septembre 2028</w:t>
            </w:r>
          </w:p>
        </w:tc>
      </w:tr>
    </w:tbl>
    <w:p w14:paraId="7E029E22" w14:textId="1FD5A3A4" w:rsidR="004E6609" w:rsidRDefault="004E6609" w:rsidP="00C12D91">
      <w:pPr>
        <w:pStyle w:val="Titre1"/>
      </w:pPr>
      <w:bookmarkStart w:id="145" w:name="_Toc201743779"/>
      <w:r>
        <w:t>Modalités tarifaires</w:t>
      </w:r>
      <w:bookmarkEnd w:id="145"/>
    </w:p>
    <w:p w14:paraId="555C851F" w14:textId="694725E9" w:rsidR="004E6609" w:rsidRDefault="004E6609" w:rsidP="004E6609">
      <w:r>
        <w:t>Les tarifs sont ceux proposés par l’</w:t>
      </w:r>
      <w:r w:rsidR="008231F9">
        <w:t>Occupant</w:t>
      </w:r>
      <w:r w:rsidR="00060BC5">
        <w:t xml:space="preserve"> dans </w:t>
      </w:r>
      <w:r w:rsidR="00D947C9">
        <w:t>l’</w:t>
      </w:r>
      <w:r w:rsidR="00D947C9" w:rsidRPr="00631775">
        <w:t>annexe 1 : description et tarifs des produits proposés par machine</w:t>
      </w:r>
      <w:r w:rsidR="00D947C9">
        <w:t xml:space="preserve"> qu’il joint à </w:t>
      </w:r>
      <w:r w:rsidR="00060BC5">
        <w:t>son offre</w:t>
      </w:r>
      <w:r>
        <w:t>.</w:t>
      </w:r>
    </w:p>
    <w:p w14:paraId="596BE41B" w14:textId="02823FE0" w:rsidR="004E6609" w:rsidRDefault="004E6609" w:rsidP="004E6609">
      <w:r>
        <w:t xml:space="preserve">Le Mucem souhaite conserver </w:t>
      </w:r>
      <w:r w:rsidR="00875AE3">
        <w:t>à</w:t>
      </w:r>
      <w:r>
        <w:t xml:space="preserve"> minima le tarif </w:t>
      </w:r>
      <w:r w:rsidRPr="00CB7E23">
        <w:t xml:space="preserve">d’entrée de gamme du café à 0,40 € et il attend du </w:t>
      </w:r>
      <w:r w:rsidR="008E2B71">
        <w:t>Bénéficiaire</w:t>
      </w:r>
      <w:r w:rsidR="008E2B71" w:rsidRPr="00CB7E23">
        <w:t xml:space="preserve"> </w:t>
      </w:r>
      <w:r w:rsidRPr="00CB7E23">
        <w:t>qu’il prenne en compte la tarification actuelle, en particulier sur certaines produits dits « classiques » : 1,00 € les confiseries – 0,80 € l’eau minérale.</w:t>
      </w:r>
    </w:p>
    <w:p w14:paraId="1B1AC497" w14:textId="2B0FE92D" w:rsidR="004E6609" w:rsidRDefault="004E6609" w:rsidP="004E6609">
      <w:r>
        <w:t xml:space="preserve">Le </w:t>
      </w:r>
      <w:r w:rsidR="00873D6B">
        <w:t>Bénéficiaire</w:t>
      </w:r>
      <w:r>
        <w:t xml:space="preserve"> s’engage à maintenir ses tarifs indiqués dans son offre au même niveau pendant la durée de la convention y compris lors de la reconduction. Le Mucem se réserve la possibilité de négocier au cas par cas une évolution tarifaire avec le </w:t>
      </w:r>
      <w:r w:rsidR="00873D6B">
        <w:t>Bénéficiaire</w:t>
      </w:r>
      <w:r>
        <w:t>, notamment en cas d’évènement exceptionnel.</w:t>
      </w:r>
    </w:p>
    <w:p w14:paraId="6CF49418" w14:textId="77777777" w:rsidR="004E6609" w:rsidRPr="009827CE" w:rsidRDefault="004E6609" w:rsidP="004E6609">
      <w:r>
        <w:t xml:space="preserve">Les tarifs s’entendent toutes taxes </w:t>
      </w:r>
      <w:r w:rsidRPr="00CB7E23">
        <w:t>comprises et doivent être clairement indiqués sur les distributeurs.</w:t>
      </w:r>
    </w:p>
    <w:p w14:paraId="4D3CA7AC" w14:textId="0A60901B" w:rsidR="00383ECB" w:rsidRDefault="00383ECB" w:rsidP="00C12D91">
      <w:pPr>
        <w:pStyle w:val="Titre1"/>
      </w:pPr>
      <w:bookmarkStart w:id="146" w:name="_Toc201743780"/>
      <w:r>
        <w:t xml:space="preserve">Dispositions </w:t>
      </w:r>
      <w:r w:rsidR="00536C52">
        <w:t>financières</w:t>
      </w:r>
      <w:r>
        <w:t xml:space="preserve"> et comptables</w:t>
      </w:r>
      <w:bookmarkEnd w:id="146"/>
    </w:p>
    <w:p w14:paraId="51B03F6E" w14:textId="77777777" w:rsidR="00383ECB" w:rsidRPr="00684E9A" w:rsidRDefault="00383ECB" w:rsidP="00383ECB">
      <w:pPr>
        <w:pStyle w:val="Titre2"/>
      </w:pPr>
      <w:bookmarkStart w:id="147" w:name="_Toc331064758"/>
      <w:bookmarkStart w:id="148" w:name="_Toc464201407"/>
      <w:bookmarkStart w:id="149" w:name="_Toc473106104"/>
      <w:bookmarkStart w:id="150" w:name="_Toc201743781"/>
      <w:r>
        <w:t>Perception des recettes</w:t>
      </w:r>
      <w:bookmarkEnd w:id="147"/>
      <w:bookmarkEnd w:id="148"/>
      <w:bookmarkEnd w:id="149"/>
      <w:bookmarkEnd w:id="150"/>
    </w:p>
    <w:p w14:paraId="717E2D68" w14:textId="3DFD7ADA" w:rsidR="00383ECB" w:rsidRDefault="00383ECB" w:rsidP="00383ECB">
      <w:pPr>
        <w:spacing w:line="276" w:lineRule="auto"/>
        <w:rPr>
          <w:rFonts w:cs="Arial"/>
        </w:rPr>
      </w:pPr>
      <w:r>
        <w:rPr>
          <w:rFonts w:cs="Arial"/>
        </w:rPr>
        <w:t xml:space="preserve">Les recettes générées par les appareils sont au bénéfice </w:t>
      </w:r>
      <w:r w:rsidR="008E2B71">
        <w:rPr>
          <w:rFonts w:cs="Arial"/>
        </w:rPr>
        <w:t>de l’Occupant</w:t>
      </w:r>
      <w:r>
        <w:rPr>
          <w:rFonts w:cs="Arial"/>
        </w:rPr>
        <w:t>, qui en assure la collecte.</w:t>
      </w:r>
      <w:r w:rsidRPr="00B10F30">
        <w:rPr>
          <w:rFonts w:cs="Arial"/>
        </w:rPr>
        <w:t xml:space="preserve"> </w:t>
      </w:r>
    </w:p>
    <w:p w14:paraId="10A0F5CE" w14:textId="77777777" w:rsidR="00383ECB" w:rsidRDefault="00383ECB" w:rsidP="00383ECB">
      <w:pPr>
        <w:pStyle w:val="Titre2"/>
      </w:pPr>
      <w:bookmarkStart w:id="151" w:name="_Toc473106105"/>
      <w:bookmarkStart w:id="152" w:name="_Toc201743782"/>
      <w:r>
        <w:t xml:space="preserve">Redevance au titre de </w:t>
      </w:r>
      <w:r w:rsidRPr="00383ECB">
        <w:t>l’occupation</w:t>
      </w:r>
      <w:r>
        <w:t xml:space="preserve"> du domaine public</w:t>
      </w:r>
      <w:bookmarkEnd w:id="151"/>
      <w:bookmarkEnd w:id="152"/>
    </w:p>
    <w:p w14:paraId="5E79F2C7" w14:textId="24692148" w:rsidR="00C11105" w:rsidRDefault="00383ECB" w:rsidP="00383ECB">
      <w:r w:rsidRPr="0024564D">
        <w:t>Au titre de l’occupation du domaine public, l’</w:t>
      </w:r>
      <w:r w:rsidR="008231F9" w:rsidRPr="0024564D">
        <w:t>Occupant</w:t>
      </w:r>
      <w:r w:rsidR="00DD4BFD">
        <w:t xml:space="preserve"> s’engage à</w:t>
      </w:r>
      <w:r w:rsidRPr="0024564D">
        <w:t xml:space="preserve"> verse</w:t>
      </w:r>
      <w:r w:rsidR="00DD4BFD">
        <w:t>r</w:t>
      </w:r>
      <w:r w:rsidRPr="0024564D">
        <w:t xml:space="preserve"> au Mucem, dès la première année d’exploitation, une redevance </w:t>
      </w:r>
      <w:r w:rsidR="00DD4BFD">
        <w:t xml:space="preserve">annuelle </w:t>
      </w:r>
      <w:r w:rsidR="001C685F">
        <w:t xml:space="preserve">variable </w:t>
      </w:r>
      <w:r w:rsidR="00C11105">
        <w:t>assise</w:t>
      </w:r>
      <w:r w:rsidR="00DD4BFD">
        <w:t xml:space="preserve"> sur le chiffre d’affaire HT réalisé. </w:t>
      </w:r>
    </w:p>
    <w:p w14:paraId="09EC460C" w14:textId="604C25FA" w:rsidR="007F263D" w:rsidRDefault="00DD4BFD" w:rsidP="00383ECB">
      <w:r>
        <w:t>Cette redevance</w:t>
      </w:r>
      <w:r w:rsidR="00825F99">
        <w:t xml:space="preserve"> </w:t>
      </w:r>
      <w:r w:rsidR="00383ECB" w:rsidRPr="0024564D">
        <w:t>soumise à la TVA en vigueur</w:t>
      </w:r>
      <w:r w:rsidR="00C11105">
        <w:t xml:space="preserve">, se compose des éléments suivants : </w:t>
      </w:r>
    </w:p>
    <w:p w14:paraId="302EFC26" w14:textId="0653D09E" w:rsidR="00DD4BFD" w:rsidRPr="00F9242C" w:rsidRDefault="00536C52" w:rsidP="00825F99">
      <w:pPr>
        <w:pStyle w:val="Titre3"/>
      </w:pPr>
      <w:r w:rsidRPr="00F9242C">
        <w:rPr>
          <w:caps/>
          <w:color w:val="FF0000"/>
          <w:sz w:val="36"/>
          <w:szCs w:val="36"/>
        </w:rPr>
        <w:sym w:font="Wingdings" w:char="F046"/>
      </w:r>
      <w:r w:rsidR="00DD4BFD" w:rsidRPr="00F9242C">
        <w:t>Redevance variable assise sur le chiffre d’affaires </w:t>
      </w:r>
      <w:r w:rsidR="00C11105" w:rsidRPr="00F9242C">
        <w:t>(Redevance R2a)</w:t>
      </w:r>
    </w:p>
    <w:p w14:paraId="5C59346C" w14:textId="10DE6A2C" w:rsidR="007F263D" w:rsidRPr="00F9242C" w:rsidRDefault="00536C52" w:rsidP="00383ECB">
      <w:pPr>
        <w:rPr>
          <w:b/>
        </w:rPr>
      </w:pPr>
      <w:r w:rsidRPr="00F9242C">
        <w:rPr>
          <w:b/>
        </w:rPr>
        <w:t>Pourcentage de la redevance variable proposée par le candidat : …</w:t>
      </w:r>
      <w:r w:rsidR="00875AE3" w:rsidRPr="00F9242C">
        <w:rPr>
          <w:b/>
        </w:rPr>
        <w:t>……</w:t>
      </w:r>
      <w:r w:rsidRPr="00F9242C">
        <w:rPr>
          <w:b/>
        </w:rPr>
        <w:t xml:space="preserve">…… % </w:t>
      </w:r>
    </w:p>
    <w:p w14:paraId="727E5FA0" w14:textId="1F073ED0" w:rsidR="00C11105" w:rsidRDefault="00C11105" w:rsidP="00536C52">
      <w:pPr>
        <w:rPr>
          <w:rStyle w:val="lev"/>
        </w:rPr>
      </w:pPr>
      <w:r w:rsidRPr="008A2798">
        <w:rPr>
          <w:rStyle w:val="lev"/>
        </w:rPr>
        <w:t>NB :</w:t>
      </w:r>
      <w:r w:rsidRPr="008A2798">
        <w:t xml:space="preserve"> Le candidat ne peut proposer un pourcentage inférieur à 6 %. En revanche, il peut proposer un taux plus élevé, ce qui permettra d’obtenir une </w:t>
      </w:r>
      <w:r w:rsidRPr="008A2798">
        <w:rPr>
          <w:rStyle w:val="lev"/>
        </w:rPr>
        <w:t>meilleure note au titre du critère prix</w:t>
      </w:r>
      <w:r w:rsidRPr="008A2798">
        <w:t>, conformément à l’</w:t>
      </w:r>
      <w:r w:rsidRPr="008A2798">
        <w:rPr>
          <w:rStyle w:val="lev"/>
        </w:rPr>
        <w:t>article 6 du règlement de la consultation</w:t>
      </w:r>
    </w:p>
    <w:p w14:paraId="373A9687" w14:textId="4A0D70A3" w:rsidR="00B84DF3" w:rsidRDefault="00B84DF3" w:rsidP="00536C52">
      <w:pPr>
        <w:shd w:val="clear" w:color="auto" w:fill="FFFFFF"/>
        <w:overflowPunct/>
        <w:autoSpaceDE/>
        <w:autoSpaceDN/>
        <w:adjustRightInd/>
        <w:spacing w:after="0"/>
        <w:textAlignment w:val="auto"/>
        <w:rPr>
          <w:rFonts w:cs="Arial"/>
          <w:color w:val="000000"/>
        </w:rPr>
      </w:pPr>
      <w:r w:rsidRPr="00B84DF3">
        <w:rPr>
          <w:rFonts w:cs="Arial"/>
          <w:color w:val="000000"/>
        </w:rPr>
        <w:t>À titre indicatif, le chiffre d’affaires moyen estimé sur la dernière période d’exploitation s’élève à </w:t>
      </w:r>
      <w:r w:rsidRPr="00B84DF3">
        <w:rPr>
          <w:rFonts w:cs="Arial"/>
          <w:b/>
          <w:bCs/>
          <w:color w:val="000000"/>
        </w:rPr>
        <w:t>72</w:t>
      </w:r>
      <w:r w:rsidR="00536C52">
        <w:rPr>
          <w:rFonts w:cs="Arial"/>
          <w:b/>
          <w:bCs/>
          <w:color w:val="000000"/>
        </w:rPr>
        <w:t> </w:t>
      </w:r>
      <w:r w:rsidRPr="00B84DF3">
        <w:rPr>
          <w:rFonts w:cs="Arial"/>
          <w:b/>
          <w:bCs/>
          <w:color w:val="000000"/>
        </w:rPr>
        <w:t>000</w:t>
      </w:r>
      <w:r w:rsidR="00536C52">
        <w:rPr>
          <w:rFonts w:cs="Arial"/>
          <w:b/>
          <w:bCs/>
          <w:color w:val="000000"/>
        </w:rPr>
        <w:t> </w:t>
      </w:r>
      <w:r w:rsidRPr="00B84DF3">
        <w:rPr>
          <w:rFonts w:cs="Arial"/>
          <w:b/>
          <w:bCs/>
          <w:color w:val="000000"/>
        </w:rPr>
        <w:t>€HT/an</w:t>
      </w:r>
      <w:r w:rsidRPr="00B84DF3">
        <w:rPr>
          <w:rFonts w:cs="Arial"/>
          <w:color w:val="000000"/>
        </w:rPr>
        <w:t>.</w:t>
      </w:r>
    </w:p>
    <w:p w14:paraId="6FB776D8" w14:textId="77777777" w:rsidR="00B84DF3" w:rsidRPr="00B84DF3" w:rsidRDefault="00B84DF3" w:rsidP="00536C52">
      <w:pPr>
        <w:shd w:val="clear" w:color="auto" w:fill="FFFFFF"/>
        <w:overflowPunct/>
        <w:autoSpaceDE/>
        <w:autoSpaceDN/>
        <w:adjustRightInd/>
        <w:spacing w:after="0"/>
        <w:textAlignment w:val="auto"/>
        <w:rPr>
          <w:rFonts w:cs="Arial"/>
          <w:color w:val="000000"/>
        </w:rPr>
      </w:pPr>
    </w:p>
    <w:p w14:paraId="7401839B" w14:textId="6C573A32" w:rsidR="00B84DF3" w:rsidRPr="00B84DF3" w:rsidRDefault="00B84DF3" w:rsidP="00536C52">
      <w:pPr>
        <w:shd w:val="clear" w:color="auto" w:fill="FFFFFF"/>
        <w:overflowPunct/>
        <w:autoSpaceDE/>
        <w:autoSpaceDN/>
        <w:adjustRightInd/>
        <w:spacing w:after="0"/>
        <w:textAlignment w:val="auto"/>
        <w:rPr>
          <w:rStyle w:val="lev"/>
          <w:rFonts w:cs="Arial"/>
          <w:b w:val="0"/>
          <w:bCs w:val="0"/>
          <w:color w:val="000000"/>
        </w:rPr>
      </w:pPr>
      <w:r w:rsidRPr="00B84DF3">
        <w:rPr>
          <w:rFonts w:cs="Arial"/>
          <w:b/>
          <w:bCs/>
          <w:color w:val="000000"/>
        </w:rPr>
        <w:t>Il est demandé aux candidats de fournir une projection du chiffre d’affaires sur l’ensemble de la période d’exploitation.</w:t>
      </w:r>
    </w:p>
    <w:p w14:paraId="4F4240FD" w14:textId="77777777" w:rsidR="00C90E48" w:rsidRPr="008A2798" w:rsidRDefault="00C90E48" w:rsidP="00383ECB">
      <w:pPr>
        <w:rPr>
          <w:b/>
          <w:highlight w:val="yellow"/>
        </w:rPr>
      </w:pPr>
    </w:p>
    <w:p w14:paraId="0A2D3908" w14:textId="15B8AAE9" w:rsidR="00825F99" w:rsidRPr="00F9242C" w:rsidRDefault="00C11105" w:rsidP="00536C52">
      <w:pPr>
        <w:pStyle w:val="Titre3"/>
        <w:rPr>
          <w:rStyle w:val="Titre3Car"/>
          <w:smallCaps/>
        </w:rPr>
      </w:pPr>
      <w:r w:rsidRPr="00F9242C">
        <w:rPr>
          <w:rStyle w:val="Titre3Car"/>
          <w:smallCaps/>
        </w:rPr>
        <w:t>Redevance minimale garantie</w:t>
      </w:r>
      <w:r w:rsidR="00536C52" w:rsidRPr="00F9242C">
        <w:rPr>
          <w:rStyle w:val="Titre3Car"/>
          <w:smallCaps/>
        </w:rPr>
        <w:t xml:space="preserve"> (Redevance R2b)</w:t>
      </w:r>
    </w:p>
    <w:p w14:paraId="55A14113" w14:textId="3215ADC8" w:rsidR="00383ECB" w:rsidRPr="008A2798" w:rsidRDefault="008A2798" w:rsidP="00536C52">
      <w:r w:rsidRPr="00F9242C">
        <w:t>Indépendamment du chiffre d’affaire réalisé, l</w:t>
      </w:r>
      <w:r w:rsidR="00383ECB" w:rsidRPr="00F9242C">
        <w:t>e montant de la redevance</w:t>
      </w:r>
      <w:r w:rsidR="00DD4BFD" w:rsidRPr="00F9242C">
        <w:t xml:space="preserve"> annuelle (revenu minimum garanti)</w:t>
      </w:r>
      <w:r w:rsidR="00383ECB" w:rsidRPr="00F9242C">
        <w:t xml:space="preserve"> ne peut être inférieur à </w:t>
      </w:r>
      <w:r w:rsidR="001C685F" w:rsidRPr="00F9242C">
        <w:t>6</w:t>
      </w:r>
      <w:r w:rsidR="00F9242C">
        <w:t xml:space="preserve"> </w:t>
      </w:r>
      <w:r w:rsidR="00383ECB" w:rsidRPr="00F9242C">
        <w:t xml:space="preserve">000 € </w:t>
      </w:r>
      <w:r w:rsidR="001C685F" w:rsidRPr="00F9242C">
        <w:t>HT</w:t>
      </w:r>
      <w:r w:rsidR="008F3994" w:rsidRPr="00F9242C">
        <w:t xml:space="preserve"> </w:t>
      </w:r>
      <w:r w:rsidR="00383ECB" w:rsidRPr="00F9242C">
        <w:t xml:space="preserve">par an. </w:t>
      </w:r>
    </w:p>
    <w:p w14:paraId="73756100" w14:textId="56D0597C" w:rsidR="0078532D" w:rsidRDefault="0078532D" w:rsidP="00536C52">
      <w:pPr>
        <w:overflowPunct/>
        <w:autoSpaceDE/>
        <w:autoSpaceDN/>
        <w:adjustRightInd/>
        <w:spacing w:after="0"/>
        <w:textAlignment w:val="auto"/>
      </w:pPr>
      <w:r w:rsidRPr="008A2798">
        <w:t xml:space="preserve">La redevance </w:t>
      </w:r>
      <w:r w:rsidR="00536C52">
        <w:t xml:space="preserve">fixe </w:t>
      </w:r>
      <w:r w:rsidRPr="008A2798">
        <w:t xml:space="preserve">est due </w:t>
      </w:r>
      <w:r w:rsidRPr="008A2798">
        <w:rPr>
          <w:b/>
          <w:bCs/>
        </w:rPr>
        <w:t>après émission d’un titre de recettes</w:t>
      </w:r>
      <w:r w:rsidRPr="008A2798">
        <w:t xml:space="preserve"> établi par l’Agent comptable du Mucem, </w:t>
      </w:r>
      <w:r w:rsidRPr="008A2798">
        <w:rPr>
          <w:b/>
          <w:bCs/>
        </w:rPr>
        <w:t>sur la base d’un arrêt définitif des comptes</w:t>
      </w:r>
      <w:r w:rsidRPr="008A2798">
        <w:t xml:space="preserve"> transmis par le Bénéficiaire.</w:t>
      </w:r>
    </w:p>
    <w:p w14:paraId="1205C3BD" w14:textId="77777777" w:rsidR="00536C52" w:rsidRPr="008A2798" w:rsidRDefault="00536C52" w:rsidP="00536C52">
      <w:pPr>
        <w:overflowPunct/>
        <w:autoSpaceDE/>
        <w:autoSpaceDN/>
        <w:adjustRightInd/>
        <w:spacing w:after="0"/>
        <w:textAlignment w:val="auto"/>
      </w:pPr>
    </w:p>
    <w:p w14:paraId="79172BBE" w14:textId="77777777" w:rsidR="0078532D" w:rsidRPr="008A2798" w:rsidRDefault="0078532D" w:rsidP="00536C52">
      <w:pPr>
        <w:overflowPunct/>
        <w:autoSpaceDE/>
        <w:autoSpaceDN/>
        <w:adjustRightInd/>
        <w:spacing w:after="0"/>
        <w:textAlignment w:val="auto"/>
      </w:pPr>
      <w:r w:rsidRPr="008A2798">
        <w:t>Cet arrêt de comptes doit être :</w:t>
      </w:r>
    </w:p>
    <w:p w14:paraId="08F603D9" w14:textId="77777777" w:rsidR="0078532D" w:rsidRPr="00F470BF" w:rsidRDefault="0078532D" w:rsidP="00536C52">
      <w:pPr>
        <w:numPr>
          <w:ilvl w:val="0"/>
          <w:numId w:val="49"/>
        </w:numPr>
        <w:overflowPunct/>
        <w:autoSpaceDE/>
        <w:autoSpaceDN/>
        <w:adjustRightInd/>
        <w:spacing w:after="0"/>
        <w:textAlignment w:val="auto"/>
      </w:pPr>
      <w:r w:rsidRPr="00F470BF">
        <w:rPr>
          <w:bCs/>
        </w:rPr>
        <w:t>Dûment daté et signé</w:t>
      </w:r>
    </w:p>
    <w:p w14:paraId="60FE5DFE" w14:textId="77777777" w:rsidR="0078532D" w:rsidRPr="00F470BF" w:rsidRDefault="0078532D" w:rsidP="00536C52">
      <w:pPr>
        <w:numPr>
          <w:ilvl w:val="0"/>
          <w:numId w:val="49"/>
        </w:numPr>
        <w:overflowPunct/>
        <w:autoSpaceDE/>
        <w:autoSpaceDN/>
        <w:adjustRightInd/>
        <w:spacing w:after="0"/>
        <w:textAlignment w:val="auto"/>
      </w:pPr>
      <w:r w:rsidRPr="00F470BF">
        <w:rPr>
          <w:bCs/>
        </w:rPr>
        <w:t>Certifié par un comptable ou un expert-comptable</w:t>
      </w:r>
    </w:p>
    <w:p w14:paraId="1968C207" w14:textId="117FB101" w:rsidR="0078532D" w:rsidRPr="00F470BF" w:rsidRDefault="0078532D" w:rsidP="00536C52">
      <w:pPr>
        <w:numPr>
          <w:ilvl w:val="0"/>
          <w:numId w:val="49"/>
        </w:numPr>
        <w:overflowPunct/>
        <w:autoSpaceDE/>
        <w:autoSpaceDN/>
        <w:adjustRightInd/>
        <w:spacing w:after="0"/>
        <w:textAlignment w:val="auto"/>
      </w:pPr>
      <w:r w:rsidRPr="00F470BF">
        <w:rPr>
          <w:bCs/>
        </w:rPr>
        <w:t>Transmis au plus tard un mois après la date anniversaire de la première année d’exploitation</w:t>
      </w:r>
    </w:p>
    <w:p w14:paraId="6AB62BA2" w14:textId="77777777" w:rsidR="0078532D" w:rsidRPr="008A2798" w:rsidRDefault="0078532D" w:rsidP="00536C52">
      <w:pPr>
        <w:overflowPunct/>
        <w:autoSpaceDE/>
        <w:autoSpaceDN/>
        <w:adjustRightInd/>
        <w:spacing w:after="0"/>
        <w:ind w:left="720"/>
        <w:textAlignment w:val="auto"/>
      </w:pPr>
    </w:p>
    <w:p w14:paraId="4512E203" w14:textId="69B4CF80" w:rsidR="00804F6D" w:rsidRPr="008A2798" w:rsidRDefault="00804F6D" w:rsidP="00536C52">
      <w:pPr>
        <w:overflowPunct/>
        <w:autoSpaceDE/>
        <w:autoSpaceDN/>
        <w:adjustRightInd/>
        <w:spacing w:after="0"/>
        <w:textAlignment w:val="auto"/>
        <w:rPr>
          <w:rFonts w:cs="Arial"/>
        </w:rPr>
      </w:pPr>
      <w:r w:rsidRPr="008A2798">
        <w:rPr>
          <w:rFonts w:cs="Arial"/>
        </w:rPr>
        <w:t>La redevance est révisable à l</w:t>
      </w:r>
      <w:r w:rsidR="00631775" w:rsidRPr="008A2798">
        <w:rPr>
          <w:rFonts w:cs="Arial"/>
        </w:rPr>
        <w:t>a date d'anniversaire d</w:t>
      </w:r>
      <w:r w:rsidR="00550CC9" w:rsidRPr="008A2798">
        <w:rPr>
          <w:rFonts w:cs="Arial"/>
        </w:rPr>
        <w:t>e la présente convention</w:t>
      </w:r>
      <w:r w:rsidR="00631775" w:rsidRPr="008A2798">
        <w:rPr>
          <w:rFonts w:cs="Arial"/>
        </w:rPr>
        <w:t xml:space="preserve">, proportionnellement à l’évolution du chiffre d’affaires du </w:t>
      </w:r>
      <w:r w:rsidR="00873D6B" w:rsidRPr="008A2798">
        <w:rPr>
          <w:rFonts w:cs="Arial"/>
        </w:rPr>
        <w:t>Bénéficiaire</w:t>
      </w:r>
      <w:r w:rsidR="00631775" w:rsidRPr="008A2798">
        <w:rPr>
          <w:rFonts w:cs="Arial"/>
        </w:rPr>
        <w:t>.</w:t>
      </w:r>
    </w:p>
    <w:p w14:paraId="76518B22" w14:textId="77777777" w:rsidR="00383ECB" w:rsidRPr="00BB4E35" w:rsidRDefault="00383ECB" w:rsidP="00383ECB">
      <w:pPr>
        <w:pStyle w:val="Titre2"/>
      </w:pPr>
      <w:bookmarkStart w:id="153" w:name="_Toc473106106"/>
      <w:bookmarkStart w:id="154" w:name="_Toc201743783"/>
      <w:r w:rsidRPr="00383ECB">
        <w:lastRenderedPageBreak/>
        <w:t>Modalités</w:t>
      </w:r>
      <w:r>
        <w:t xml:space="preserve"> de versement</w:t>
      </w:r>
      <w:bookmarkEnd w:id="153"/>
      <w:bookmarkEnd w:id="154"/>
    </w:p>
    <w:p w14:paraId="31538B57" w14:textId="77777777" w:rsidR="00383ECB" w:rsidRPr="00CB7E23" w:rsidRDefault="00383ECB" w:rsidP="00383ECB">
      <w:pPr>
        <w:spacing w:after="0"/>
      </w:pPr>
      <w:r w:rsidRPr="00CB7E23">
        <w:t xml:space="preserve">Le règlement doit être effectué au nom du Mucem avant le terme d’un délai de 30 (trente) jours suivant la réception du titre émis par le Mucem. </w:t>
      </w:r>
    </w:p>
    <w:p w14:paraId="6D156956" w14:textId="77777777" w:rsidR="00383ECB" w:rsidRPr="00CB7E23" w:rsidRDefault="00383ECB" w:rsidP="00383ECB">
      <w:pPr>
        <w:spacing w:after="0"/>
      </w:pPr>
    </w:p>
    <w:p w14:paraId="6976F530" w14:textId="77777777" w:rsidR="00383ECB" w:rsidRPr="00CB7E23" w:rsidRDefault="00383ECB" w:rsidP="00383ECB">
      <w:pPr>
        <w:spacing w:after="0"/>
      </w:pPr>
      <w:r w:rsidRPr="00CB7E23">
        <w:t>Pour qu'il soit libératoire, le versement doit être effectué :</w:t>
      </w:r>
    </w:p>
    <w:p w14:paraId="52BED3C6" w14:textId="36463593" w:rsidR="00383ECB" w:rsidRPr="00CB7E23" w:rsidRDefault="00383ECB" w:rsidP="002B4237">
      <w:pPr>
        <w:numPr>
          <w:ilvl w:val="0"/>
          <w:numId w:val="38"/>
        </w:numPr>
        <w:overflowPunct/>
        <w:autoSpaceDE/>
        <w:autoSpaceDN/>
        <w:adjustRightInd/>
        <w:spacing w:after="0"/>
        <w:ind w:left="709" w:hanging="283"/>
        <w:textAlignment w:val="auto"/>
        <w:rPr>
          <w:lang w:val="en-US"/>
        </w:rPr>
      </w:pPr>
      <w:r w:rsidRPr="00CB7E23">
        <w:t xml:space="preserve">Soit par virement sur le compte bancaire </w:t>
      </w:r>
      <w:r w:rsidR="002B4237">
        <w:t>dont les coordonnées vous seront transmises lors de la signature de la convention.</w:t>
      </w:r>
    </w:p>
    <w:p w14:paraId="7DCF35C2" w14:textId="77777777" w:rsidR="00383ECB" w:rsidRPr="00CB7E23" w:rsidRDefault="00383ECB" w:rsidP="00383ECB">
      <w:pPr>
        <w:numPr>
          <w:ilvl w:val="0"/>
          <w:numId w:val="38"/>
        </w:numPr>
        <w:overflowPunct/>
        <w:autoSpaceDE/>
        <w:autoSpaceDN/>
        <w:adjustRightInd/>
        <w:spacing w:after="0"/>
        <w:textAlignment w:val="auto"/>
      </w:pPr>
      <w:r w:rsidRPr="00CB7E23">
        <w:t>Soit par chèque bancaire à l'ordre de l'Agent comptable du Musée des civilisations de l'Europe et de la Méditerranée, responsable des encaissements.</w:t>
      </w:r>
    </w:p>
    <w:p w14:paraId="114E43B9" w14:textId="77777777" w:rsidR="00383ECB" w:rsidRPr="00CB7E23" w:rsidRDefault="00383ECB" w:rsidP="00383ECB">
      <w:pPr>
        <w:spacing w:after="0"/>
        <w:ind w:left="360"/>
      </w:pPr>
    </w:p>
    <w:p w14:paraId="0288C795" w14:textId="7425917E" w:rsidR="00383ECB" w:rsidRPr="00CB7E23" w:rsidRDefault="00383ECB" w:rsidP="00383ECB">
      <w:pPr>
        <w:spacing w:after="0"/>
      </w:pPr>
      <w:r w:rsidRPr="00CB7E23">
        <w:t>Le comptable assignataire chargé des encaissements est l’Agent Comptable du Mucem.</w:t>
      </w:r>
    </w:p>
    <w:p w14:paraId="545D5B85" w14:textId="77777777" w:rsidR="00383ECB" w:rsidRPr="00CB7E23" w:rsidRDefault="00383ECB" w:rsidP="00383ECB">
      <w:pPr>
        <w:spacing w:after="0"/>
      </w:pPr>
    </w:p>
    <w:p w14:paraId="1C8CE698" w14:textId="5658F28B" w:rsidR="00383ECB" w:rsidRPr="00536C52" w:rsidRDefault="00383ECB" w:rsidP="00536C52">
      <w:pPr>
        <w:spacing w:after="0"/>
      </w:pPr>
      <w:r w:rsidRPr="00536C52">
        <w:t>En cas de retard dans le paiement de la redevance, conformément à l’article L.2125-5 du code général de la propriété des personnes publiques, dues pour l’occupation ou l’utilisation du domaine public, les sommes restant dues sont majorées d’intérêts moratoires au taux légal.</w:t>
      </w:r>
    </w:p>
    <w:p w14:paraId="32BF7753" w14:textId="77777777" w:rsidR="00383ECB" w:rsidRPr="00383ECB" w:rsidRDefault="00383ECB" w:rsidP="00383ECB"/>
    <w:p w14:paraId="37A889F1" w14:textId="19346AA9" w:rsidR="00C12D91" w:rsidRPr="00062D32" w:rsidRDefault="00C12D91" w:rsidP="00C12D91">
      <w:pPr>
        <w:pStyle w:val="Titre1"/>
      </w:pPr>
      <w:bookmarkStart w:id="155" w:name="_Toc201743784"/>
      <w:r w:rsidRPr="00062D32">
        <w:t xml:space="preserve">Obligations </w:t>
      </w:r>
      <w:r>
        <w:t>du</w:t>
      </w:r>
      <w:r w:rsidRPr="00062D32">
        <w:t xml:space="preserve"> </w:t>
      </w:r>
      <w:bookmarkEnd w:id="114"/>
      <w:bookmarkEnd w:id="115"/>
      <w:bookmarkEnd w:id="116"/>
      <w:bookmarkEnd w:id="117"/>
      <w:bookmarkEnd w:id="118"/>
      <w:bookmarkEnd w:id="119"/>
      <w:r w:rsidR="00873D6B">
        <w:t>Bénéficiaire</w:t>
      </w:r>
      <w:bookmarkEnd w:id="155"/>
    </w:p>
    <w:p w14:paraId="57C0B1F9" w14:textId="0AECA6FF" w:rsidR="00C12D91" w:rsidRPr="00062D32" w:rsidRDefault="00C12D91" w:rsidP="00C12D91">
      <w:pPr>
        <w:pStyle w:val="Titre2"/>
      </w:pPr>
      <w:bookmarkStart w:id="156" w:name="_Toc293853507"/>
      <w:bookmarkStart w:id="157" w:name="_Toc295160973"/>
      <w:bookmarkStart w:id="158" w:name="_Toc295312931"/>
      <w:bookmarkStart w:id="159" w:name="_Toc201743785"/>
      <w:r w:rsidRPr="00062D32">
        <w:t xml:space="preserve">Nature de l’obligation du </w:t>
      </w:r>
      <w:bookmarkEnd w:id="156"/>
      <w:bookmarkEnd w:id="157"/>
      <w:bookmarkEnd w:id="158"/>
      <w:r w:rsidR="00873D6B">
        <w:t>Bénéficiaire</w:t>
      </w:r>
      <w:bookmarkEnd w:id="159"/>
    </w:p>
    <w:p w14:paraId="16788BFB" w14:textId="33CF30B2" w:rsidR="00C12D91" w:rsidRDefault="00C12D91" w:rsidP="00C12D91">
      <w:r w:rsidRPr="006D6F40">
        <w:t xml:space="preserve">Pour l’exécution des Prestations, le </w:t>
      </w:r>
      <w:r w:rsidR="00873D6B">
        <w:t>Bénéficiaire</w:t>
      </w:r>
      <w:r w:rsidRPr="006D6F40">
        <w:t xml:space="preserve"> est débiteur d’une </w:t>
      </w:r>
      <w:r w:rsidRPr="00C75CCA">
        <w:rPr>
          <w:b/>
        </w:rPr>
        <w:t>obligation de résultat</w:t>
      </w:r>
      <w:r w:rsidRPr="006D6F40">
        <w:t>.</w:t>
      </w:r>
    </w:p>
    <w:p w14:paraId="299ECC97" w14:textId="2E8BEF03" w:rsidR="00C12D91" w:rsidRDefault="00C12D91" w:rsidP="00C12D91">
      <w:r w:rsidRPr="00C25F2F">
        <w:t xml:space="preserve">A ce titre, il est tenu de mettre en œuvre les moyens nécessaires à la bonne exécution dans les délais impartis. Il s’engage, si cela s’avère nécessaire pour assurer ses </w:t>
      </w:r>
      <w:r w:rsidR="00145AB2">
        <w:t>missions</w:t>
      </w:r>
      <w:r w:rsidR="00145AB2" w:rsidRPr="00C25F2F">
        <w:t xml:space="preserve"> </w:t>
      </w:r>
      <w:r w:rsidRPr="00C25F2F">
        <w:t>dans les délais, à renforcer son équipe et ses moyens techniques.</w:t>
      </w:r>
    </w:p>
    <w:p w14:paraId="55A5680C" w14:textId="77777777" w:rsidR="00C12D91" w:rsidRPr="00483DD1" w:rsidRDefault="00C12D91" w:rsidP="00C12D91">
      <w:pPr>
        <w:pStyle w:val="Titre2"/>
      </w:pPr>
      <w:bookmarkStart w:id="160" w:name="_Toc201743786"/>
      <w:r w:rsidRPr="00483DD1">
        <w:t>Moyens techniques</w:t>
      </w:r>
      <w:bookmarkEnd w:id="160"/>
    </w:p>
    <w:p w14:paraId="1266588B" w14:textId="3C190DB9" w:rsidR="00C12D91" w:rsidRPr="00483DD1" w:rsidRDefault="00C12D91" w:rsidP="00C12D91">
      <w:r w:rsidRPr="00483DD1">
        <w:t xml:space="preserve">Le </w:t>
      </w:r>
      <w:r w:rsidR="00873D6B">
        <w:t>Bénéficiaire</w:t>
      </w:r>
      <w:r w:rsidRPr="00483DD1">
        <w:t xml:space="preserve"> met en place à ses frais l'ensemble des moyens conformes à la bonne exécution de ses Prestations.</w:t>
      </w:r>
    </w:p>
    <w:p w14:paraId="7B5F994B" w14:textId="1273F819" w:rsidR="00C12D91" w:rsidRPr="00483DD1" w:rsidRDefault="00C12D91" w:rsidP="00C12D91">
      <w:r w:rsidRPr="00483DD1">
        <w:t xml:space="preserve">Le </w:t>
      </w:r>
      <w:r w:rsidR="00873D6B">
        <w:t>Bénéficiaire</w:t>
      </w:r>
      <w:r w:rsidRPr="00483DD1">
        <w:t xml:space="preserve"> s’engage :</w:t>
      </w:r>
    </w:p>
    <w:p w14:paraId="1D88D96B" w14:textId="589BA8BA" w:rsidR="00C12D91" w:rsidRPr="00483DD1" w:rsidRDefault="00875AE3" w:rsidP="00C12D91">
      <w:pPr>
        <w:pStyle w:val="Listepuces"/>
      </w:pPr>
      <w:r w:rsidRPr="00483DD1">
        <w:t>À</w:t>
      </w:r>
      <w:r w:rsidR="00C12D91" w:rsidRPr="00483DD1">
        <w:t xml:space="preserve"> utiliser un matériel en bon état de marche et approprié ;</w:t>
      </w:r>
    </w:p>
    <w:p w14:paraId="2609AB6C" w14:textId="59BF2943" w:rsidR="00C12D91" w:rsidRPr="00483DD1" w:rsidRDefault="00875AE3" w:rsidP="00C12D91">
      <w:pPr>
        <w:pStyle w:val="Listepuces"/>
      </w:pPr>
      <w:r w:rsidRPr="00483DD1">
        <w:t>À</w:t>
      </w:r>
      <w:r w:rsidR="00C12D91" w:rsidRPr="00483DD1">
        <w:t xml:space="preserve"> fournir au Mucem la description détaillée de tous les matériels spécifiques</w:t>
      </w:r>
      <w:r w:rsidR="00C25F2F" w:rsidRPr="00483DD1">
        <w:t>.</w:t>
      </w:r>
    </w:p>
    <w:p w14:paraId="27E1060D" w14:textId="77777777" w:rsidR="00C12D91" w:rsidRPr="00483DD1" w:rsidRDefault="00C12D91" w:rsidP="00C12D91">
      <w:pPr>
        <w:pStyle w:val="Titre2"/>
      </w:pPr>
      <w:bookmarkStart w:id="161" w:name="_Toc201743787"/>
      <w:r w:rsidRPr="00483DD1">
        <w:t>Moyens humains – personnel affecté aux opérations</w:t>
      </w:r>
      <w:bookmarkEnd w:id="161"/>
    </w:p>
    <w:p w14:paraId="0585F775" w14:textId="70B266B4" w:rsidR="00C12D91" w:rsidRPr="00483DD1" w:rsidRDefault="00C12D91" w:rsidP="00C12D91">
      <w:r w:rsidRPr="00483DD1">
        <w:rPr>
          <w:u w:val="single"/>
        </w:rPr>
        <w:t>Au plus tard sept jours avant le début de l'exécution des Prestations</w:t>
      </w:r>
      <w:r w:rsidRPr="00483DD1">
        <w:t xml:space="preserve">, le </w:t>
      </w:r>
      <w:r w:rsidR="00873D6B">
        <w:t>Bénéficiaire</w:t>
      </w:r>
      <w:r w:rsidRPr="00483DD1">
        <w:t xml:space="preserve"> devra fournir, la liste nominative de ses salariés prévus pour intervenir sur le(s) site(s) du Mucem pour l’établissement des laissez-passer et désigner, s’il y a lieu, le chef d’équipe qui sera l'interlocuteur du Mucem.</w:t>
      </w:r>
    </w:p>
    <w:p w14:paraId="7F72EFB5" w14:textId="071B0221" w:rsidR="00C12D91" w:rsidRPr="00483DD1" w:rsidRDefault="00C12D91" w:rsidP="00C12D91">
      <w:r w:rsidRPr="00483DD1">
        <w:t xml:space="preserve">Le représentant habilité du Mucem se réserve le droit de demander le remplacement d’un ou de plusieurs des intervenants du </w:t>
      </w:r>
      <w:r w:rsidR="00873D6B">
        <w:t>Bénéficiaire</w:t>
      </w:r>
      <w:r w:rsidRPr="00483DD1">
        <w:t xml:space="preserve"> qui ne satisferait pas aux obligations décrites ci-dessus, ou dont le comportement pourrait générer des dégâts sur les œuvres.</w:t>
      </w:r>
    </w:p>
    <w:p w14:paraId="1D3782AB" w14:textId="77777777" w:rsidR="00C12D91" w:rsidRPr="00483DD1" w:rsidRDefault="00C12D91" w:rsidP="00C12D91">
      <w:pPr>
        <w:pStyle w:val="Titre2"/>
      </w:pPr>
      <w:bookmarkStart w:id="162" w:name="_Toc201743788"/>
      <w:r w:rsidRPr="00483DD1">
        <w:t>Modalités d’accès et de circulation du personnel</w:t>
      </w:r>
      <w:bookmarkEnd w:id="162"/>
    </w:p>
    <w:p w14:paraId="759CA259" w14:textId="5878FFF7" w:rsidR="00C12D91" w:rsidRPr="00561516" w:rsidRDefault="00C12D91" w:rsidP="00C12D91">
      <w:pPr>
        <w:rPr>
          <w:szCs w:val="22"/>
        </w:rPr>
      </w:pPr>
      <w:r w:rsidRPr="00561516">
        <w:rPr>
          <w:szCs w:val="22"/>
        </w:rPr>
        <w:t xml:space="preserve">Le personnel du </w:t>
      </w:r>
      <w:r w:rsidR="00873D6B">
        <w:rPr>
          <w:szCs w:val="22"/>
        </w:rPr>
        <w:t>Bénéficiaire</w:t>
      </w:r>
      <w:r w:rsidRPr="00561516">
        <w:rPr>
          <w:szCs w:val="22"/>
        </w:rPr>
        <w:t xml:space="preserve"> est soumis aux règlements du </w:t>
      </w:r>
      <w:r>
        <w:rPr>
          <w:szCs w:val="22"/>
        </w:rPr>
        <w:t>Mucem</w:t>
      </w:r>
      <w:r w:rsidRPr="00561516">
        <w:rPr>
          <w:szCs w:val="22"/>
        </w:rPr>
        <w:t>, en particulier aux règles d’accès et de circulation qui lui ser</w:t>
      </w:r>
      <w:r>
        <w:rPr>
          <w:szCs w:val="22"/>
        </w:rPr>
        <w:t>ont</w:t>
      </w:r>
      <w:r w:rsidRPr="00561516">
        <w:rPr>
          <w:szCs w:val="22"/>
        </w:rPr>
        <w:t xml:space="preserve"> communiqué</w:t>
      </w:r>
      <w:r>
        <w:rPr>
          <w:szCs w:val="22"/>
        </w:rPr>
        <w:t>es</w:t>
      </w:r>
      <w:r w:rsidRPr="00561516">
        <w:rPr>
          <w:szCs w:val="22"/>
        </w:rPr>
        <w:t xml:space="preserve"> par </w:t>
      </w:r>
      <w:r>
        <w:rPr>
          <w:szCs w:val="22"/>
        </w:rPr>
        <w:t>le Mucem</w:t>
      </w:r>
      <w:r w:rsidRPr="00561516">
        <w:rPr>
          <w:szCs w:val="22"/>
        </w:rPr>
        <w:t>.</w:t>
      </w:r>
    </w:p>
    <w:p w14:paraId="150D346F" w14:textId="35009A92" w:rsidR="00C12D91" w:rsidRPr="00561516" w:rsidRDefault="00C12D91" w:rsidP="00C12D91">
      <w:pPr>
        <w:rPr>
          <w:szCs w:val="22"/>
        </w:rPr>
      </w:pPr>
      <w:r w:rsidRPr="00561516">
        <w:rPr>
          <w:szCs w:val="22"/>
        </w:rPr>
        <w:t xml:space="preserve">Le personnel désigné par le </w:t>
      </w:r>
      <w:r w:rsidR="00873D6B">
        <w:rPr>
          <w:szCs w:val="22"/>
        </w:rPr>
        <w:t>Bénéficiaire</w:t>
      </w:r>
      <w:r w:rsidRPr="00561516">
        <w:rPr>
          <w:szCs w:val="22"/>
        </w:rPr>
        <w:t xml:space="preserve"> comme intervenant sur site sera porteur d’une tenue propre à l’entreprise. Cette tenue spécifique à l’entreprise est obligatoire.</w:t>
      </w:r>
    </w:p>
    <w:p w14:paraId="36A142CB" w14:textId="77777777" w:rsidR="00C12D91" w:rsidRPr="00561516" w:rsidRDefault="00C12D91" w:rsidP="00C12D91">
      <w:pPr>
        <w:rPr>
          <w:szCs w:val="22"/>
        </w:rPr>
      </w:pPr>
      <w:r w:rsidRPr="00561516">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140BEAB7" w14:textId="77777777" w:rsidR="00C12D91" w:rsidRDefault="00C12D91" w:rsidP="00986BD5">
      <w:pPr>
        <w:pStyle w:val="Titre2"/>
      </w:pPr>
      <w:bookmarkStart w:id="163" w:name="_Toc201743789"/>
      <w:r>
        <w:t>Obligation de confidentialité</w:t>
      </w:r>
      <w:bookmarkEnd w:id="163"/>
    </w:p>
    <w:p w14:paraId="28381CF0" w14:textId="7336A5D5" w:rsidR="00C12D91" w:rsidRPr="000634D5" w:rsidRDefault="00C12D91" w:rsidP="00C12D91">
      <w:r w:rsidRPr="004E6609">
        <w:t xml:space="preserve">Le </w:t>
      </w:r>
      <w:r w:rsidR="00873D6B">
        <w:t>Bénéficiaire</w:t>
      </w:r>
      <w:r w:rsidRPr="004E6609">
        <w:t xml:space="preserve"> ainsi que les membres de ses équipes sont tenus au secret professionnel et à l’obligation de</w:t>
      </w:r>
      <w:r w:rsidRPr="000634D5">
        <w:t xml:space="preserve"> discrétion pour tout ce qui concerne les faits, informations, documents, études et décisions dont ils auraient connaissance au c</w:t>
      </w:r>
      <w:r>
        <w:t>ours de l’exécution du contrat</w:t>
      </w:r>
      <w:r w:rsidRPr="000634D5">
        <w:t xml:space="preserve">. Ils s’interdisent notamment toute communication écrite ou verbale et toute remise de documents à des tiers sans l’accord exprès préalable </w:t>
      </w:r>
      <w:r>
        <w:t>du Mucem</w:t>
      </w:r>
      <w:r w:rsidRPr="000634D5">
        <w:t xml:space="preserve">. </w:t>
      </w:r>
    </w:p>
    <w:p w14:paraId="0BBAEE58" w14:textId="77777777" w:rsidR="00C12D91" w:rsidRDefault="00C12D91" w:rsidP="00C12D91">
      <w:r w:rsidRPr="000634D5">
        <w:lastRenderedPageBreak/>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986BD5">
      <w:pPr>
        <w:pStyle w:val="Titre2"/>
      </w:pPr>
      <w:bookmarkStart w:id="164" w:name="_Toc201743790"/>
      <w:r>
        <w:t>Réparation des dégâts</w:t>
      </w:r>
      <w:r w:rsidR="00073171">
        <w:t xml:space="preserve"> éventuels</w:t>
      </w:r>
      <w:bookmarkEnd w:id="164"/>
    </w:p>
    <w:p w14:paraId="6860B13F" w14:textId="0C6884D1" w:rsidR="00986BD5" w:rsidRPr="00A040F8" w:rsidRDefault="00986BD5" w:rsidP="00986BD5">
      <w:r w:rsidRPr="00A040F8">
        <w:t xml:space="preserve">Si le </w:t>
      </w:r>
      <w:r w:rsidR="00873D6B">
        <w:t>Bénéficiaire</w:t>
      </w:r>
      <w:r w:rsidRPr="00A040F8">
        <w:t xml:space="preserv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w:t>
      </w:r>
      <w:r w:rsidR="00873D6B">
        <w:t>Bénéficiaire</w:t>
      </w:r>
      <w:r w:rsidRPr="00A040F8">
        <w:t>, l'équivalent au moins de l'évaluation des dépenses nécessaires aux remises en état.</w:t>
      </w:r>
    </w:p>
    <w:p w14:paraId="26C4B495" w14:textId="43E72BB3" w:rsidR="009A1D0E" w:rsidRPr="004F746A" w:rsidRDefault="00AE2BAA" w:rsidP="00F42DA2">
      <w:pPr>
        <w:pStyle w:val="Titre1"/>
      </w:pPr>
      <w:bookmarkStart w:id="165" w:name="_Toc201743791"/>
      <w:r w:rsidRPr="004F746A">
        <w:t>C</w:t>
      </w:r>
      <w:r w:rsidR="005D3423" w:rsidRPr="004F746A">
        <w:t xml:space="preserve">onditions </w:t>
      </w:r>
      <w:r w:rsidR="00145AB2">
        <w:t>d’exécution de la convention</w:t>
      </w:r>
      <w:bookmarkEnd w:id="165"/>
    </w:p>
    <w:p w14:paraId="3762E2AC" w14:textId="16844C18" w:rsidR="009A1D0E" w:rsidRPr="004F746A" w:rsidRDefault="009A1D0E" w:rsidP="007C1882">
      <w:pPr>
        <w:pStyle w:val="Titre2"/>
      </w:pPr>
      <w:bookmarkStart w:id="166" w:name="_Toc201743792"/>
      <w:r w:rsidRPr="004F746A">
        <w:t xml:space="preserve">Carence </w:t>
      </w:r>
      <w:r w:rsidR="00145AB2">
        <w:t>du Bénéficiaire</w:t>
      </w:r>
      <w:bookmarkEnd w:id="166"/>
    </w:p>
    <w:p w14:paraId="50B4E46F" w14:textId="3FD18CD9" w:rsidR="009A1D0E" w:rsidRPr="004F746A" w:rsidRDefault="009A1D0E" w:rsidP="00F42DA2">
      <w:r w:rsidRPr="004F746A">
        <w:t xml:space="preserve">Dans le cas exceptionnel où le </w:t>
      </w:r>
      <w:r w:rsidR="00873D6B">
        <w:t>Bénéficiaire</w:t>
      </w:r>
      <w:r w:rsidRPr="004F746A">
        <w:t xml:space="preserve"> livre des Prestations défectueuses</w:t>
      </w:r>
      <w:r w:rsidR="007276CD">
        <w:t xml:space="preserve"> par rapport à l’ensemble des </w:t>
      </w:r>
      <w:r w:rsidR="00875AE3">
        <w:t>obligations minimales</w:t>
      </w:r>
      <w:r w:rsidR="001A39A1">
        <w:t xml:space="preserve"> </w:t>
      </w:r>
      <w:r w:rsidR="007276CD">
        <w:t>qui lui incombent</w:t>
      </w:r>
      <w:r w:rsidRPr="004F746A">
        <w:t>,</w:t>
      </w:r>
      <w:r w:rsidR="001A39A1">
        <w:t xml:space="preserve"> telles que décrites dans le présent document,</w:t>
      </w:r>
      <w:r w:rsidRPr="004F746A">
        <w:t xml:space="preserve"> le </w:t>
      </w:r>
      <w:r w:rsidR="00873D6B">
        <w:t>Bénéficiaire</w:t>
      </w:r>
      <w:r w:rsidRPr="004F746A">
        <w:t xml:space="preserve"> s’engage à les corriger à ses frais, dans le délai prescrit par le </w:t>
      </w:r>
      <w:r w:rsidR="002304D6" w:rsidRPr="004F746A">
        <w:t>Mucem</w:t>
      </w:r>
      <w:r w:rsidRPr="004F746A">
        <w:t>.</w:t>
      </w:r>
      <w:r w:rsidR="007276CD">
        <w:t xml:space="preserve"> </w:t>
      </w:r>
    </w:p>
    <w:p w14:paraId="46AC5808" w14:textId="1C0BBEBC" w:rsidR="009A1D0E" w:rsidRPr="004F746A" w:rsidRDefault="009A1D0E" w:rsidP="00F42DA2">
      <w:r w:rsidRPr="004F746A">
        <w:t xml:space="preserve">Le retard dans l’exécution des corrections fait encourir au </w:t>
      </w:r>
      <w:r w:rsidR="00873D6B">
        <w:t>Bénéficiaire</w:t>
      </w:r>
      <w:r w:rsidRPr="004F746A">
        <w:t xml:space="preserve"> les pénalités prévues </w:t>
      </w:r>
      <w:r w:rsidRPr="00631775">
        <w:t xml:space="preserve">à </w:t>
      </w:r>
      <w:r w:rsidRPr="00086473">
        <w:rPr>
          <w:b/>
          <w:i/>
          <w:color w:val="595959" w:themeColor="text1" w:themeTint="A6"/>
        </w:rPr>
        <w:t>l’</w:t>
      </w:r>
      <w:r w:rsidR="00086473">
        <w:rPr>
          <w:b/>
          <w:i/>
          <w:color w:val="595959" w:themeColor="text1" w:themeTint="A6"/>
        </w:rPr>
        <w:fldChar w:fldCharType="begin"/>
      </w:r>
      <w:r w:rsidR="00086473" w:rsidRPr="00086473">
        <w:rPr>
          <w:b/>
          <w:i/>
          <w:color w:val="595959" w:themeColor="text1" w:themeTint="A6"/>
        </w:rPr>
        <w:instrText xml:space="preserve"> REF _Ref201221432 \r \h </w:instrText>
      </w:r>
      <w:r w:rsidR="00086473">
        <w:rPr>
          <w:b/>
          <w:i/>
          <w:color w:val="595959" w:themeColor="text1" w:themeTint="A6"/>
        </w:rPr>
        <w:instrText xml:space="preserve"> \* MERGEFORMAT </w:instrText>
      </w:r>
      <w:r w:rsidR="00086473">
        <w:rPr>
          <w:b/>
          <w:i/>
          <w:color w:val="595959" w:themeColor="text1" w:themeTint="A6"/>
        </w:rPr>
      </w:r>
      <w:r w:rsidR="00086473">
        <w:rPr>
          <w:b/>
          <w:i/>
          <w:color w:val="595959" w:themeColor="text1" w:themeTint="A6"/>
        </w:rPr>
        <w:fldChar w:fldCharType="separate"/>
      </w:r>
      <w:r w:rsidR="00813D99">
        <w:rPr>
          <w:b/>
          <w:i/>
          <w:color w:val="595959" w:themeColor="text1" w:themeTint="A6"/>
        </w:rPr>
        <w:t>Article 17</w:t>
      </w:r>
      <w:r w:rsidR="00813D99" w:rsidRPr="00813D99">
        <w:t xml:space="preserve">  </w:t>
      </w:r>
      <w:r w:rsidR="00086473">
        <w:fldChar w:fldCharType="end"/>
      </w:r>
      <w:r w:rsidRPr="00631775">
        <w:rPr>
          <w:b/>
          <w:i/>
          <w:color w:val="595959" w:themeColor="text1" w:themeTint="A6"/>
        </w:rPr>
        <w:t xml:space="preserve">du </w:t>
      </w:r>
      <w:r w:rsidR="00086473">
        <w:rPr>
          <w:b/>
          <w:i/>
          <w:color w:val="595959" w:themeColor="text1" w:themeTint="A6"/>
        </w:rPr>
        <w:t>présent document</w:t>
      </w:r>
      <w:r w:rsidRPr="00631775">
        <w:t>.</w:t>
      </w:r>
    </w:p>
    <w:p w14:paraId="697AFCBB" w14:textId="0E3D7B48" w:rsidR="009A1D0E" w:rsidRPr="004F746A" w:rsidRDefault="009A1D0E" w:rsidP="00F42DA2">
      <w:r w:rsidRPr="004F746A">
        <w:t xml:space="preserve">En cas d’arrêt de travail de son personnel, le </w:t>
      </w:r>
      <w:r w:rsidR="00873D6B">
        <w:t>Bénéficiaire</w:t>
      </w:r>
      <w:r w:rsidRPr="004F746A">
        <w:t xml:space="preserve"> sera tenu d’assurer la continuité de l’exécution </w:t>
      </w:r>
      <w:r w:rsidR="005777C7">
        <w:t>de la convention</w:t>
      </w:r>
      <w:r w:rsidRPr="004F746A">
        <w:t>.</w:t>
      </w:r>
    </w:p>
    <w:p w14:paraId="1A37B175" w14:textId="37C98633" w:rsidR="001432B3" w:rsidRDefault="001432B3" w:rsidP="005777C7">
      <w:bookmarkStart w:id="167" w:name="_Toc333412642"/>
      <w:bookmarkStart w:id="168" w:name="_Ref329692297"/>
      <w:bookmarkStart w:id="169" w:name="_Ref329692471"/>
      <w:bookmarkEnd w:id="102"/>
      <w:bookmarkEnd w:id="103"/>
      <w:bookmarkEnd w:id="104"/>
    </w:p>
    <w:p w14:paraId="328E393E" w14:textId="45FEC171" w:rsidR="00E630F9" w:rsidRPr="00631775" w:rsidRDefault="00E630F9" w:rsidP="00BF0E36">
      <w:pPr>
        <w:pStyle w:val="Titre1"/>
      </w:pPr>
      <w:bookmarkStart w:id="170" w:name="_Ref335896659"/>
      <w:bookmarkStart w:id="171" w:name="_Ref335896673"/>
      <w:bookmarkStart w:id="172" w:name="_Ref201221432"/>
      <w:bookmarkStart w:id="173" w:name="_Toc201743793"/>
      <w:bookmarkEnd w:id="167"/>
      <w:r w:rsidRPr="00631775">
        <w:t>Pénalités</w:t>
      </w:r>
      <w:bookmarkEnd w:id="168"/>
      <w:bookmarkEnd w:id="169"/>
      <w:bookmarkEnd w:id="170"/>
      <w:bookmarkEnd w:id="171"/>
      <w:bookmarkEnd w:id="172"/>
      <w:bookmarkEnd w:id="173"/>
    </w:p>
    <w:p w14:paraId="11A6EDDD" w14:textId="5466D6AC" w:rsidR="001654B9" w:rsidRPr="00631775" w:rsidRDefault="004F746A" w:rsidP="001654B9">
      <w:r w:rsidRPr="00631775">
        <w:t>Les</w:t>
      </w:r>
      <w:r w:rsidR="001654B9" w:rsidRPr="00631775">
        <w:t xml:space="preserve"> pénalités ci-dessous </w:t>
      </w:r>
      <w:r w:rsidR="001A39A1">
        <w:t>seront</w:t>
      </w:r>
      <w:r w:rsidR="001654B9" w:rsidRPr="00631775">
        <w:t xml:space="preserve"> applicables sans mise en demeure préalable.</w:t>
      </w:r>
    </w:p>
    <w:p w14:paraId="25A84169" w14:textId="383DB2E8" w:rsidR="004F746A" w:rsidRPr="00631775" w:rsidRDefault="004F746A" w:rsidP="004F746A">
      <w:pPr>
        <w:pStyle w:val="Titre2"/>
      </w:pPr>
      <w:bookmarkStart w:id="174" w:name="_Toc473106109"/>
      <w:bookmarkStart w:id="175" w:name="_Toc201743794"/>
      <w:r w:rsidRPr="00631775">
        <w:t>Pénalités pour retard de paiement de la redevance</w:t>
      </w:r>
      <w:bookmarkEnd w:id="174"/>
      <w:bookmarkEnd w:id="175"/>
    </w:p>
    <w:p w14:paraId="42E2123D" w14:textId="0F9EA8A9" w:rsidR="004F746A" w:rsidRPr="00631775" w:rsidRDefault="004F746A" w:rsidP="004F746A">
      <w:pPr>
        <w:rPr>
          <w:b/>
        </w:rPr>
      </w:pPr>
      <w:r w:rsidRPr="00631775">
        <w:t xml:space="preserve">En cas de retard de paiement de la redevance </w:t>
      </w:r>
      <w:r w:rsidR="007276CD">
        <w:t>et</w:t>
      </w:r>
      <w:r w:rsidRPr="00631775">
        <w:t xml:space="preserve"> après relance du Mucem restée sans effet, le </w:t>
      </w:r>
      <w:r w:rsidR="00873D6B">
        <w:t>Bénéficiaire</w:t>
      </w:r>
      <w:r w:rsidRPr="00631775">
        <w:t xml:space="preserve"> encourt une pénalité forfaitaire de </w:t>
      </w:r>
      <w:r w:rsidRPr="00631775">
        <w:rPr>
          <w:b/>
        </w:rPr>
        <w:t>100 € HT par jour de retard.</w:t>
      </w:r>
    </w:p>
    <w:p w14:paraId="75E297BB" w14:textId="13E04D72" w:rsidR="004F746A" w:rsidRPr="00631775" w:rsidRDefault="004F746A" w:rsidP="004F746A">
      <w:pPr>
        <w:pStyle w:val="Titre2"/>
      </w:pPr>
      <w:bookmarkStart w:id="176" w:name="_Toc473106110"/>
      <w:bookmarkStart w:id="177" w:name="_Toc201743795"/>
      <w:r w:rsidRPr="00631775">
        <w:t>Pénalités pour non remise en service de l’équipement</w:t>
      </w:r>
      <w:bookmarkEnd w:id="176"/>
      <w:bookmarkEnd w:id="177"/>
    </w:p>
    <w:p w14:paraId="10E3DE84" w14:textId="7D1A28E8" w:rsidR="004F746A" w:rsidRPr="00631775" w:rsidRDefault="004F746A" w:rsidP="004F746A">
      <w:pPr>
        <w:rPr>
          <w:b/>
        </w:rPr>
      </w:pPr>
      <w:r w:rsidRPr="00631775">
        <w:t xml:space="preserve">En cas de retard dans la remise en service d’un équipement tel que prévu à </w:t>
      </w:r>
      <w:r w:rsidRPr="001A39A1">
        <w:rPr>
          <w:b/>
          <w:i/>
          <w:color w:val="595959" w:themeColor="text1" w:themeTint="A6"/>
        </w:rPr>
        <w:t>l’article</w:t>
      </w:r>
      <w:r w:rsidR="001A39A1" w:rsidRPr="001A39A1">
        <w:rPr>
          <w:b/>
          <w:i/>
          <w:color w:val="595959" w:themeColor="text1" w:themeTint="A6"/>
        </w:rPr>
        <w:t xml:space="preserve"> </w:t>
      </w:r>
      <w:r w:rsidR="001A39A1" w:rsidRPr="001A39A1">
        <w:rPr>
          <w:b/>
          <w:i/>
          <w:color w:val="595959" w:themeColor="text1" w:themeTint="A6"/>
        </w:rPr>
        <w:fldChar w:fldCharType="begin"/>
      </w:r>
      <w:r w:rsidR="001A39A1" w:rsidRPr="001A39A1">
        <w:rPr>
          <w:b/>
          <w:i/>
          <w:color w:val="595959" w:themeColor="text1" w:themeTint="A6"/>
        </w:rPr>
        <w:instrText xml:space="preserve"> REF _Ref201225234 \r \h </w:instrText>
      </w:r>
      <w:r w:rsidR="001A39A1">
        <w:rPr>
          <w:b/>
          <w:i/>
          <w:color w:val="595959" w:themeColor="text1" w:themeTint="A6"/>
        </w:rPr>
        <w:instrText xml:space="preserve"> \* MERGEFORMAT </w:instrText>
      </w:r>
      <w:r w:rsidR="001A39A1" w:rsidRPr="001A39A1">
        <w:rPr>
          <w:b/>
          <w:i/>
          <w:color w:val="595959" w:themeColor="text1" w:themeTint="A6"/>
        </w:rPr>
      </w:r>
      <w:r w:rsidR="001A39A1" w:rsidRPr="001A39A1">
        <w:rPr>
          <w:b/>
          <w:i/>
          <w:color w:val="595959" w:themeColor="text1" w:themeTint="A6"/>
        </w:rPr>
        <w:fldChar w:fldCharType="separate"/>
      </w:r>
      <w:r w:rsidR="00813D99">
        <w:rPr>
          <w:b/>
          <w:i/>
          <w:color w:val="595959" w:themeColor="text1" w:themeTint="A6"/>
        </w:rPr>
        <w:t>12.4</w:t>
      </w:r>
      <w:r w:rsidR="001A39A1" w:rsidRPr="001A39A1">
        <w:rPr>
          <w:b/>
          <w:i/>
          <w:color w:val="595959" w:themeColor="text1" w:themeTint="A6"/>
        </w:rPr>
        <w:fldChar w:fldCharType="end"/>
      </w:r>
      <w:r w:rsidR="001A39A1" w:rsidRPr="001A39A1">
        <w:rPr>
          <w:b/>
          <w:i/>
          <w:color w:val="595959" w:themeColor="text1" w:themeTint="A6"/>
        </w:rPr>
        <w:t xml:space="preserve"> </w:t>
      </w:r>
      <w:r w:rsidRPr="001A39A1">
        <w:rPr>
          <w:b/>
          <w:i/>
          <w:color w:val="595959" w:themeColor="text1" w:themeTint="A6"/>
        </w:rPr>
        <w:t>de la présente convention</w:t>
      </w:r>
      <w:r w:rsidRPr="00631775">
        <w:t xml:space="preserve">, le </w:t>
      </w:r>
      <w:r w:rsidR="00873D6B">
        <w:t>Bénéficiaire</w:t>
      </w:r>
      <w:r w:rsidRPr="00631775">
        <w:t xml:space="preserve"> encourt une pénalité forfaitaire de </w:t>
      </w:r>
      <w:r w:rsidRPr="00631775">
        <w:rPr>
          <w:b/>
        </w:rPr>
        <w:t>100 € HT par jour de retard.</w:t>
      </w:r>
    </w:p>
    <w:p w14:paraId="10DC31EB" w14:textId="2E7B7C2D" w:rsidR="004F746A" w:rsidRPr="00631775" w:rsidRDefault="004F746A" w:rsidP="004F746A">
      <w:pPr>
        <w:pStyle w:val="Titre2"/>
      </w:pPr>
      <w:bookmarkStart w:id="178" w:name="_Toc473106111"/>
      <w:bookmarkStart w:id="179" w:name="_Ref42783814"/>
      <w:bookmarkStart w:id="180" w:name="_Toc201743796"/>
      <w:r w:rsidRPr="00631775">
        <w:t>Pénalités pour présence de produits avariés</w:t>
      </w:r>
      <w:bookmarkEnd w:id="178"/>
      <w:bookmarkEnd w:id="179"/>
      <w:bookmarkEnd w:id="180"/>
    </w:p>
    <w:p w14:paraId="6A73AE2E" w14:textId="6EF3D255" w:rsidR="004F746A" w:rsidRPr="00631775" w:rsidRDefault="004F746A" w:rsidP="004F746A">
      <w:r w:rsidRPr="00631775">
        <w:t>En cas de présence d’un produit avarié</w:t>
      </w:r>
      <w:r w:rsidR="001A39A1">
        <w:t>, contaminé</w:t>
      </w:r>
      <w:r w:rsidRPr="00631775">
        <w:t xml:space="preserve"> et/ou d’un produit </w:t>
      </w:r>
      <w:r w:rsidR="001A39A1">
        <w:t>dont</w:t>
      </w:r>
      <w:r w:rsidRPr="00631775">
        <w:t xml:space="preserve"> la DLC serait dépassée, le </w:t>
      </w:r>
      <w:r w:rsidR="00873D6B">
        <w:t>Bénéficiaire</w:t>
      </w:r>
      <w:r w:rsidRPr="00631775">
        <w:t xml:space="preserve"> encourt une pénalité forfaitaire de </w:t>
      </w:r>
      <w:r w:rsidRPr="00631775">
        <w:rPr>
          <w:b/>
        </w:rPr>
        <w:t>200 € HT par jour de présence du produit dans le distributeur</w:t>
      </w:r>
      <w:r w:rsidRPr="00631775">
        <w:t>.</w:t>
      </w:r>
      <w:r w:rsidR="001A39A1">
        <w:t xml:space="preserve"> La pénalité s’applique par produit individuel concerné. </w:t>
      </w:r>
    </w:p>
    <w:p w14:paraId="15B15688" w14:textId="26569494" w:rsidR="004F746A" w:rsidRPr="00631775" w:rsidRDefault="00631775" w:rsidP="004F746A">
      <w:pPr>
        <w:pStyle w:val="Titre2"/>
      </w:pPr>
      <w:bookmarkStart w:id="181" w:name="_Toc201743797"/>
      <w:r w:rsidRPr="00631775">
        <w:t>Pénalités</w:t>
      </w:r>
      <w:r w:rsidR="004F746A" w:rsidRPr="00631775">
        <w:t xml:space="preserve"> pour absence d’enqu</w:t>
      </w:r>
      <w:r w:rsidR="007276CD">
        <w:t>ê</w:t>
      </w:r>
      <w:r w:rsidR="004F746A" w:rsidRPr="00631775">
        <w:t>te de satisfaction</w:t>
      </w:r>
      <w:bookmarkEnd w:id="181"/>
    </w:p>
    <w:p w14:paraId="0D769390" w14:textId="75243176" w:rsidR="004A160C" w:rsidRPr="00631775" w:rsidRDefault="004F746A" w:rsidP="004F746A">
      <w:r w:rsidRPr="00631775">
        <w:t xml:space="preserve">En cas de retard dans l’exécution de l’enquête de satisfaction prévue à </w:t>
      </w:r>
      <w:r w:rsidRPr="001A39A1">
        <w:rPr>
          <w:b/>
          <w:i/>
          <w:color w:val="595959" w:themeColor="text1" w:themeTint="A6"/>
        </w:rPr>
        <w:t xml:space="preserve">l’article </w:t>
      </w:r>
      <w:r w:rsidR="001A39A1" w:rsidRPr="001A39A1">
        <w:rPr>
          <w:b/>
          <w:i/>
          <w:color w:val="595959" w:themeColor="text1" w:themeTint="A6"/>
        </w:rPr>
        <w:fldChar w:fldCharType="begin"/>
      </w:r>
      <w:r w:rsidR="001A39A1" w:rsidRPr="001A39A1">
        <w:rPr>
          <w:b/>
          <w:i/>
          <w:color w:val="595959" w:themeColor="text1" w:themeTint="A6"/>
        </w:rPr>
        <w:instrText xml:space="preserve"> REF _Ref201225257 \r \h </w:instrText>
      </w:r>
      <w:r w:rsidR="001A39A1">
        <w:rPr>
          <w:b/>
          <w:i/>
          <w:color w:val="595959" w:themeColor="text1" w:themeTint="A6"/>
        </w:rPr>
        <w:instrText xml:space="preserve"> \* MERGEFORMAT </w:instrText>
      </w:r>
      <w:r w:rsidR="001A39A1" w:rsidRPr="001A39A1">
        <w:rPr>
          <w:b/>
          <w:i/>
          <w:color w:val="595959" w:themeColor="text1" w:themeTint="A6"/>
        </w:rPr>
      </w:r>
      <w:r w:rsidR="001A39A1" w:rsidRPr="001A39A1">
        <w:rPr>
          <w:b/>
          <w:i/>
          <w:color w:val="595959" w:themeColor="text1" w:themeTint="A6"/>
        </w:rPr>
        <w:fldChar w:fldCharType="separate"/>
      </w:r>
      <w:r w:rsidR="00813D99">
        <w:rPr>
          <w:b/>
          <w:i/>
          <w:color w:val="595959" w:themeColor="text1" w:themeTint="A6"/>
        </w:rPr>
        <w:t>12.3</w:t>
      </w:r>
      <w:r w:rsidR="001A39A1" w:rsidRPr="001A39A1">
        <w:rPr>
          <w:b/>
          <w:i/>
          <w:color w:val="595959" w:themeColor="text1" w:themeTint="A6"/>
        </w:rPr>
        <w:fldChar w:fldCharType="end"/>
      </w:r>
      <w:r w:rsidR="001A39A1" w:rsidRPr="001A39A1">
        <w:rPr>
          <w:b/>
          <w:i/>
          <w:color w:val="595959" w:themeColor="text1" w:themeTint="A6"/>
        </w:rPr>
        <w:t xml:space="preserve"> du présent document</w:t>
      </w:r>
      <w:r w:rsidRPr="00631775">
        <w:t xml:space="preserve">, le </w:t>
      </w:r>
      <w:r w:rsidR="00873D6B">
        <w:t>Bénéficiaire</w:t>
      </w:r>
      <w:r w:rsidRPr="00631775">
        <w:t xml:space="preserve"> </w:t>
      </w:r>
      <w:r w:rsidR="00D947C9" w:rsidRPr="00631775">
        <w:t>encourt</w:t>
      </w:r>
      <w:r w:rsidRPr="00631775">
        <w:t xml:space="preserve"> une pénalité forfaitaire de </w:t>
      </w:r>
      <w:r w:rsidRPr="001A39A1">
        <w:rPr>
          <w:b/>
        </w:rPr>
        <w:t>200 €</w:t>
      </w:r>
      <w:r w:rsidR="001A39A1" w:rsidRPr="001A39A1">
        <w:rPr>
          <w:b/>
        </w:rPr>
        <w:t>HT</w:t>
      </w:r>
      <w:r w:rsidRPr="00631775">
        <w:t xml:space="preserve"> par mois de retard.</w:t>
      </w:r>
    </w:p>
    <w:p w14:paraId="1907BCF4" w14:textId="427EDF07" w:rsidR="004A160C" w:rsidRPr="00631775" w:rsidRDefault="00631775" w:rsidP="00631775">
      <w:pPr>
        <w:pStyle w:val="Titre2"/>
      </w:pPr>
      <w:bookmarkStart w:id="182" w:name="_Toc201743798"/>
      <w:r w:rsidRPr="00631775">
        <w:t xml:space="preserve">Pénalités pour retard de remise des pièces listées à l’article </w:t>
      </w:r>
      <w:r w:rsidR="0000197F">
        <w:fldChar w:fldCharType="begin"/>
      </w:r>
      <w:r w:rsidR="0000197F">
        <w:instrText xml:space="preserve"> REF _Ref201225420 \r \h </w:instrText>
      </w:r>
      <w:r w:rsidR="0000197F">
        <w:fldChar w:fldCharType="separate"/>
      </w:r>
      <w:r w:rsidR="00813D99">
        <w:t>12.8</w:t>
      </w:r>
      <w:r w:rsidR="0000197F">
        <w:fldChar w:fldCharType="end"/>
      </w:r>
      <w:r w:rsidR="0000197F">
        <w:t xml:space="preserve"> de la convention</w:t>
      </w:r>
      <w:bookmarkEnd w:id="182"/>
    </w:p>
    <w:p w14:paraId="36537845" w14:textId="42F06ABA" w:rsidR="00631775" w:rsidRPr="00631775" w:rsidRDefault="00631775" w:rsidP="00631775">
      <w:pPr>
        <w:rPr>
          <w:highlight w:val="yellow"/>
        </w:rPr>
      </w:pPr>
      <w:r w:rsidRPr="00631775">
        <w:t>En cas de retard dans la remis</w:t>
      </w:r>
      <w:r w:rsidR="00060BC5">
        <w:t xml:space="preserve">e des pièces prévue à </w:t>
      </w:r>
      <w:r w:rsidR="00060BC5" w:rsidRPr="0000197F">
        <w:rPr>
          <w:b/>
          <w:i/>
          <w:color w:val="595959" w:themeColor="text1" w:themeTint="A6"/>
        </w:rPr>
        <w:t xml:space="preserve">l’article </w:t>
      </w:r>
      <w:r w:rsidR="0000197F" w:rsidRPr="0000197F">
        <w:rPr>
          <w:b/>
          <w:i/>
          <w:color w:val="595959" w:themeColor="text1" w:themeTint="A6"/>
        </w:rPr>
        <w:fldChar w:fldCharType="begin"/>
      </w:r>
      <w:r w:rsidR="0000197F" w:rsidRPr="0000197F">
        <w:rPr>
          <w:b/>
          <w:i/>
          <w:color w:val="595959" w:themeColor="text1" w:themeTint="A6"/>
        </w:rPr>
        <w:instrText xml:space="preserve"> REF _Ref201225432 \r \h </w:instrText>
      </w:r>
      <w:r w:rsidR="0000197F">
        <w:rPr>
          <w:b/>
          <w:i/>
          <w:color w:val="595959" w:themeColor="text1" w:themeTint="A6"/>
        </w:rPr>
        <w:instrText xml:space="preserve"> \* MERGEFORMAT </w:instrText>
      </w:r>
      <w:r w:rsidR="0000197F" w:rsidRPr="0000197F">
        <w:rPr>
          <w:b/>
          <w:i/>
          <w:color w:val="595959" w:themeColor="text1" w:themeTint="A6"/>
        </w:rPr>
      </w:r>
      <w:r w:rsidR="0000197F" w:rsidRPr="0000197F">
        <w:rPr>
          <w:b/>
          <w:i/>
          <w:color w:val="595959" w:themeColor="text1" w:themeTint="A6"/>
        </w:rPr>
        <w:fldChar w:fldCharType="separate"/>
      </w:r>
      <w:r w:rsidR="00813D99">
        <w:rPr>
          <w:b/>
          <w:i/>
          <w:color w:val="595959" w:themeColor="text1" w:themeTint="A6"/>
        </w:rPr>
        <w:t>12.8</w:t>
      </w:r>
      <w:r w:rsidR="0000197F" w:rsidRPr="0000197F">
        <w:rPr>
          <w:b/>
          <w:i/>
          <w:color w:val="595959" w:themeColor="text1" w:themeTint="A6"/>
        </w:rPr>
        <w:fldChar w:fldCharType="end"/>
      </w:r>
      <w:r w:rsidR="0000197F" w:rsidRPr="0000197F">
        <w:rPr>
          <w:b/>
          <w:i/>
          <w:color w:val="595959" w:themeColor="text1" w:themeTint="A6"/>
        </w:rPr>
        <w:t xml:space="preserve"> du présent document</w:t>
      </w:r>
      <w:r w:rsidRPr="00631775">
        <w:t xml:space="preserve">, le </w:t>
      </w:r>
      <w:r w:rsidR="00873D6B">
        <w:t>Bénéficiaire</w:t>
      </w:r>
      <w:r w:rsidRPr="00631775">
        <w:t xml:space="preserve"> encourt une pénalité forfaitaire de </w:t>
      </w:r>
      <w:r w:rsidRPr="0000197F">
        <w:rPr>
          <w:b/>
        </w:rPr>
        <w:t>200 €</w:t>
      </w:r>
      <w:r w:rsidRPr="00631775">
        <w:t xml:space="preserve"> par mois de retard.</w:t>
      </w:r>
    </w:p>
    <w:p w14:paraId="1B63420F" w14:textId="23ED9F82" w:rsidR="00E32C64" w:rsidRDefault="007276CD" w:rsidP="007C1882">
      <w:pPr>
        <w:pStyle w:val="Titre2"/>
      </w:pPr>
      <w:bookmarkStart w:id="183" w:name="_Toc201743799"/>
      <w:r>
        <w:t>Pénalité</w:t>
      </w:r>
      <w:r w:rsidR="00CD354A">
        <w:t>s</w:t>
      </w:r>
      <w:r>
        <w:t xml:space="preserve"> pour </w:t>
      </w:r>
      <w:r w:rsidR="00875AE3">
        <w:t>n</w:t>
      </w:r>
      <w:r w:rsidR="00E32C64">
        <w:t>on-respect du plan de prévention</w:t>
      </w:r>
      <w:bookmarkEnd w:id="183"/>
    </w:p>
    <w:p w14:paraId="49E9F40B" w14:textId="0213F952" w:rsidR="00E32C64" w:rsidRDefault="00E32C64" w:rsidP="00E32C64">
      <w:r>
        <w:t xml:space="preserve">Sur simple constat </w:t>
      </w:r>
      <w:r w:rsidR="008F107F">
        <w:t>du Mucem</w:t>
      </w:r>
      <w:r>
        <w:t xml:space="preserve">, des pénalités seront appliquées au </w:t>
      </w:r>
      <w:r w:rsidR="00873D6B">
        <w:t>Bénéficiaire</w:t>
      </w:r>
      <w:r>
        <w:t xml:space="preserve"> pour non-respect des dispositions fixées dans le plan de prévention d’un montant de :</w:t>
      </w:r>
    </w:p>
    <w:p w14:paraId="0D13C5C0" w14:textId="53E0C8D7" w:rsidR="00E32C64" w:rsidRDefault="00E32C64" w:rsidP="00E32C64">
      <w:pPr>
        <w:pStyle w:val="Listepuces"/>
      </w:pPr>
      <w:r>
        <w:t xml:space="preserve">1000 </w:t>
      </w:r>
      <w:r w:rsidR="00A24DE5">
        <w:t xml:space="preserve">€ </w:t>
      </w:r>
      <w:r>
        <w:t>(mill</w:t>
      </w:r>
      <w:r w:rsidR="00A24DE5">
        <w:t>e euros)</w:t>
      </w:r>
      <w:r>
        <w:t xml:space="preserve"> par infraction constatée lorsque la violation met en danger la vie d</w:t>
      </w:r>
      <w:r w:rsidR="007B5D66">
        <w:t>’une personne</w:t>
      </w:r>
    </w:p>
    <w:p w14:paraId="724113C3" w14:textId="5FFD35B3" w:rsidR="00E32C64" w:rsidRDefault="00E32C64" w:rsidP="00E32C64">
      <w:pPr>
        <w:pStyle w:val="Listepuces"/>
      </w:pPr>
      <w:r>
        <w:t xml:space="preserve">500 </w:t>
      </w:r>
      <w:r w:rsidR="00A24DE5">
        <w:t xml:space="preserve">€ </w:t>
      </w:r>
      <w:r>
        <w:t>(cinq cents</w:t>
      </w:r>
      <w:r w:rsidR="00A24DE5">
        <w:t xml:space="preserve"> euros</w:t>
      </w:r>
      <w:r>
        <w:t>) par infraction con</w:t>
      </w:r>
      <w:r w:rsidR="007B5D66">
        <w:t>statée dans tous les autres cas</w:t>
      </w:r>
    </w:p>
    <w:p w14:paraId="1D534EE6" w14:textId="7FFD3754" w:rsidR="007276CD" w:rsidRDefault="007276CD" w:rsidP="007276CD">
      <w:pPr>
        <w:pStyle w:val="Titre2"/>
      </w:pPr>
      <w:bookmarkStart w:id="184" w:name="_Toc201743800"/>
      <w:r>
        <w:lastRenderedPageBreak/>
        <w:t>Pénalité</w:t>
      </w:r>
      <w:r w:rsidR="00CD354A">
        <w:t>s</w:t>
      </w:r>
      <w:r>
        <w:t xml:space="preserve"> pour retard dans la dépose des distributeurs en fin de contrat</w:t>
      </w:r>
      <w:bookmarkEnd w:id="184"/>
      <w:r>
        <w:t xml:space="preserve"> </w:t>
      </w:r>
    </w:p>
    <w:p w14:paraId="2C1471F0" w14:textId="54B90D98" w:rsidR="007276CD" w:rsidRPr="00E32C64" w:rsidRDefault="00E73270" w:rsidP="007276CD">
      <w:r>
        <w:t xml:space="preserve">En cas de retard dans la dépose des distributeurs en fin de contrat selon la date qui sera convenue entre le Mucem et l’Occupant, </w:t>
      </w:r>
      <w:r w:rsidR="001A39A1">
        <w:t xml:space="preserve">le Bénéficiaire encourt une pénalité forfaitaire de </w:t>
      </w:r>
      <w:r w:rsidR="001A39A1" w:rsidRPr="0000197F">
        <w:rPr>
          <w:b/>
        </w:rPr>
        <w:t>200 €</w:t>
      </w:r>
      <w:r w:rsidR="0000197F" w:rsidRPr="0000197F">
        <w:rPr>
          <w:b/>
        </w:rPr>
        <w:t>HT</w:t>
      </w:r>
      <w:r w:rsidR="001A39A1">
        <w:t xml:space="preserve"> par jour de retard. </w:t>
      </w:r>
    </w:p>
    <w:p w14:paraId="0D681B21" w14:textId="37DF05B7" w:rsidR="0077298C" w:rsidRDefault="0077298C" w:rsidP="00777C56">
      <w:pPr>
        <w:pStyle w:val="Titre2"/>
      </w:pPr>
      <w:bookmarkStart w:id="185" w:name="_Toc251755533"/>
      <w:bookmarkStart w:id="186" w:name="_Toc251755609"/>
      <w:bookmarkStart w:id="187" w:name="_Toc251761130"/>
      <w:bookmarkStart w:id="188" w:name="_Toc295161016"/>
      <w:bookmarkStart w:id="189" w:name="_Toc295312974"/>
      <w:bookmarkStart w:id="190" w:name="_Toc329592796"/>
      <w:bookmarkStart w:id="191" w:name="_Toc201743801"/>
      <w:r w:rsidRPr="00062D32">
        <w:t>Dispositions d’application</w:t>
      </w:r>
      <w:bookmarkEnd w:id="185"/>
      <w:bookmarkEnd w:id="186"/>
      <w:bookmarkEnd w:id="187"/>
      <w:bookmarkEnd w:id="188"/>
      <w:bookmarkEnd w:id="189"/>
      <w:bookmarkEnd w:id="190"/>
      <w:bookmarkEnd w:id="191"/>
    </w:p>
    <w:p w14:paraId="2A7BB22B" w14:textId="41F658FE" w:rsidR="001654B9" w:rsidRDefault="001654B9" w:rsidP="001654B9">
      <w:pPr>
        <w:rPr>
          <w:szCs w:val="22"/>
        </w:rPr>
      </w:pPr>
      <w:r w:rsidRPr="00A0774B">
        <w:rPr>
          <w:szCs w:val="22"/>
        </w:rPr>
        <w:t xml:space="preserve">Les événements et incidents générant les pénalités énumérées ci-dessus sont censés être imputables au </w:t>
      </w:r>
      <w:r w:rsidR="00873D6B">
        <w:rPr>
          <w:szCs w:val="22"/>
        </w:rPr>
        <w:t>Bénéficiaire</w:t>
      </w:r>
      <w:r w:rsidRPr="00A0774B">
        <w:rPr>
          <w:szCs w:val="22"/>
        </w:rPr>
        <w:t xml:space="preserve"> à charge pour celui-ci d'apporter la preuve du contraire.</w:t>
      </w:r>
      <w:bookmarkStart w:id="192" w:name="_Toc157598758"/>
      <w:bookmarkEnd w:id="192"/>
    </w:p>
    <w:p w14:paraId="6DE575BC" w14:textId="77777777" w:rsidR="0077298C" w:rsidRPr="00062D32" w:rsidRDefault="0077298C" w:rsidP="00692A9C">
      <w:r w:rsidRPr="00062D32">
        <w:t>Les différents types de pénalités ne sont pas exclusifs les uns des autres et peuvent être cumulés.</w:t>
      </w:r>
    </w:p>
    <w:p w14:paraId="16E2A8B5" w14:textId="77777777" w:rsidR="0077298C" w:rsidRPr="00062D32" w:rsidRDefault="0077298C" w:rsidP="00875AE3">
      <w:pPr>
        <w:spacing w:after="0"/>
      </w:pPr>
      <w:r>
        <w:t>L</w:t>
      </w:r>
      <w:r w:rsidRPr="00062D32">
        <w:t xml:space="preserve">es pénalités sont déterminées forfaitairement (en €), le cas échéant par jour calendaire de retard, et ne seront pas soumises à l’obligation de mise en demeure préalable. </w:t>
      </w:r>
    </w:p>
    <w:p w14:paraId="3F8CACBD" w14:textId="77777777" w:rsidR="00D316F2" w:rsidRDefault="00D316F2" w:rsidP="00875AE3">
      <w:pPr>
        <w:spacing w:after="0"/>
      </w:pPr>
    </w:p>
    <w:p w14:paraId="6A215344" w14:textId="22C0D3FE" w:rsidR="009221C5" w:rsidRPr="005D12C1" w:rsidRDefault="009221C5" w:rsidP="00875AE3">
      <w:pPr>
        <w:spacing w:after="0"/>
      </w:pPr>
      <w:r w:rsidRPr="005D12C1">
        <w:t xml:space="preserve">Lorsque le délai imparti au </w:t>
      </w:r>
      <w:r w:rsidR="00873D6B">
        <w:t>Bénéficiaire</w:t>
      </w:r>
      <w:r w:rsidRPr="005D12C1">
        <w:t xml:space="preserve"> expire un samedi, un dimanche ou un jour férié, son échéance est reportée au premier jour ouvrable suivant.</w:t>
      </w:r>
    </w:p>
    <w:p w14:paraId="3DBF2CAA" w14:textId="1B844BEB" w:rsidR="009221C5" w:rsidRDefault="009221C5" w:rsidP="00875AE3">
      <w:pPr>
        <w:spacing w:after="0"/>
      </w:pPr>
      <w:r w:rsidRPr="005D12C1">
        <w:t>En cas de dépassement de ce délai, la période d'application des pénalités correspondantes commence le jour suivant l'expiration dudit délai et s'achève le jour de la date effective de fin d'e</w:t>
      </w:r>
      <w:r>
        <w:t>xécution de la P</w:t>
      </w:r>
      <w:r w:rsidRPr="005D12C1">
        <w:t>restation.</w:t>
      </w:r>
    </w:p>
    <w:p w14:paraId="12CB9C37" w14:textId="77777777" w:rsidR="00D316F2" w:rsidRDefault="00D316F2" w:rsidP="00875AE3">
      <w:pPr>
        <w:spacing w:after="0"/>
      </w:pPr>
    </w:p>
    <w:p w14:paraId="106EE187" w14:textId="5B73EA2A" w:rsidR="0077298C" w:rsidRPr="00062D32" w:rsidRDefault="0077298C" w:rsidP="00875AE3">
      <w:pPr>
        <w:spacing w:after="0"/>
      </w:pPr>
      <w:r w:rsidRPr="00062D32">
        <w:t xml:space="preserve">Le montant cumulé de toutes les pénalités </w:t>
      </w:r>
      <w:r w:rsidR="00A24DE5">
        <w:t>fera l’objet d’un titre de recette émis par l’</w:t>
      </w:r>
      <w:r w:rsidR="00800520">
        <w:t>A</w:t>
      </w:r>
      <w:r w:rsidR="00A24DE5">
        <w:t xml:space="preserve">gent </w:t>
      </w:r>
      <w:r w:rsidR="00800520">
        <w:t>C</w:t>
      </w:r>
      <w:r w:rsidR="00A24DE5">
        <w:t>ompta</w:t>
      </w:r>
      <w:r w:rsidR="00800520">
        <w:t xml:space="preserve">ble </w:t>
      </w:r>
    </w:p>
    <w:p w14:paraId="2C005455" w14:textId="77F174E3" w:rsidR="00110B7E" w:rsidRDefault="00110B7E" w:rsidP="00875AE3">
      <w:pPr>
        <w:spacing w:after="0"/>
      </w:pPr>
      <w:r>
        <w:t xml:space="preserve">Une remise de pénalité peut être accordée au </w:t>
      </w:r>
      <w:r w:rsidR="00873D6B">
        <w:t>Bénéficiaire</w:t>
      </w:r>
      <w:r>
        <w:t xml:space="preserve"> par le Mucem sur décision spéciale et motivée</w:t>
      </w:r>
      <w:r w:rsidR="0056588F">
        <w:t>,</w:t>
      </w:r>
      <w:r>
        <w:t xml:space="preserve"> eu égard :</w:t>
      </w:r>
    </w:p>
    <w:p w14:paraId="6324CF42" w14:textId="0AA1D5B2" w:rsidR="00110B7E" w:rsidRDefault="00875AE3" w:rsidP="00875AE3">
      <w:pPr>
        <w:pStyle w:val="Listepuces"/>
        <w:spacing w:after="0"/>
      </w:pPr>
      <w:r>
        <w:t>Aux</w:t>
      </w:r>
      <w:r w:rsidR="00110B7E">
        <w:t xml:space="preserve"> efforts du </w:t>
      </w:r>
      <w:r w:rsidR="00873D6B">
        <w:t>Bénéficiaire</w:t>
      </w:r>
      <w:r w:rsidR="00110B7E">
        <w:t xml:space="preserve"> accomplis pour limiter le préjudice subi</w:t>
      </w:r>
    </w:p>
    <w:p w14:paraId="4D642C2A" w14:textId="0FA0ABDD" w:rsidR="00110B7E" w:rsidRDefault="00875AE3" w:rsidP="00875AE3">
      <w:pPr>
        <w:pStyle w:val="Listepuces"/>
        <w:spacing w:after="0"/>
      </w:pPr>
      <w:r>
        <w:t>Au</w:t>
      </w:r>
      <w:r w:rsidR="00110B7E">
        <w:t xml:space="preserve"> préjudice effectivement subi</w:t>
      </w:r>
    </w:p>
    <w:p w14:paraId="4E89CCC2" w14:textId="42BE1D8B" w:rsidR="00110B7E" w:rsidRDefault="00875AE3" w:rsidP="00875AE3">
      <w:pPr>
        <w:pStyle w:val="Listepuces"/>
        <w:spacing w:after="0"/>
      </w:pPr>
      <w:r>
        <w:t>À</w:t>
      </w:r>
      <w:r w:rsidR="00110B7E">
        <w:t xml:space="preserve"> la proportion entre le montant de la pénalité et le montant du </w:t>
      </w:r>
      <w:r w:rsidR="003F63DA">
        <w:t>contrat</w:t>
      </w:r>
    </w:p>
    <w:p w14:paraId="1A541BCA" w14:textId="408CCD77" w:rsidR="00BF0E36" w:rsidRDefault="00BF6011" w:rsidP="00BF0E36">
      <w:pPr>
        <w:pStyle w:val="Titre1"/>
      </w:pPr>
      <w:bookmarkStart w:id="193" w:name="_Ref416181510"/>
      <w:bookmarkStart w:id="194" w:name="_Toc201743802"/>
      <w:r>
        <w:t xml:space="preserve">Responsabilité - </w:t>
      </w:r>
      <w:r w:rsidR="00BF0E36">
        <w:t>Assurance</w:t>
      </w:r>
      <w:bookmarkEnd w:id="193"/>
      <w:r>
        <w:t>s</w:t>
      </w:r>
      <w:bookmarkEnd w:id="194"/>
    </w:p>
    <w:p w14:paraId="0CD2255D" w14:textId="60E03149" w:rsidR="00163AC2" w:rsidRDefault="00163AC2" w:rsidP="00163AC2">
      <w:r>
        <w:t xml:space="preserve">Le </w:t>
      </w:r>
      <w:r w:rsidR="00873D6B">
        <w:t>Bénéficiaire</w:t>
      </w:r>
      <w:r>
        <w:t xml:space="preserve"> est responsable de l’ensemble des préjudices de toutes nature qui pourraient être causés à toutes personnes ou à tous bien, appartement au Mucem ou à des tiers, du fait de ses </w:t>
      </w:r>
      <w:r w:rsidR="00541C94">
        <w:t>intervention</w:t>
      </w:r>
      <w:r>
        <w:t>, soit de son personnel, soit des tiers agissant pour son compte, soit de ses fournisseurs, soit des choses dont il a la garde.</w:t>
      </w:r>
    </w:p>
    <w:p w14:paraId="30D84893" w14:textId="13CFA2C0" w:rsidR="000416D1" w:rsidRDefault="00944596" w:rsidP="00944596">
      <w:r>
        <w:t xml:space="preserve">Dans un délai de quinze jours à compter de la notification du </w:t>
      </w:r>
      <w:r w:rsidR="00591C85">
        <w:t>contrat</w:t>
      </w:r>
      <w:r>
        <w:t xml:space="preserve"> et avant tout commencement d’exécution, le </w:t>
      </w:r>
      <w:r w:rsidR="00873D6B">
        <w:t>Bénéficiaire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1FA36270" w:rsidR="00944596" w:rsidRDefault="000416D1" w:rsidP="00944596">
      <w:r w:rsidRPr="00E52477">
        <w:rPr>
          <w:rFonts w:eastAsia="Calibri" w:cs="Arial"/>
          <w:lang w:eastAsia="en-US"/>
        </w:rPr>
        <w:t xml:space="preserve">Le </w:t>
      </w:r>
      <w:r w:rsidR="00873D6B">
        <w:rPr>
          <w:rFonts w:eastAsia="Calibri" w:cs="Arial"/>
          <w:lang w:eastAsia="en-US"/>
        </w:rPr>
        <w:t>Bénéficiaire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77777777" w:rsidR="00944596" w:rsidRDefault="00944596" w:rsidP="00944596">
      <w:r>
        <w:t>Il devra donc fournir une attestation de son assureur justifiant qu’il est à jour de ses cotisations et que sa police contient les garanties en rapport avec l’importance de la Prestation.</w:t>
      </w:r>
    </w:p>
    <w:p w14:paraId="0CBB04BC" w14:textId="110B4F3B" w:rsidR="00944596" w:rsidRDefault="00800520" w:rsidP="00944596">
      <w:r>
        <w:t>À tout moment</w:t>
      </w:r>
      <w:r w:rsidR="00944596">
        <w:t xml:space="preserve"> durant l’exécution de la Prestation, le </w:t>
      </w:r>
      <w:r w:rsidR="00873D6B">
        <w:t>Bénéficiaire</w:t>
      </w:r>
      <w:r w:rsidR="00944596">
        <w:t xml:space="preserve"> doit être en mesure de produire cette attestation, sur demande du </w:t>
      </w:r>
      <w:r w:rsidR="002C5D9A">
        <w:t>Mucem</w:t>
      </w:r>
      <w:r w:rsidR="00944596">
        <w:t xml:space="preserve"> et dans un délai de quinze jours à compter de la réception de la demande.</w:t>
      </w:r>
    </w:p>
    <w:p w14:paraId="65A36CFC" w14:textId="48D3DD0E" w:rsidR="00412190" w:rsidRPr="00631775" w:rsidRDefault="00C213CA" w:rsidP="00BF0E36">
      <w:pPr>
        <w:pStyle w:val="Titre1"/>
      </w:pPr>
      <w:bookmarkStart w:id="195" w:name="_Toc201743803"/>
      <w:r w:rsidRPr="00631775">
        <w:t>Fin du contrat</w:t>
      </w:r>
      <w:bookmarkEnd w:id="195"/>
    </w:p>
    <w:p w14:paraId="65273434" w14:textId="77777777" w:rsidR="00C213CA" w:rsidRDefault="00C213CA" w:rsidP="00C213CA">
      <w:pPr>
        <w:pStyle w:val="Titre2"/>
      </w:pPr>
      <w:bookmarkStart w:id="196" w:name="_Toc473106115"/>
      <w:bookmarkStart w:id="197" w:name="_Ref454960589"/>
      <w:bookmarkStart w:id="198" w:name="_Ref454960594"/>
      <w:bookmarkStart w:id="199" w:name="_Ref399754327"/>
      <w:bookmarkStart w:id="200" w:name="_Ref400370216"/>
      <w:bookmarkStart w:id="201" w:name="_Toc201743804"/>
      <w:r>
        <w:t>Résiliation</w:t>
      </w:r>
      <w:bookmarkEnd w:id="196"/>
      <w:r>
        <w:t xml:space="preserve"> </w:t>
      </w:r>
      <w:r w:rsidRPr="00C213CA">
        <w:t>pour</w:t>
      </w:r>
      <w:r>
        <w:t xml:space="preserve"> faute</w:t>
      </w:r>
      <w:bookmarkEnd w:id="201"/>
    </w:p>
    <w:p w14:paraId="2C0A9CD0" w14:textId="10CB5DBD" w:rsidR="00C213CA" w:rsidRPr="00CB7E23" w:rsidRDefault="00C213CA" w:rsidP="007215FB">
      <w:pPr>
        <w:pStyle w:val="rNormal"/>
      </w:pPr>
      <w:r>
        <w:t>L</w:t>
      </w:r>
      <w:r w:rsidR="007F263D">
        <w:t>’AOT</w:t>
      </w:r>
      <w:r>
        <w:t xml:space="preserve"> peut être résiliée pour faute, par le Mucem, en cas de manquement </w:t>
      </w:r>
      <w:r w:rsidRPr="00CB7E23">
        <w:t>grave et prolongé par l’</w:t>
      </w:r>
      <w:r w:rsidR="008231F9">
        <w:t>Occupant</w:t>
      </w:r>
      <w:r w:rsidRPr="00CB7E23">
        <w:t xml:space="preserve"> à ses obligations conventionnelles, </w:t>
      </w:r>
      <w:r w:rsidRPr="00CB7E23">
        <w:rPr>
          <w:rFonts w:ascii="Tahoma" w:hAnsi="Tahoma" w:cs="Tahoma"/>
        </w:rPr>
        <w:t>à moins que ces manquements ne soient</w:t>
      </w:r>
      <w:r w:rsidRPr="00CB7E23">
        <w:rPr>
          <w:rFonts w:ascii="Tahoma" w:eastAsia="HiddenHorzOCR" w:hAnsi="Tahoma" w:cs="Tahoma"/>
        </w:rPr>
        <w:t xml:space="preserve"> imputables à </w:t>
      </w:r>
      <w:r w:rsidRPr="00CB7E23">
        <w:rPr>
          <w:rFonts w:ascii="Tahoma" w:hAnsi="Tahoma" w:cs="Tahoma"/>
        </w:rPr>
        <w:t>des circonstances étrangères.</w:t>
      </w:r>
    </w:p>
    <w:p w14:paraId="2E2E9CF3" w14:textId="77777777" w:rsidR="00C213CA" w:rsidRPr="00CB7E23" w:rsidRDefault="00C213CA" w:rsidP="00C24E48">
      <w:pPr>
        <w:pStyle w:val="rNormal"/>
      </w:pPr>
      <w:r w:rsidRPr="00CB7E23">
        <w:t>Sont notamment réputées comme fautes graves :</w:t>
      </w:r>
    </w:p>
    <w:p w14:paraId="4D47D165" w14:textId="5B6A74D4" w:rsidR="00C213CA" w:rsidRPr="00CB7E23" w:rsidRDefault="00875AE3" w:rsidP="00C24E48">
      <w:pPr>
        <w:pStyle w:val="Listepuces"/>
      </w:pPr>
      <w:r w:rsidRPr="00CB7E23">
        <w:t>Le</w:t>
      </w:r>
      <w:r w:rsidR="00C213CA" w:rsidRPr="00CB7E23">
        <w:t xml:space="preserve"> non-respect grave et répété à l’hygiène et à la sécurité ;</w:t>
      </w:r>
    </w:p>
    <w:p w14:paraId="5738F598" w14:textId="04779894" w:rsidR="00C213CA" w:rsidRPr="00CB7E23" w:rsidRDefault="00875AE3" w:rsidP="00C24E48">
      <w:pPr>
        <w:pStyle w:val="Listepuces"/>
      </w:pPr>
      <w:r w:rsidRPr="00CB7E23">
        <w:t>L’atteinte</w:t>
      </w:r>
      <w:r w:rsidR="00C213CA" w:rsidRPr="00CB7E23">
        <w:t xml:space="preserve"> à la réglementation de sécurité ou aux impératifs de sécurité propres à l’établissement ;</w:t>
      </w:r>
    </w:p>
    <w:p w14:paraId="3F32A342" w14:textId="59F8692D" w:rsidR="00C213CA" w:rsidRPr="00CB7E23" w:rsidRDefault="00875AE3" w:rsidP="00C24E48">
      <w:pPr>
        <w:pStyle w:val="Listepuces"/>
      </w:pPr>
      <w:r w:rsidRPr="00CB7E23">
        <w:t>L’atteinte</w:t>
      </w:r>
      <w:r w:rsidR="00C213CA" w:rsidRPr="00CB7E23">
        <w:t xml:space="preserve"> grave et répétée à l’ordre public ;</w:t>
      </w:r>
    </w:p>
    <w:p w14:paraId="14ADE90E" w14:textId="3C349662" w:rsidR="00C213CA" w:rsidRPr="00CB7E23" w:rsidRDefault="00875AE3" w:rsidP="00C24E48">
      <w:pPr>
        <w:pStyle w:val="Listepuces"/>
      </w:pPr>
      <w:r w:rsidRPr="00CB7E23">
        <w:t>Le</w:t>
      </w:r>
      <w:r w:rsidR="00C213CA" w:rsidRPr="00CB7E23">
        <w:t xml:space="preserve"> non-paiement des redevances ;</w:t>
      </w:r>
    </w:p>
    <w:p w14:paraId="6ED27BE6" w14:textId="0C260F9B" w:rsidR="00C213CA" w:rsidRPr="00CB7E23" w:rsidRDefault="00875AE3" w:rsidP="00C24E48">
      <w:pPr>
        <w:pStyle w:val="Listepuces"/>
      </w:pPr>
      <w:r w:rsidRPr="00CB7E23">
        <w:t>La</w:t>
      </w:r>
      <w:r w:rsidR="00C213CA" w:rsidRPr="00CB7E23">
        <w:t xml:space="preserve"> constatation d’une fraude imputable à l’</w:t>
      </w:r>
      <w:r w:rsidR="008231F9">
        <w:t>Occupant</w:t>
      </w:r>
      <w:r w:rsidR="00C213CA" w:rsidRPr="00CB7E23">
        <w:t>, réputée publique ;</w:t>
      </w:r>
    </w:p>
    <w:p w14:paraId="1BE82124" w14:textId="219142BA" w:rsidR="00C213CA" w:rsidRDefault="00875AE3" w:rsidP="00C24E48">
      <w:pPr>
        <w:pStyle w:val="Listepuces"/>
      </w:pPr>
      <w:r w:rsidRPr="00CB7E23">
        <w:t>Le</w:t>
      </w:r>
      <w:r w:rsidR="00C213CA" w:rsidRPr="00CB7E23">
        <w:t xml:space="preserve"> manquement au caractère personnel de l’exploitation.</w:t>
      </w:r>
      <w:r w:rsidR="00C213CA" w:rsidRPr="00A55DB1">
        <w:t xml:space="preserve">  </w:t>
      </w:r>
    </w:p>
    <w:p w14:paraId="09D52F66" w14:textId="579DFD6C" w:rsidR="00C213CA" w:rsidRDefault="00C213CA" w:rsidP="00C213CA">
      <w:r>
        <w:lastRenderedPageBreak/>
        <w:t xml:space="preserve">La résiliation intervient dans un délai </w:t>
      </w:r>
      <w:r w:rsidR="00875AE3">
        <w:t>d’un</w:t>
      </w:r>
      <w:r>
        <w:t xml:space="preserve"> (1) mois à compter de la mise en demeure restée sans effet de l’</w:t>
      </w:r>
      <w:r w:rsidR="008231F9">
        <w:t>Occupant</w:t>
      </w:r>
      <w:r>
        <w:t xml:space="preserve"> de se conformer à ses obligations parvenue par lettre recommandée avec accusé de réception</w:t>
      </w:r>
      <w:r w:rsidR="00C24E48">
        <w:t xml:space="preserve"> ou du délai mentionné dans la lettre de résiliation</w:t>
      </w:r>
      <w:r>
        <w:t xml:space="preserve">. </w:t>
      </w:r>
    </w:p>
    <w:p w14:paraId="52880E2E" w14:textId="40E9810B" w:rsidR="00C213CA" w:rsidRDefault="00C213CA" w:rsidP="00C213CA">
      <w:r>
        <w:t>Les sommes versées à quelque titre que ce soit par l’</w:t>
      </w:r>
      <w:r w:rsidR="008231F9">
        <w:t>Occupant</w:t>
      </w:r>
      <w:r>
        <w:t xml:space="preserve"> resteront acquises au Mucem, sans préjudice du droit, pour ce dernier, de poursuivre le recouvrement de toutes sommes pouvant lui être dues.</w:t>
      </w:r>
    </w:p>
    <w:p w14:paraId="4894E868" w14:textId="77777777" w:rsidR="00C213CA" w:rsidRPr="00684E9A" w:rsidRDefault="00C213CA" w:rsidP="00C213CA">
      <w:pPr>
        <w:pStyle w:val="Titre2"/>
      </w:pPr>
      <w:bookmarkStart w:id="202" w:name="_Toc201743805"/>
      <w:r>
        <w:t xml:space="preserve">Résiliation pour motifs d’intérêt </w:t>
      </w:r>
      <w:r w:rsidRPr="00C213CA">
        <w:t>général</w:t>
      </w:r>
      <w:bookmarkEnd w:id="202"/>
    </w:p>
    <w:p w14:paraId="13A4B4A0" w14:textId="31C16533" w:rsidR="00C213CA" w:rsidRDefault="00C213CA" w:rsidP="00C213CA">
      <w:r>
        <w:t xml:space="preserve">La convention peut également être résiliée par le Mucem, </w:t>
      </w:r>
      <w:r w:rsidRPr="00CB7E23">
        <w:t>avant son terme normal, dans le cas où un motif d’intérêt général le justifie. Cette dernière est alors résiliée dans un délai de trois (3) mois à compter de la date de notification, par lettre recommandée avec accusé de réception. Cette décision donne droit à l’indemnisation de l’</w:t>
      </w:r>
      <w:r w:rsidR="008231F9">
        <w:t>Occupant</w:t>
      </w:r>
      <w:r w:rsidRPr="00CB7E23">
        <w:t xml:space="preserve"> à hauteur des éventuels investissements autorisés par le Mucem et non amortis à la date de la résiliation.</w:t>
      </w:r>
    </w:p>
    <w:p w14:paraId="30B2259C" w14:textId="77777777" w:rsidR="00C213CA" w:rsidRPr="001B3EA8" w:rsidRDefault="00C213CA" w:rsidP="00C24E48">
      <w:pPr>
        <w:pStyle w:val="rNormal"/>
      </w:pPr>
      <w:r w:rsidRPr="00CB7E23">
        <w:t>Il est rappelé que la domanialité publique des espaces occupés s’oppose à ce que le Bénéficiaire puisse invoquer le bénéfice des dispositions réglementaires régissant les baux commerciaux.</w:t>
      </w:r>
    </w:p>
    <w:p w14:paraId="60CA42F2" w14:textId="516FD732" w:rsidR="00C213CA" w:rsidRPr="00CB7E23" w:rsidRDefault="00C213CA" w:rsidP="00C213CA">
      <w:pPr>
        <w:pStyle w:val="Titre2"/>
      </w:pPr>
      <w:bookmarkStart w:id="203" w:name="_Toc343253742"/>
      <w:bookmarkStart w:id="204" w:name="_Toc351646977"/>
      <w:bookmarkStart w:id="205" w:name="_Toc412042516"/>
      <w:bookmarkStart w:id="206" w:name="_Toc201743806"/>
      <w:r w:rsidRPr="00C213CA">
        <w:t>Cas</w:t>
      </w:r>
      <w:r w:rsidRPr="00CB7E23">
        <w:t xml:space="preserve"> de force majeure</w:t>
      </w:r>
      <w:bookmarkEnd w:id="203"/>
      <w:bookmarkEnd w:id="204"/>
      <w:bookmarkEnd w:id="205"/>
      <w:bookmarkEnd w:id="206"/>
    </w:p>
    <w:p w14:paraId="4A772098" w14:textId="77777777" w:rsidR="00C213CA" w:rsidRPr="00CB7E23" w:rsidRDefault="00C213CA" w:rsidP="00891EF1">
      <w:r w:rsidRPr="00CB7E23">
        <w:t xml:space="preserve">La résiliation peut aussi intervenir en cas de force majeure. Dans cette hypothèse, aucune indemnité n’est due par les Parties. </w:t>
      </w:r>
    </w:p>
    <w:p w14:paraId="572A4986" w14:textId="77777777" w:rsidR="00C213CA" w:rsidRPr="00CB7E23" w:rsidRDefault="00C213CA" w:rsidP="00891EF1">
      <w:r w:rsidRPr="00CB7E23">
        <w:t>Sont assimilés à des événements de force majeure, notamment :</w:t>
      </w:r>
    </w:p>
    <w:p w14:paraId="0C537F83" w14:textId="79E864FB" w:rsidR="00C213CA" w:rsidRPr="00CB7E23" w:rsidRDefault="00875AE3" w:rsidP="00891EF1">
      <w:pPr>
        <w:pStyle w:val="Listepuces"/>
      </w:pPr>
      <w:r w:rsidRPr="00CB7E23">
        <w:t>Un</w:t>
      </w:r>
      <w:r w:rsidR="00C213CA" w:rsidRPr="00CB7E23">
        <w:t xml:space="preserve"> sinistre sur le bâtiment le rendant complètement impraticable ;</w:t>
      </w:r>
    </w:p>
    <w:p w14:paraId="7A4F724B" w14:textId="61F818AA" w:rsidR="00C213CA" w:rsidRPr="00CB7E23" w:rsidRDefault="00875AE3" w:rsidP="00891EF1">
      <w:pPr>
        <w:pStyle w:val="Listepuces"/>
      </w:pPr>
      <w:r w:rsidRPr="00CB7E23">
        <w:t>Des</w:t>
      </w:r>
      <w:r w:rsidR="00C213CA" w:rsidRPr="00CB7E23">
        <w:t xml:space="preserve"> intempéries exceptionnelles ou pandémies ;</w:t>
      </w:r>
    </w:p>
    <w:p w14:paraId="54E09FCE" w14:textId="26159C0F" w:rsidR="00C213CA" w:rsidRPr="00CB7E23" w:rsidRDefault="00875AE3" w:rsidP="00891EF1">
      <w:pPr>
        <w:pStyle w:val="Listepuces"/>
      </w:pPr>
      <w:r w:rsidRPr="00CB7E23">
        <w:t>Des</w:t>
      </w:r>
      <w:r w:rsidR="00C213CA" w:rsidRPr="00CB7E23">
        <w:t xml:space="preserve"> grèves générales / grèves du personnel ;</w:t>
      </w:r>
    </w:p>
    <w:p w14:paraId="485F85B7" w14:textId="679C5109" w:rsidR="00C213CA" w:rsidRPr="00CB7E23" w:rsidRDefault="00875AE3" w:rsidP="00891EF1">
      <w:pPr>
        <w:pStyle w:val="Listepuces"/>
      </w:pPr>
      <w:r w:rsidRPr="00CB7E23">
        <w:t>Des</w:t>
      </w:r>
      <w:r w:rsidR="00C213CA" w:rsidRPr="00CB7E23">
        <w:t xml:space="preserve"> menaces d’attentat, sabotages ou terrorisme ;</w:t>
      </w:r>
    </w:p>
    <w:p w14:paraId="13999C31" w14:textId="3BBE7F0F" w:rsidR="00C213CA" w:rsidRPr="00CB7E23" w:rsidRDefault="00875AE3" w:rsidP="00891EF1">
      <w:pPr>
        <w:pStyle w:val="Listepuces"/>
      </w:pPr>
      <w:r w:rsidRPr="00CB7E23">
        <w:t>Des</w:t>
      </w:r>
      <w:r w:rsidR="00C213CA" w:rsidRPr="00CB7E23">
        <w:t xml:space="preserve"> événements politiques graves, manifestations ou mouvements populaires, deuil national ;</w:t>
      </w:r>
    </w:p>
    <w:p w14:paraId="0709CE0F" w14:textId="7AB5B384" w:rsidR="00C213CA" w:rsidRPr="00CB7E23" w:rsidRDefault="00875AE3" w:rsidP="00891EF1">
      <w:pPr>
        <w:pStyle w:val="Listepuces"/>
      </w:pPr>
      <w:r w:rsidRPr="00CB7E23">
        <w:t>Des</w:t>
      </w:r>
      <w:r w:rsidR="00C213CA" w:rsidRPr="00CB7E23">
        <w:t xml:space="preserve"> mesures d’ordre et de sécurité publiques ;</w:t>
      </w:r>
    </w:p>
    <w:p w14:paraId="1E32C927" w14:textId="5F39BABE" w:rsidR="00C213CA" w:rsidRPr="00CB7E23" w:rsidRDefault="00875AE3" w:rsidP="00891EF1">
      <w:pPr>
        <w:pStyle w:val="Listepuces"/>
      </w:pPr>
      <w:r w:rsidRPr="00CB7E23">
        <w:t>Une</w:t>
      </w:r>
      <w:r w:rsidR="00C213CA" w:rsidRPr="00CB7E23">
        <w:t xml:space="preserve"> fermeture ordonnée par le Gouvernement.</w:t>
      </w:r>
    </w:p>
    <w:p w14:paraId="1D5B9D62" w14:textId="77777777" w:rsidR="00C213CA" w:rsidRPr="00684E9A" w:rsidRDefault="00C213CA" w:rsidP="00C213CA">
      <w:pPr>
        <w:pStyle w:val="Titre2"/>
      </w:pPr>
      <w:bookmarkStart w:id="207" w:name="_Toc473106116"/>
      <w:bookmarkStart w:id="208" w:name="_Toc201743807"/>
      <w:r w:rsidRPr="00684E9A">
        <w:t xml:space="preserve">Sort </w:t>
      </w:r>
      <w:r w:rsidRPr="00C213CA">
        <w:t>des</w:t>
      </w:r>
      <w:r w:rsidRPr="00684E9A">
        <w:t xml:space="preserve"> biens</w:t>
      </w:r>
      <w:bookmarkEnd w:id="207"/>
      <w:bookmarkEnd w:id="208"/>
    </w:p>
    <w:p w14:paraId="5EB185A0" w14:textId="2CCCFBCD" w:rsidR="00C213CA" w:rsidRPr="00EE308E" w:rsidRDefault="00C213CA" w:rsidP="00C213CA">
      <w:pPr>
        <w:rPr>
          <w:strike/>
        </w:rPr>
      </w:pPr>
      <w:r w:rsidRPr="009C6318">
        <w:t>Les distributeurs automatiques alimentaires restent la propriété de l’</w:t>
      </w:r>
      <w:r w:rsidR="008231F9">
        <w:t>Occupant</w:t>
      </w:r>
      <w:r w:rsidRPr="009C6318">
        <w:t>. Ce dern</w:t>
      </w:r>
      <w:r>
        <w:t>ier procède à leur enlèvement à la</w:t>
      </w:r>
      <w:r w:rsidRPr="009C6318">
        <w:t xml:space="preserve"> fin de </w:t>
      </w:r>
      <w:r>
        <w:t xml:space="preserve">la </w:t>
      </w:r>
      <w:r w:rsidRPr="009C6318">
        <w:t xml:space="preserve">convention. </w:t>
      </w:r>
      <w:r w:rsidRPr="00CB7E23">
        <w:t>Cet enlèvement est organisé de préférence un mardi, jour de fermeture du musée au public, en lien avec un responsable technique du Mucem.</w:t>
      </w:r>
      <w:r>
        <w:t xml:space="preserve">  </w:t>
      </w:r>
      <w:r w:rsidRPr="009C6318">
        <w:t xml:space="preserve"> </w:t>
      </w:r>
    </w:p>
    <w:p w14:paraId="5B6040D6" w14:textId="6D9EAF37" w:rsidR="00C213CA" w:rsidRPr="0058594B" w:rsidRDefault="00C213CA" w:rsidP="00C213CA">
      <w:r w:rsidRPr="0058594B">
        <w:t>Toute mise en demeure dans le cadre des présentes, sauf stipulation contraire expresse, sera réalisée par lettre recommandée avec accusé de réception.</w:t>
      </w:r>
    </w:p>
    <w:p w14:paraId="16A4394C" w14:textId="7BB4C4E4" w:rsidR="00C213CA" w:rsidRDefault="00C213CA" w:rsidP="00C213CA">
      <w:r w:rsidRPr="0058594B">
        <w:t>Tout délai fixé par une mise en demeure, sauf stipulation contraire</w:t>
      </w:r>
      <w:r>
        <w:t>,</w:t>
      </w:r>
      <w:r w:rsidRPr="0058594B">
        <w:t xml:space="preserve"> court à partir de sa date de réception par le </w:t>
      </w:r>
      <w:r w:rsidR="00873D6B">
        <w:t>Bénéficiaire</w:t>
      </w:r>
      <w:r w:rsidRPr="0058594B">
        <w:t>.</w:t>
      </w:r>
    </w:p>
    <w:p w14:paraId="3536CD23" w14:textId="77777777" w:rsidR="00C213CA" w:rsidRDefault="00C213CA" w:rsidP="00C213CA">
      <w:pPr>
        <w:pStyle w:val="Titre2"/>
      </w:pPr>
      <w:bookmarkStart w:id="209" w:name="_Toc473106117"/>
      <w:bookmarkStart w:id="210" w:name="_Toc201743808"/>
      <w:r>
        <w:t xml:space="preserve">Fin de </w:t>
      </w:r>
      <w:r w:rsidRPr="00C213CA">
        <w:t>l’autorisation</w:t>
      </w:r>
      <w:bookmarkEnd w:id="209"/>
      <w:bookmarkEnd w:id="210"/>
    </w:p>
    <w:p w14:paraId="126877DB" w14:textId="3549B4BB" w:rsidR="00C213CA" w:rsidRDefault="00C213CA" w:rsidP="00C213CA">
      <w:r>
        <w:t>L’</w:t>
      </w:r>
      <w:r w:rsidR="008231F9">
        <w:t>Occupant</w:t>
      </w:r>
      <w:r>
        <w:t>, en fin de convention, permettra au Mucem ou à un tiers autorisé par lui de faire visiter les espaces concernés par la convention d’occupation du domaine public.</w:t>
      </w:r>
    </w:p>
    <w:p w14:paraId="4CCAD29E" w14:textId="72D8D2B9" w:rsidR="00C213CA" w:rsidRDefault="00C213CA" w:rsidP="00C213CA">
      <w:r>
        <w:t>Les dommages ou dégradations constatés dans les lieux seront à la charge de l’</w:t>
      </w:r>
      <w:r w:rsidR="008231F9">
        <w:t>Occupant</w:t>
      </w:r>
      <w:r>
        <w:t>, à l’exception de ceux qui auraient une cause étrangère à l’exploitation ou à l’occupation des locaux, à charge pour l’</w:t>
      </w:r>
      <w:r w:rsidR="008231F9">
        <w:t>Occupant</w:t>
      </w:r>
      <w:r>
        <w:t xml:space="preserve"> d’en apporter la preuve.</w:t>
      </w:r>
    </w:p>
    <w:p w14:paraId="1BFECADF" w14:textId="6FF29858" w:rsidR="00C213CA" w:rsidRDefault="00C213CA" w:rsidP="00C213CA">
      <w:r>
        <w:t>Faute par lui de satisfaire à cette dernière condition, le Mucem pourra faire exécuter tous les travaux nécessaires à la remise en état des lieux, aux frais, risques et périls de l’</w:t>
      </w:r>
      <w:r w:rsidR="008231F9">
        <w:t>Occupant</w:t>
      </w:r>
      <w:r>
        <w:t>, lequel ne peut prétendre à aucune indemnité.</w:t>
      </w:r>
    </w:p>
    <w:p w14:paraId="21E55115" w14:textId="19EF8385" w:rsidR="001432B3" w:rsidRDefault="001432B3" w:rsidP="00BF0E36">
      <w:pPr>
        <w:pStyle w:val="Titre1"/>
      </w:pPr>
      <w:bookmarkStart w:id="211" w:name="_Ref9860511"/>
      <w:bookmarkStart w:id="212" w:name="_Ref9860514"/>
      <w:bookmarkStart w:id="213" w:name="_Toc201743809"/>
      <w:r>
        <w:t>Litiges</w:t>
      </w:r>
      <w:r w:rsidR="00973966">
        <w:t xml:space="preserve"> - langues</w:t>
      </w:r>
      <w:bookmarkEnd w:id="197"/>
      <w:bookmarkEnd w:id="198"/>
      <w:bookmarkEnd w:id="211"/>
      <w:bookmarkEnd w:id="212"/>
      <w:bookmarkEnd w:id="213"/>
    </w:p>
    <w:p w14:paraId="5ECDF2A9" w14:textId="7B101550" w:rsidR="00A345FF"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277CD675" w14:textId="23A72B0C" w:rsidR="00411D10" w:rsidRDefault="00166688" w:rsidP="00411D10">
      <w:pPr>
        <w:pStyle w:val="Titre1"/>
      </w:pPr>
      <w:bookmarkStart w:id="214" w:name="_Ref488241145"/>
      <w:bookmarkStart w:id="215" w:name="_Toc201743810"/>
      <w:r w:rsidRPr="00166688">
        <w:rPr>
          <w:color w:val="FF0000"/>
          <w:highlight w:val="lightGray"/>
        </w:rPr>
        <w:lastRenderedPageBreak/>
        <w:sym w:font="Wingdings" w:char="F046"/>
      </w:r>
      <w:r w:rsidR="00411D10">
        <w:t xml:space="preserve">Signature des </w:t>
      </w:r>
      <w:bookmarkEnd w:id="199"/>
      <w:bookmarkEnd w:id="200"/>
      <w:bookmarkEnd w:id="214"/>
      <w:r w:rsidR="00993680">
        <w:t>parties</w:t>
      </w:r>
      <w:bookmarkEnd w:id="215"/>
    </w:p>
    <w:p w14:paraId="22EF9898" w14:textId="3705C0A6" w:rsidR="00411D10" w:rsidRPr="00631775" w:rsidRDefault="000E71D3" w:rsidP="00A31663">
      <w:r w:rsidRPr="00166688">
        <w:rPr>
          <w:b/>
          <w:caps/>
          <w:color w:val="FF0000"/>
          <w:sz w:val="36"/>
          <w:szCs w:val="36"/>
          <w:highlight w:val="lightGray"/>
        </w:rPr>
        <w:sym w:font="Wingdings" w:char="F046"/>
      </w:r>
      <w:r w:rsidR="00166688" w:rsidRPr="00631775">
        <w:t>L</w:t>
      </w:r>
      <w:r w:rsidR="00891EF1">
        <w:t xml:space="preserve">a présente convention </w:t>
      </w:r>
      <w:r w:rsidR="00411D10" w:rsidRPr="00631775">
        <w:t xml:space="preserve">comporte </w:t>
      </w:r>
      <w:r w:rsidR="00C213CA" w:rsidRPr="00631775">
        <w:t>1 annexe énumérée</w:t>
      </w:r>
      <w:r w:rsidR="00411D10" w:rsidRPr="00631775">
        <w:t xml:space="preserve"> ci-après</w:t>
      </w:r>
      <w:r w:rsidR="00411D10" w:rsidRPr="00631775">
        <w:rPr>
          <w:rStyle w:val="Appelnotedebasdep"/>
          <w:rFonts w:asciiTheme="minorHAnsi" w:hAnsiTheme="minorHAnsi" w:cstheme="minorHAnsi"/>
          <w:b/>
        </w:rPr>
        <w:footnoteReference w:id="3"/>
      </w:r>
      <w:r w:rsidR="00411D10" w:rsidRPr="00631775">
        <w:t> :</w:t>
      </w:r>
    </w:p>
    <w:p w14:paraId="5CBDB9BC" w14:textId="45FF76C2" w:rsidR="00A31663" w:rsidRPr="00631775" w:rsidRDefault="00A942AF" w:rsidP="00A31663">
      <w:pPr>
        <w:pStyle w:val="Listepuces"/>
      </w:pPr>
      <w:r>
        <w:rPr>
          <w:rFonts w:ascii="CGP" w:hAnsi="CGP"/>
          <w:b/>
        </w:rPr>
        <w:fldChar w:fldCharType="begin">
          <w:ffData>
            <w:name w:val="CaseACocher1"/>
            <w:enabled/>
            <w:calcOnExit w:val="0"/>
            <w:checkBox>
              <w:sizeAuto/>
              <w:default w:val="1"/>
            </w:checkBox>
          </w:ffData>
        </w:fldChar>
      </w:r>
      <w:bookmarkStart w:id="216" w:name="CaseACocher1"/>
      <w:r>
        <w:rPr>
          <w:rFonts w:ascii="CGP" w:hAnsi="CGP"/>
          <w:b/>
        </w:rPr>
        <w:instrText xml:space="preserve"> FORMCHECKBOX </w:instrText>
      </w:r>
      <w:r>
        <w:rPr>
          <w:rFonts w:ascii="CGP" w:hAnsi="CGP"/>
          <w:b/>
        </w:rPr>
      </w:r>
      <w:r>
        <w:rPr>
          <w:rFonts w:ascii="CGP" w:hAnsi="CGP"/>
          <w:b/>
        </w:rPr>
        <w:fldChar w:fldCharType="end"/>
      </w:r>
      <w:bookmarkEnd w:id="216"/>
      <w:r w:rsidR="00A31663" w:rsidRPr="00631775">
        <w:rPr>
          <w:rFonts w:ascii="CGP" w:hAnsi="CGP"/>
          <w:b/>
        </w:rPr>
        <w:t xml:space="preserve"> </w:t>
      </w:r>
      <w:r w:rsidR="00875AE3" w:rsidRPr="00631775">
        <w:t>Annexe</w:t>
      </w:r>
      <w:r w:rsidR="00A31663" w:rsidRPr="00631775">
        <w:t xml:space="preserve"> 1 : </w:t>
      </w:r>
      <w:r w:rsidR="00C213CA" w:rsidRPr="00631775">
        <w:t>description et tarifs des produits proposés par machine</w:t>
      </w:r>
    </w:p>
    <w:p w14:paraId="2836C26A" w14:textId="77777777" w:rsidR="00C213CA" w:rsidRDefault="00C213CA" w:rsidP="00C213CA">
      <w:pPr>
        <w:pStyle w:val="Listepuces"/>
        <w:numPr>
          <w:ilvl w:val="0"/>
          <w:numId w:val="0"/>
        </w:numPr>
        <w:ind w:left="851"/>
      </w:pPr>
    </w:p>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628"/>
      </w:tblGrid>
      <w:tr w:rsidR="000E71D3" w14:paraId="0704361D" w14:textId="77777777" w:rsidTr="000E71D3">
        <w:trPr>
          <w:trHeight w:val="2591"/>
        </w:trPr>
        <w:tc>
          <w:tcPr>
            <w:tcW w:w="9778" w:type="dxa"/>
          </w:tcPr>
          <w:p w14:paraId="786AC4A5" w14:textId="38D1D8C4"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r w:rsidR="00875AE3" w:rsidRPr="000E71D3">
              <w:t>……</w:t>
            </w:r>
            <w:r w:rsidRPr="000E71D3">
              <w:t xml:space="preserve">, le </w:t>
            </w:r>
          </w:p>
          <w:p w14:paraId="3306F6C3" w14:textId="72BC6C81" w:rsidR="000E71D3" w:rsidRPr="000E71D3" w:rsidRDefault="000E71D3" w:rsidP="0037029E">
            <w:pPr>
              <w:rPr>
                <w:b/>
              </w:rPr>
            </w:pPr>
            <w:r w:rsidRPr="000E71D3">
              <w:rPr>
                <w:b/>
              </w:rPr>
              <w:t xml:space="preserve">Signature de </w:t>
            </w:r>
            <w:r w:rsidR="00891EF1">
              <w:rPr>
                <w:b/>
              </w:rPr>
              <w:t>l’Occupant</w:t>
            </w:r>
          </w:p>
          <w:p w14:paraId="2D356464" w14:textId="77777777" w:rsidR="000E71D3" w:rsidRPr="000E71D3" w:rsidRDefault="000E71D3" w:rsidP="0037029E">
            <w:r w:rsidRPr="000E71D3">
              <w:t>Nom et qualité du signataire : ……………………………………</w:t>
            </w:r>
          </w:p>
          <w:p w14:paraId="74592A17" w14:textId="77777777" w:rsidR="000E71D3" w:rsidRPr="000E71D3" w:rsidRDefault="000E71D3" w:rsidP="0037029E"/>
          <w:p w14:paraId="1BB0A56D" w14:textId="77777777" w:rsidR="000E71D3" w:rsidRPr="000E71D3" w:rsidRDefault="000E71D3" w:rsidP="0037029E">
            <w:r w:rsidRPr="000E71D3">
              <w:t>Cachet de l'entreprise</w:t>
            </w:r>
          </w:p>
          <w:p w14:paraId="62C6FDD1" w14:textId="77777777" w:rsidR="000E71D3" w:rsidRPr="000E71D3" w:rsidRDefault="000E71D3" w:rsidP="0037029E"/>
        </w:tc>
      </w:tr>
    </w:tbl>
    <w:p w14:paraId="479C9B53" w14:textId="41CB116F" w:rsidR="000E71D3" w:rsidRPr="000E71D3" w:rsidRDefault="00C213CA" w:rsidP="0037029E">
      <w:pPr>
        <w:rPr>
          <w:b/>
          <w:color w:val="FF0000"/>
        </w:rPr>
      </w:pPr>
      <w:r>
        <w:rPr>
          <w:b/>
          <w:color w:val="FF0000"/>
        </w:rPr>
        <w:t>ATTENTION : Si la présente convention</w:t>
      </w:r>
      <w:r w:rsidR="000E71D3" w:rsidRPr="000E71D3">
        <w:rPr>
          <w:b/>
          <w:color w:val="FF0000"/>
        </w:rPr>
        <w:t xml:space="preserve"> n’est pas signé</w:t>
      </w:r>
      <w:r>
        <w:rPr>
          <w:b/>
          <w:color w:val="FF0000"/>
        </w:rPr>
        <w:t>e</w:t>
      </w:r>
      <w:r w:rsidR="000E71D3" w:rsidRPr="000E71D3">
        <w:rPr>
          <w:b/>
          <w:color w:val="FF0000"/>
        </w:rPr>
        <w:t xml:space="preserve"> par le représentant légal du candidat, le signataire doit o</w:t>
      </w:r>
      <w:r w:rsidR="000E71D3">
        <w:rPr>
          <w:b/>
          <w:color w:val="FF0000"/>
        </w:rPr>
        <w:t>bligatoirement produire avec l</w:t>
      </w:r>
      <w:r w:rsidR="001C70DE">
        <w:rPr>
          <w:b/>
          <w:color w:val="FF0000"/>
        </w:rPr>
        <w:t>e présent document</w:t>
      </w:r>
      <w:r w:rsidR="000E71D3" w:rsidRPr="000E71D3">
        <w:rPr>
          <w:b/>
          <w:color w:val="FF0000"/>
        </w:rPr>
        <w:t>, un pouvoir daté et signé en original par le représentant légal l’autorisant à signer tous les documents relatifs à l’offre.</w:t>
      </w:r>
    </w:p>
    <w:p w14:paraId="4A16E43C" w14:textId="6A317B6F" w:rsidR="00631775" w:rsidRDefault="00D17E99" w:rsidP="00D17E99">
      <w:r w:rsidRPr="00631775">
        <w:t xml:space="preserve">L’offre présentée ne lie le </w:t>
      </w:r>
      <w:r w:rsidR="00873D6B">
        <w:t>Bénéficiaire</w:t>
      </w:r>
      <w:r w:rsidRPr="00631775">
        <w:t xml:space="preserve"> que si son acceptation lui est notifiée dans un délai de </w:t>
      </w:r>
      <w:r w:rsidR="009F3756">
        <w:t>60</w:t>
      </w:r>
      <w:r w:rsidRPr="00631775">
        <w:t xml:space="preserve"> jours calendaires à compter de la date limite de remise des offres.</w:t>
      </w:r>
    </w:p>
    <w:p w14:paraId="1BCFD4D3" w14:textId="77777777" w:rsidR="00631775" w:rsidRDefault="00631775"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0E71D3">
        <w:tc>
          <w:tcPr>
            <w:tcW w:w="977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235804">
        <w:trPr>
          <w:trHeight w:val="3569"/>
        </w:trPr>
        <w:tc>
          <w:tcPr>
            <w:tcW w:w="9778" w:type="dxa"/>
          </w:tcPr>
          <w:p w14:paraId="77EF47EF" w14:textId="77777777" w:rsidR="00643B0C" w:rsidRDefault="00643B0C" w:rsidP="00643B0C"/>
          <w:p w14:paraId="7B98AAFB" w14:textId="17E98509" w:rsidR="00643B0C" w:rsidRDefault="00643B0C" w:rsidP="00C213CA">
            <w:pPr>
              <w:rPr>
                <w:highlight w:val="yellow"/>
              </w:rPr>
            </w:pPr>
            <w:r w:rsidRPr="00235804">
              <w:t xml:space="preserve">Est accepté le présent document </w:t>
            </w:r>
          </w:p>
          <w:p w14:paraId="23021F22" w14:textId="77777777" w:rsidR="00C213CA" w:rsidRPr="00643B0C" w:rsidRDefault="00C213CA" w:rsidP="00C213CA">
            <w:pPr>
              <w:rPr>
                <w:highlight w:val="yellow"/>
              </w:rPr>
            </w:pPr>
          </w:p>
          <w:p w14:paraId="14CD7A7E" w14:textId="77777777" w:rsidR="000E71D3" w:rsidRPr="000E71D3" w:rsidRDefault="000E71D3" w:rsidP="00643B0C">
            <w:r w:rsidRPr="000E71D3">
              <w:t xml:space="preserve">À </w:t>
            </w:r>
            <w:r w:rsidR="00643B0C">
              <w:t>Marseille</w:t>
            </w:r>
            <w:r w:rsidRPr="000E71D3">
              <w:t xml:space="preserve">, le </w:t>
            </w:r>
          </w:p>
          <w:p w14:paraId="29E0F1D1" w14:textId="6CC77C67"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Pr="000E71D3">
              <w:rPr>
                <w:color w:val="000000"/>
              </w:rPr>
              <w:t xml:space="preserve">du </w:t>
            </w:r>
            <w:r w:rsidR="00F7158D">
              <w:rPr>
                <w:color w:val="000000"/>
              </w:rPr>
              <w:t>Mucem</w:t>
            </w:r>
            <w:r w:rsidR="00837F52">
              <w:rPr>
                <w:color w:val="000000"/>
              </w:rPr>
              <w:t>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863B8E">
      <w:headerReference w:type="default" r:id="rId16"/>
      <w:footerReference w:type="default" r:id="rId17"/>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1DA56" w14:textId="77777777" w:rsidR="00AD0AA5" w:rsidRDefault="00AD0AA5">
      <w:r>
        <w:separator/>
      </w:r>
    </w:p>
  </w:endnote>
  <w:endnote w:type="continuationSeparator" w:id="0">
    <w:p w14:paraId="73B2F8DB" w14:textId="77777777" w:rsidR="00AD0AA5" w:rsidRDefault="00AD0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notTrueType/>
    <w:pitch w:val="variable"/>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Times New Roman"/>
    <w:panose1 w:val="00000000000000000000"/>
    <w:charset w:val="00"/>
    <w:family w:val="auto"/>
    <w:notTrueType/>
    <w:pitch w:val="variable"/>
    <w:sig w:usb0="00000003" w:usb1="00000000" w:usb2="00000000" w:usb3="00000000" w:csb0="00000001" w:csb1="00000000"/>
  </w:font>
  <w:font w:name="HiddenHorzOCR">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Content>
      <w:sdt>
        <w:sdtPr>
          <w:id w:val="123787560"/>
          <w:docPartObj>
            <w:docPartGallery w:val="Page Numbers (Top of Page)"/>
            <w:docPartUnique/>
          </w:docPartObj>
        </w:sdtPr>
        <w:sdtContent>
          <w:p w14:paraId="3682E2B8" w14:textId="77777777" w:rsidR="00AD0AA5" w:rsidRPr="00BD1409" w:rsidRDefault="00AD0AA5"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22</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6AAF4" w14:textId="77777777" w:rsidR="00AD0AA5" w:rsidRDefault="00AD0AA5">
      <w:r>
        <w:separator/>
      </w:r>
    </w:p>
  </w:footnote>
  <w:footnote w:type="continuationSeparator" w:id="0">
    <w:p w14:paraId="39F61D18" w14:textId="77777777" w:rsidR="00AD0AA5" w:rsidRDefault="00AD0AA5">
      <w:r>
        <w:continuationSeparator/>
      </w:r>
    </w:p>
  </w:footnote>
  <w:footnote w:id="1">
    <w:p w14:paraId="2EBE7535" w14:textId="77777777" w:rsidR="00AD0AA5" w:rsidRPr="00681FB4" w:rsidRDefault="00AD0AA5"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AD0AA5" w:rsidRPr="00D46347" w:rsidRDefault="00AD0AA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5124F5E6" w14:textId="5AF701D0" w:rsidR="00AD0AA5" w:rsidRPr="000E71D3" w:rsidRDefault="00AD0AA5" w:rsidP="000E71D3">
      <w:pPr>
        <w:rPr>
          <w:i/>
        </w:rPr>
      </w:pPr>
      <w:r w:rsidRPr="00C52A93">
        <w:rPr>
          <w:rStyle w:val="Appelnotedebasdep"/>
          <w:rFonts w:ascii="CGP" w:hAnsi="CGP"/>
        </w:rPr>
        <w:footnoteRef/>
      </w:r>
      <w:r w:rsidRPr="00C52A93">
        <w:t xml:space="preserve"> </w:t>
      </w:r>
      <w:r w:rsidRPr="000E71D3">
        <w:rPr>
          <w:i/>
        </w:rPr>
        <w:t>Le candidat doit indiquer ici cocher ou compléter pour confirmer le nombre et l’intitulé des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CEC8A" w14:textId="09980960" w:rsidR="00AD0AA5" w:rsidRPr="00631775" w:rsidRDefault="00AD0AA5" w:rsidP="00DD35BC">
    <w:pPr>
      <w:pStyle w:val="En-tte"/>
      <w:jc w:val="left"/>
      <w:rPr>
        <w:b/>
      </w:rPr>
    </w:pPr>
    <w:r w:rsidRPr="00631775">
      <w:t xml:space="preserve">Mucem – </w:t>
    </w:r>
    <w:r w:rsidRPr="00631775">
      <w:rPr>
        <w:b/>
      </w:rPr>
      <w:t>AOT du domaine public</w:t>
    </w:r>
    <w:r>
      <w:rPr>
        <w:b/>
      </w:rPr>
      <w:t xml:space="preserve"> </w:t>
    </w:r>
    <w:r w:rsidRPr="00631775">
      <w:t xml:space="preserve">– </w:t>
    </w:r>
    <w:r w:rsidRPr="00631775">
      <w:rPr>
        <w:b/>
      </w:rPr>
      <w:t xml:space="preserve">Mise à disposition, maintenance et réapprovisionnement de distributeurs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C0528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D4CD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AA8196"/>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B3E378A"/>
    <w:lvl w:ilvl="0">
      <w:start w:val="1"/>
      <w:numFmt w:val="decimal"/>
      <w:lvlText w:val="ARTICLE %1."/>
      <w:lvlJc w:val="left"/>
      <w:pPr>
        <w:ind w:left="502"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862"/>
        </w:tabs>
        <w:ind w:left="862" w:hanging="720"/>
      </w:pPr>
    </w:lvl>
    <w:lvl w:ilvl="3">
      <w:start w:val="1"/>
      <w:numFmt w:val="decimal"/>
      <w:lvlText w:val="%1.%2.%3.%4."/>
      <w:lvlJc w:val="left"/>
      <w:pPr>
        <w:tabs>
          <w:tab w:val="num" w:pos="1006"/>
        </w:tabs>
        <w:ind w:left="1006" w:hanging="864"/>
      </w:pPr>
    </w:lvl>
    <w:lvl w:ilvl="4">
      <w:start w:val="1"/>
      <w:numFmt w:val="none"/>
      <w:suff w:val="nothing"/>
      <w:lvlText w:val=""/>
      <w:lvlJc w:val="left"/>
      <w:pPr>
        <w:tabs>
          <w:tab w:val="num" w:pos="1150"/>
        </w:tabs>
        <w:ind w:left="1150" w:hanging="1008"/>
      </w:pPr>
    </w:lvl>
    <w:lvl w:ilvl="5">
      <w:start w:val="1"/>
      <w:numFmt w:val="none"/>
      <w:suff w:val="nothing"/>
      <w:lvlText w:val=""/>
      <w:lvlJc w:val="left"/>
      <w:pPr>
        <w:tabs>
          <w:tab w:val="num" w:pos="1294"/>
        </w:tabs>
        <w:ind w:left="1294" w:hanging="1152"/>
      </w:pPr>
    </w:lvl>
    <w:lvl w:ilvl="6">
      <w:start w:val="1"/>
      <w:numFmt w:val="none"/>
      <w:suff w:val="nothing"/>
      <w:lvlText w:val=""/>
      <w:lvlJc w:val="left"/>
      <w:pPr>
        <w:tabs>
          <w:tab w:val="num" w:pos="1438"/>
        </w:tabs>
        <w:ind w:left="1438" w:hanging="1296"/>
      </w:pPr>
    </w:lvl>
    <w:lvl w:ilvl="7">
      <w:start w:val="1"/>
      <w:numFmt w:val="none"/>
      <w:suff w:val="nothing"/>
      <w:lvlText w:val=""/>
      <w:lvlJc w:val="left"/>
      <w:pPr>
        <w:tabs>
          <w:tab w:val="num" w:pos="1582"/>
        </w:tabs>
        <w:ind w:left="1582" w:hanging="1440"/>
      </w:pPr>
    </w:lvl>
    <w:lvl w:ilvl="8">
      <w:start w:val="1"/>
      <w:numFmt w:val="none"/>
      <w:suff w:val="nothing"/>
      <w:lvlText w:val=""/>
      <w:lvlJc w:val="left"/>
      <w:pPr>
        <w:tabs>
          <w:tab w:val="num" w:pos="1726"/>
        </w:tabs>
        <w:ind w:left="1726" w:hanging="1584"/>
      </w:pPr>
    </w:lvl>
  </w:abstractNum>
  <w:abstractNum w:abstractNumId="11"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3"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6"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9"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1" w15:restartNumberingAfterBreak="0">
    <w:nsid w:val="2E24610E"/>
    <w:multiLevelType w:val="multilevel"/>
    <w:tmpl w:val="55EE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3" w15:restartNumberingAfterBreak="0">
    <w:nsid w:val="340E2F88"/>
    <w:multiLevelType w:val="hybridMultilevel"/>
    <w:tmpl w:val="3500AFEC"/>
    <w:lvl w:ilvl="0" w:tplc="DB8E8C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5D60FD6"/>
    <w:multiLevelType w:val="hybridMultilevel"/>
    <w:tmpl w:val="620AB296"/>
    <w:lvl w:ilvl="0" w:tplc="4C967BE0">
      <w:start w:val="1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45558A"/>
    <w:multiLevelType w:val="hybridMultilevel"/>
    <w:tmpl w:val="9F54C6DC"/>
    <w:lvl w:ilvl="0" w:tplc="4C967BE0">
      <w:start w:val="1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2140B7"/>
    <w:multiLevelType w:val="hybridMultilevel"/>
    <w:tmpl w:val="2DA0B67C"/>
    <w:lvl w:ilvl="0" w:tplc="4816D1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160DD9"/>
    <w:multiLevelType w:val="hybridMultilevel"/>
    <w:tmpl w:val="BBDC7638"/>
    <w:lvl w:ilvl="0" w:tplc="4C967BE0">
      <w:start w:val="1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F451DA"/>
    <w:multiLevelType w:val="hybridMultilevel"/>
    <w:tmpl w:val="375646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F82AC2"/>
    <w:multiLevelType w:val="hybridMultilevel"/>
    <w:tmpl w:val="03A4FA6A"/>
    <w:lvl w:ilvl="0" w:tplc="1EB2E2D0">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210E7E"/>
    <w:multiLevelType w:val="multilevel"/>
    <w:tmpl w:val="76DC705E"/>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37"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8" w15:restartNumberingAfterBreak="0">
    <w:nsid w:val="733043C9"/>
    <w:multiLevelType w:val="hybridMultilevel"/>
    <w:tmpl w:val="C5280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15"/>
  </w:num>
  <w:num w:numId="4">
    <w:abstractNumId w:val="36"/>
  </w:num>
  <w:num w:numId="5">
    <w:abstractNumId w:val="18"/>
  </w:num>
  <w:num w:numId="6">
    <w:abstractNumId w:val="9"/>
  </w:num>
  <w:num w:numId="7">
    <w:abstractNumId w:val="20"/>
  </w:num>
  <w:num w:numId="8">
    <w:abstractNumId w:val="12"/>
  </w:num>
  <w:num w:numId="9">
    <w:abstractNumId w:val="19"/>
  </w:num>
  <w:num w:numId="10">
    <w:abstractNumId w:val="22"/>
  </w:num>
  <w:num w:numId="11">
    <w:abstractNumId w:val="37"/>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39"/>
  </w:num>
  <w:num w:numId="15">
    <w:abstractNumId w:val="17"/>
  </w:num>
  <w:num w:numId="16">
    <w:abstractNumId w:val="26"/>
  </w:num>
  <w:num w:numId="17">
    <w:abstractNumId w:val="35"/>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3"/>
  </w:num>
  <w:num w:numId="27">
    <w:abstractNumId w:val="32"/>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8"/>
  </w:num>
  <w:num w:numId="40">
    <w:abstractNumId w:val="34"/>
  </w:num>
  <w:num w:numId="41">
    <w:abstractNumId w:val="24"/>
  </w:num>
  <w:num w:numId="42">
    <w:abstractNumId w:val="30"/>
  </w:num>
  <w:num w:numId="43">
    <w:abstractNumId w:val="10"/>
  </w:num>
  <w:num w:numId="44">
    <w:abstractNumId w:val="16"/>
  </w:num>
  <w:num w:numId="45">
    <w:abstractNumId w:val="27"/>
  </w:num>
  <w:num w:numId="46">
    <w:abstractNumId w:val="29"/>
  </w:num>
  <w:num w:numId="47">
    <w:abstractNumId w:val="31"/>
  </w:num>
  <w:num w:numId="48">
    <w:abstractNumId w:val="23"/>
  </w:num>
  <w:num w:numId="49">
    <w:abstractNumId w:val="21"/>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197F"/>
    <w:rsid w:val="000029C5"/>
    <w:rsid w:val="000041B7"/>
    <w:rsid w:val="00004754"/>
    <w:rsid w:val="00005B43"/>
    <w:rsid w:val="00006987"/>
    <w:rsid w:val="00007BAE"/>
    <w:rsid w:val="00010418"/>
    <w:rsid w:val="00010CEB"/>
    <w:rsid w:val="000113A7"/>
    <w:rsid w:val="00014FE2"/>
    <w:rsid w:val="00016257"/>
    <w:rsid w:val="0001715E"/>
    <w:rsid w:val="00023204"/>
    <w:rsid w:val="00023C4C"/>
    <w:rsid w:val="00026108"/>
    <w:rsid w:val="000313C1"/>
    <w:rsid w:val="00033FFA"/>
    <w:rsid w:val="000416D1"/>
    <w:rsid w:val="00041B96"/>
    <w:rsid w:val="00047F14"/>
    <w:rsid w:val="00050B2B"/>
    <w:rsid w:val="000535F8"/>
    <w:rsid w:val="00055D59"/>
    <w:rsid w:val="00057B75"/>
    <w:rsid w:val="00060BC5"/>
    <w:rsid w:val="00061EAE"/>
    <w:rsid w:val="000622DA"/>
    <w:rsid w:val="00062D32"/>
    <w:rsid w:val="000638C1"/>
    <w:rsid w:val="00063CD7"/>
    <w:rsid w:val="00066D41"/>
    <w:rsid w:val="00067EBF"/>
    <w:rsid w:val="000716D4"/>
    <w:rsid w:val="00073171"/>
    <w:rsid w:val="00074F22"/>
    <w:rsid w:val="000768F4"/>
    <w:rsid w:val="000802C6"/>
    <w:rsid w:val="0008101F"/>
    <w:rsid w:val="000817ED"/>
    <w:rsid w:val="00081A0C"/>
    <w:rsid w:val="00081FFC"/>
    <w:rsid w:val="00084514"/>
    <w:rsid w:val="000848A1"/>
    <w:rsid w:val="000862E0"/>
    <w:rsid w:val="00086473"/>
    <w:rsid w:val="00087019"/>
    <w:rsid w:val="000A1794"/>
    <w:rsid w:val="000A5DA8"/>
    <w:rsid w:val="000A61EC"/>
    <w:rsid w:val="000A6972"/>
    <w:rsid w:val="000A6E71"/>
    <w:rsid w:val="000A7911"/>
    <w:rsid w:val="000B1A62"/>
    <w:rsid w:val="000B673D"/>
    <w:rsid w:val="000C105E"/>
    <w:rsid w:val="000C1669"/>
    <w:rsid w:val="000C5A7A"/>
    <w:rsid w:val="000C7249"/>
    <w:rsid w:val="000D1D25"/>
    <w:rsid w:val="000D2945"/>
    <w:rsid w:val="000D2B8D"/>
    <w:rsid w:val="000D4DD0"/>
    <w:rsid w:val="000D52B8"/>
    <w:rsid w:val="000D536F"/>
    <w:rsid w:val="000D587B"/>
    <w:rsid w:val="000D6896"/>
    <w:rsid w:val="000E0627"/>
    <w:rsid w:val="000E0817"/>
    <w:rsid w:val="000E2D67"/>
    <w:rsid w:val="000E3894"/>
    <w:rsid w:val="000E3A72"/>
    <w:rsid w:val="000E4E97"/>
    <w:rsid w:val="000E5ED8"/>
    <w:rsid w:val="000E6F68"/>
    <w:rsid w:val="000E71D3"/>
    <w:rsid w:val="000F00B0"/>
    <w:rsid w:val="000F0A29"/>
    <w:rsid w:val="000F23DA"/>
    <w:rsid w:val="000F2D4A"/>
    <w:rsid w:val="000F438E"/>
    <w:rsid w:val="000F533A"/>
    <w:rsid w:val="000F5C12"/>
    <w:rsid w:val="000F783D"/>
    <w:rsid w:val="00103A82"/>
    <w:rsid w:val="00110055"/>
    <w:rsid w:val="00110301"/>
    <w:rsid w:val="0011062E"/>
    <w:rsid w:val="00110764"/>
    <w:rsid w:val="00110B7E"/>
    <w:rsid w:val="001112A1"/>
    <w:rsid w:val="001114F4"/>
    <w:rsid w:val="0011305B"/>
    <w:rsid w:val="00114C5A"/>
    <w:rsid w:val="00120309"/>
    <w:rsid w:val="0012048C"/>
    <w:rsid w:val="001213ED"/>
    <w:rsid w:val="00125A75"/>
    <w:rsid w:val="00127D83"/>
    <w:rsid w:val="0013031E"/>
    <w:rsid w:val="001306AC"/>
    <w:rsid w:val="001330E1"/>
    <w:rsid w:val="00133E85"/>
    <w:rsid w:val="001347D2"/>
    <w:rsid w:val="001350E9"/>
    <w:rsid w:val="00135BB7"/>
    <w:rsid w:val="00137872"/>
    <w:rsid w:val="0014206D"/>
    <w:rsid w:val="00142A8D"/>
    <w:rsid w:val="001432A8"/>
    <w:rsid w:val="001432B3"/>
    <w:rsid w:val="00145AB2"/>
    <w:rsid w:val="00145CE8"/>
    <w:rsid w:val="00146D6E"/>
    <w:rsid w:val="00150916"/>
    <w:rsid w:val="00151436"/>
    <w:rsid w:val="00152243"/>
    <w:rsid w:val="00155BCA"/>
    <w:rsid w:val="0015799C"/>
    <w:rsid w:val="00163260"/>
    <w:rsid w:val="0016338D"/>
    <w:rsid w:val="00163AC2"/>
    <w:rsid w:val="001654B9"/>
    <w:rsid w:val="00166688"/>
    <w:rsid w:val="001677D9"/>
    <w:rsid w:val="00167BCA"/>
    <w:rsid w:val="001711A2"/>
    <w:rsid w:val="00173EFC"/>
    <w:rsid w:val="00174851"/>
    <w:rsid w:val="001762AA"/>
    <w:rsid w:val="001768CD"/>
    <w:rsid w:val="00182425"/>
    <w:rsid w:val="001824A9"/>
    <w:rsid w:val="00184C8E"/>
    <w:rsid w:val="00185499"/>
    <w:rsid w:val="00185792"/>
    <w:rsid w:val="001873F2"/>
    <w:rsid w:val="001916DA"/>
    <w:rsid w:val="00191A64"/>
    <w:rsid w:val="00192238"/>
    <w:rsid w:val="001929C3"/>
    <w:rsid w:val="001936E5"/>
    <w:rsid w:val="0019475A"/>
    <w:rsid w:val="00197D0E"/>
    <w:rsid w:val="001A0651"/>
    <w:rsid w:val="001A39A1"/>
    <w:rsid w:val="001A4816"/>
    <w:rsid w:val="001A6E19"/>
    <w:rsid w:val="001B01EB"/>
    <w:rsid w:val="001B0301"/>
    <w:rsid w:val="001B39FF"/>
    <w:rsid w:val="001B3BE2"/>
    <w:rsid w:val="001B4BF9"/>
    <w:rsid w:val="001B5315"/>
    <w:rsid w:val="001B639B"/>
    <w:rsid w:val="001C51E6"/>
    <w:rsid w:val="001C685F"/>
    <w:rsid w:val="001C70AC"/>
    <w:rsid w:val="001C70DE"/>
    <w:rsid w:val="001D02F7"/>
    <w:rsid w:val="001D0750"/>
    <w:rsid w:val="001D1E19"/>
    <w:rsid w:val="001D2EBF"/>
    <w:rsid w:val="001D300F"/>
    <w:rsid w:val="001D31A4"/>
    <w:rsid w:val="001D394C"/>
    <w:rsid w:val="001D4CA9"/>
    <w:rsid w:val="001D4CF8"/>
    <w:rsid w:val="001D4FB7"/>
    <w:rsid w:val="001D752C"/>
    <w:rsid w:val="001E0DF7"/>
    <w:rsid w:val="001E4E42"/>
    <w:rsid w:val="001E500B"/>
    <w:rsid w:val="001E5360"/>
    <w:rsid w:val="001E661F"/>
    <w:rsid w:val="001E67F4"/>
    <w:rsid w:val="001E6C8A"/>
    <w:rsid w:val="001F04AA"/>
    <w:rsid w:val="001F0507"/>
    <w:rsid w:val="001F09E5"/>
    <w:rsid w:val="001F2233"/>
    <w:rsid w:val="001F46DB"/>
    <w:rsid w:val="001F5F76"/>
    <w:rsid w:val="001F73C3"/>
    <w:rsid w:val="001F759A"/>
    <w:rsid w:val="001F7A09"/>
    <w:rsid w:val="0020149C"/>
    <w:rsid w:val="00201852"/>
    <w:rsid w:val="00202F2D"/>
    <w:rsid w:val="002030BB"/>
    <w:rsid w:val="002038EE"/>
    <w:rsid w:val="002054F0"/>
    <w:rsid w:val="00207B37"/>
    <w:rsid w:val="002118CD"/>
    <w:rsid w:val="00212AB6"/>
    <w:rsid w:val="0021549C"/>
    <w:rsid w:val="002169FC"/>
    <w:rsid w:val="00217D99"/>
    <w:rsid w:val="00222613"/>
    <w:rsid w:val="00224122"/>
    <w:rsid w:val="0022413E"/>
    <w:rsid w:val="0022567C"/>
    <w:rsid w:val="00226A2B"/>
    <w:rsid w:val="002271E8"/>
    <w:rsid w:val="002304D6"/>
    <w:rsid w:val="002305D4"/>
    <w:rsid w:val="002331F5"/>
    <w:rsid w:val="00235123"/>
    <w:rsid w:val="00235804"/>
    <w:rsid w:val="00236436"/>
    <w:rsid w:val="00237E45"/>
    <w:rsid w:val="00240FD6"/>
    <w:rsid w:val="0024327D"/>
    <w:rsid w:val="0024484C"/>
    <w:rsid w:val="00244D5C"/>
    <w:rsid w:val="0024564D"/>
    <w:rsid w:val="00245E2D"/>
    <w:rsid w:val="00246BBD"/>
    <w:rsid w:val="00250A70"/>
    <w:rsid w:val="002519C3"/>
    <w:rsid w:val="00252390"/>
    <w:rsid w:val="00253662"/>
    <w:rsid w:val="002547FA"/>
    <w:rsid w:val="00255A1C"/>
    <w:rsid w:val="00260A3B"/>
    <w:rsid w:val="00260FB6"/>
    <w:rsid w:val="00261408"/>
    <w:rsid w:val="00262A46"/>
    <w:rsid w:val="0027307C"/>
    <w:rsid w:val="00276205"/>
    <w:rsid w:val="002779BC"/>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308C"/>
    <w:rsid w:val="002A41EE"/>
    <w:rsid w:val="002A42DF"/>
    <w:rsid w:val="002A51FF"/>
    <w:rsid w:val="002A70EB"/>
    <w:rsid w:val="002A7BB0"/>
    <w:rsid w:val="002B081B"/>
    <w:rsid w:val="002B1172"/>
    <w:rsid w:val="002B4237"/>
    <w:rsid w:val="002B627E"/>
    <w:rsid w:val="002B6286"/>
    <w:rsid w:val="002B7E46"/>
    <w:rsid w:val="002C4D97"/>
    <w:rsid w:val="002C5D9A"/>
    <w:rsid w:val="002C6AB2"/>
    <w:rsid w:val="002D0136"/>
    <w:rsid w:val="002D0EE0"/>
    <w:rsid w:val="002D47C9"/>
    <w:rsid w:val="002E06E3"/>
    <w:rsid w:val="002E181E"/>
    <w:rsid w:val="002E4955"/>
    <w:rsid w:val="002E4AC5"/>
    <w:rsid w:val="002F0D57"/>
    <w:rsid w:val="002F3FFE"/>
    <w:rsid w:val="002F5C7B"/>
    <w:rsid w:val="002F6398"/>
    <w:rsid w:val="002F6D57"/>
    <w:rsid w:val="003000D8"/>
    <w:rsid w:val="00302A82"/>
    <w:rsid w:val="0030440A"/>
    <w:rsid w:val="003047E4"/>
    <w:rsid w:val="00304E7C"/>
    <w:rsid w:val="00305976"/>
    <w:rsid w:val="00306454"/>
    <w:rsid w:val="00306525"/>
    <w:rsid w:val="00307CBE"/>
    <w:rsid w:val="00310F21"/>
    <w:rsid w:val="00311412"/>
    <w:rsid w:val="00311705"/>
    <w:rsid w:val="003127CF"/>
    <w:rsid w:val="003162B6"/>
    <w:rsid w:val="00316ECD"/>
    <w:rsid w:val="0032323D"/>
    <w:rsid w:val="00325F60"/>
    <w:rsid w:val="003265CB"/>
    <w:rsid w:val="0033065B"/>
    <w:rsid w:val="00330AEC"/>
    <w:rsid w:val="00335008"/>
    <w:rsid w:val="0034021F"/>
    <w:rsid w:val="003435AF"/>
    <w:rsid w:val="003436DF"/>
    <w:rsid w:val="003452FF"/>
    <w:rsid w:val="00346AD6"/>
    <w:rsid w:val="00346D11"/>
    <w:rsid w:val="003502EE"/>
    <w:rsid w:val="00350A2E"/>
    <w:rsid w:val="003510A8"/>
    <w:rsid w:val="00352727"/>
    <w:rsid w:val="00353847"/>
    <w:rsid w:val="003559AE"/>
    <w:rsid w:val="003575AB"/>
    <w:rsid w:val="003632CC"/>
    <w:rsid w:val="00363592"/>
    <w:rsid w:val="003638A8"/>
    <w:rsid w:val="00364BFF"/>
    <w:rsid w:val="0036609B"/>
    <w:rsid w:val="0037029E"/>
    <w:rsid w:val="003706B6"/>
    <w:rsid w:val="003728D6"/>
    <w:rsid w:val="00372EF0"/>
    <w:rsid w:val="00373141"/>
    <w:rsid w:val="00373A14"/>
    <w:rsid w:val="0037521A"/>
    <w:rsid w:val="0037576A"/>
    <w:rsid w:val="0037630E"/>
    <w:rsid w:val="00376488"/>
    <w:rsid w:val="0037775C"/>
    <w:rsid w:val="00380D2D"/>
    <w:rsid w:val="003819E2"/>
    <w:rsid w:val="00382074"/>
    <w:rsid w:val="00383ECB"/>
    <w:rsid w:val="00384F8E"/>
    <w:rsid w:val="0038650A"/>
    <w:rsid w:val="00390F62"/>
    <w:rsid w:val="00391C33"/>
    <w:rsid w:val="0039269D"/>
    <w:rsid w:val="00392FC7"/>
    <w:rsid w:val="003930AE"/>
    <w:rsid w:val="003930C6"/>
    <w:rsid w:val="00393135"/>
    <w:rsid w:val="00394FA0"/>
    <w:rsid w:val="003A0A9D"/>
    <w:rsid w:val="003A2847"/>
    <w:rsid w:val="003A3013"/>
    <w:rsid w:val="003A379A"/>
    <w:rsid w:val="003A48DE"/>
    <w:rsid w:val="003A71E0"/>
    <w:rsid w:val="003A7979"/>
    <w:rsid w:val="003A7D16"/>
    <w:rsid w:val="003B036D"/>
    <w:rsid w:val="003B1A76"/>
    <w:rsid w:val="003B7288"/>
    <w:rsid w:val="003C0A2B"/>
    <w:rsid w:val="003C11B1"/>
    <w:rsid w:val="003C1A21"/>
    <w:rsid w:val="003C2889"/>
    <w:rsid w:val="003C33B5"/>
    <w:rsid w:val="003C46F2"/>
    <w:rsid w:val="003C6530"/>
    <w:rsid w:val="003C699A"/>
    <w:rsid w:val="003C6C9C"/>
    <w:rsid w:val="003D3FC3"/>
    <w:rsid w:val="003D4459"/>
    <w:rsid w:val="003D47CD"/>
    <w:rsid w:val="003E060A"/>
    <w:rsid w:val="003E165A"/>
    <w:rsid w:val="003E1800"/>
    <w:rsid w:val="003E267C"/>
    <w:rsid w:val="003E28F6"/>
    <w:rsid w:val="003E4CBC"/>
    <w:rsid w:val="003E5D76"/>
    <w:rsid w:val="003E5E69"/>
    <w:rsid w:val="003E6AFC"/>
    <w:rsid w:val="003E777C"/>
    <w:rsid w:val="003F2A17"/>
    <w:rsid w:val="003F3207"/>
    <w:rsid w:val="003F41D2"/>
    <w:rsid w:val="003F63DA"/>
    <w:rsid w:val="003F7CBD"/>
    <w:rsid w:val="0040102E"/>
    <w:rsid w:val="004017A1"/>
    <w:rsid w:val="00402763"/>
    <w:rsid w:val="004038FF"/>
    <w:rsid w:val="004039A5"/>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5E76"/>
    <w:rsid w:val="00427FEB"/>
    <w:rsid w:val="004321F0"/>
    <w:rsid w:val="004345E3"/>
    <w:rsid w:val="00434C4F"/>
    <w:rsid w:val="004370CE"/>
    <w:rsid w:val="00441FDE"/>
    <w:rsid w:val="00442AD4"/>
    <w:rsid w:val="00442AD6"/>
    <w:rsid w:val="00442FCC"/>
    <w:rsid w:val="004439A8"/>
    <w:rsid w:val="00444BEE"/>
    <w:rsid w:val="00447A0A"/>
    <w:rsid w:val="00451167"/>
    <w:rsid w:val="004573D4"/>
    <w:rsid w:val="004601C2"/>
    <w:rsid w:val="00460CE0"/>
    <w:rsid w:val="0046164E"/>
    <w:rsid w:val="00461E86"/>
    <w:rsid w:val="00461F71"/>
    <w:rsid w:val="004629FA"/>
    <w:rsid w:val="00470317"/>
    <w:rsid w:val="00471820"/>
    <w:rsid w:val="00477484"/>
    <w:rsid w:val="00480D1C"/>
    <w:rsid w:val="00481258"/>
    <w:rsid w:val="00481CF1"/>
    <w:rsid w:val="004823F0"/>
    <w:rsid w:val="00482598"/>
    <w:rsid w:val="00483DD1"/>
    <w:rsid w:val="0048409E"/>
    <w:rsid w:val="004853A0"/>
    <w:rsid w:val="00485405"/>
    <w:rsid w:val="00490280"/>
    <w:rsid w:val="00494AB1"/>
    <w:rsid w:val="0049666A"/>
    <w:rsid w:val="004A15BC"/>
    <w:rsid w:val="004A160C"/>
    <w:rsid w:val="004A3219"/>
    <w:rsid w:val="004A3C54"/>
    <w:rsid w:val="004A427F"/>
    <w:rsid w:val="004B2A3D"/>
    <w:rsid w:val="004B34E4"/>
    <w:rsid w:val="004B3962"/>
    <w:rsid w:val="004B6BB4"/>
    <w:rsid w:val="004B7CF3"/>
    <w:rsid w:val="004C2EEA"/>
    <w:rsid w:val="004C5FA4"/>
    <w:rsid w:val="004C6891"/>
    <w:rsid w:val="004C69C0"/>
    <w:rsid w:val="004C6EEC"/>
    <w:rsid w:val="004C72C3"/>
    <w:rsid w:val="004D3CB4"/>
    <w:rsid w:val="004D53F4"/>
    <w:rsid w:val="004D6DFD"/>
    <w:rsid w:val="004E1132"/>
    <w:rsid w:val="004E1D53"/>
    <w:rsid w:val="004E1DCC"/>
    <w:rsid w:val="004E3019"/>
    <w:rsid w:val="004E44C2"/>
    <w:rsid w:val="004E50AC"/>
    <w:rsid w:val="004E578F"/>
    <w:rsid w:val="004E63F7"/>
    <w:rsid w:val="004E6609"/>
    <w:rsid w:val="004E665B"/>
    <w:rsid w:val="004E6F4E"/>
    <w:rsid w:val="004E7AE5"/>
    <w:rsid w:val="004F0873"/>
    <w:rsid w:val="004F0D33"/>
    <w:rsid w:val="004F1095"/>
    <w:rsid w:val="004F5EAD"/>
    <w:rsid w:val="004F746A"/>
    <w:rsid w:val="005006D3"/>
    <w:rsid w:val="00502D28"/>
    <w:rsid w:val="00503508"/>
    <w:rsid w:val="005041C1"/>
    <w:rsid w:val="00505193"/>
    <w:rsid w:val="00505625"/>
    <w:rsid w:val="005067FA"/>
    <w:rsid w:val="00510FB1"/>
    <w:rsid w:val="005117A8"/>
    <w:rsid w:val="00511AFE"/>
    <w:rsid w:val="00512273"/>
    <w:rsid w:val="005140C5"/>
    <w:rsid w:val="00514697"/>
    <w:rsid w:val="005146DD"/>
    <w:rsid w:val="00516458"/>
    <w:rsid w:val="0051659E"/>
    <w:rsid w:val="00520B8A"/>
    <w:rsid w:val="00520FF1"/>
    <w:rsid w:val="00523872"/>
    <w:rsid w:val="005239C6"/>
    <w:rsid w:val="005246F3"/>
    <w:rsid w:val="00525AAF"/>
    <w:rsid w:val="00526335"/>
    <w:rsid w:val="005263F8"/>
    <w:rsid w:val="00531EB4"/>
    <w:rsid w:val="00532C9B"/>
    <w:rsid w:val="00533001"/>
    <w:rsid w:val="005331AD"/>
    <w:rsid w:val="005356B3"/>
    <w:rsid w:val="00535D21"/>
    <w:rsid w:val="00536C52"/>
    <w:rsid w:val="0053781D"/>
    <w:rsid w:val="00537D05"/>
    <w:rsid w:val="00537D4B"/>
    <w:rsid w:val="00540891"/>
    <w:rsid w:val="00541C94"/>
    <w:rsid w:val="0054317D"/>
    <w:rsid w:val="00543C0A"/>
    <w:rsid w:val="00546E33"/>
    <w:rsid w:val="005470BB"/>
    <w:rsid w:val="00547B0E"/>
    <w:rsid w:val="00547EB9"/>
    <w:rsid w:val="0055032C"/>
    <w:rsid w:val="00550CC9"/>
    <w:rsid w:val="005513E7"/>
    <w:rsid w:val="00554BD7"/>
    <w:rsid w:val="00554EC8"/>
    <w:rsid w:val="005552A6"/>
    <w:rsid w:val="00560E17"/>
    <w:rsid w:val="00562989"/>
    <w:rsid w:val="00563B29"/>
    <w:rsid w:val="00563DCB"/>
    <w:rsid w:val="0056588F"/>
    <w:rsid w:val="00566713"/>
    <w:rsid w:val="0057224A"/>
    <w:rsid w:val="00573D02"/>
    <w:rsid w:val="00576CD6"/>
    <w:rsid w:val="00576EAF"/>
    <w:rsid w:val="005777C7"/>
    <w:rsid w:val="005815CF"/>
    <w:rsid w:val="0058425E"/>
    <w:rsid w:val="00584DCD"/>
    <w:rsid w:val="00585D89"/>
    <w:rsid w:val="00586CAC"/>
    <w:rsid w:val="0059141E"/>
    <w:rsid w:val="00591BEF"/>
    <w:rsid w:val="00591C85"/>
    <w:rsid w:val="00592B36"/>
    <w:rsid w:val="00593ABF"/>
    <w:rsid w:val="00593C3A"/>
    <w:rsid w:val="00595053"/>
    <w:rsid w:val="0059540B"/>
    <w:rsid w:val="00596A86"/>
    <w:rsid w:val="005A1754"/>
    <w:rsid w:val="005A2818"/>
    <w:rsid w:val="005A4997"/>
    <w:rsid w:val="005A59A6"/>
    <w:rsid w:val="005A78C7"/>
    <w:rsid w:val="005B0C77"/>
    <w:rsid w:val="005B1BF3"/>
    <w:rsid w:val="005B21B8"/>
    <w:rsid w:val="005B2D65"/>
    <w:rsid w:val="005B45F0"/>
    <w:rsid w:val="005B4E1A"/>
    <w:rsid w:val="005B527A"/>
    <w:rsid w:val="005B72DE"/>
    <w:rsid w:val="005B7738"/>
    <w:rsid w:val="005B7A87"/>
    <w:rsid w:val="005C01DD"/>
    <w:rsid w:val="005C0FC4"/>
    <w:rsid w:val="005C2796"/>
    <w:rsid w:val="005C47B8"/>
    <w:rsid w:val="005C587F"/>
    <w:rsid w:val="005C5BDB"/>
    <w:rsid w:val="005C713D"/>
    <w:rsid w:val="005C772D"/>
    <w:rsid w:val="005C791F"/>
    <w:rsid w:val="005D1572"/>
    <w:rsid w:val="005D1C55"/>
    <w:rsid w:val="005D2336"/>
    <w:rsid w:val="005D3423"/>
    <w:rsid w:val="005D4EFD"/>
    <w:rsid w:val="005D516E"/>
    <w:rsid w:val="005D598D"/>
    <w:rsid w:val="005D5D60"/>
    <w:rsid w:val="005D6E18"/>
    <w:rsid w:val="005D7D72"/>
    <w:rsid w:val="005E0ADD"/>
    <w:rsid w:val="005E2018"/>
    <w:rsid w:val="005E493F"/>
    <w:rsid w:val="005E4ED7"/>
    <w:rsid w:val="005E793D"/>
    <w:rsid w:val="005F00A4"/>
    <w:rsid w:val="005F0348"/>
    <w:rsid w:val="005F0D26"/>
    <w:rsid w:val="005F17A4"/>
    <w:rsid w:val="005F1B91"/>
    <w:rsid w:val="005F5409"/>
    <w:rsid w:val="005F6340"/>
    <w:rsid w:val="005F7548"/>
    <w:rsid w:val="005F7A14"/>
    <w:rsid w:val="00600C3D"/>
    <w:rsid w:val="0060172F"/>
    <w:rsid w:val="006039DC"/>
    <w:rsid w:val="00604401"/>
    <w:rsid w:val="00606973"/>
    <w:rsid w:val="00607719"/>
    <w:rsid w:val="00607E1D"/>
    <w:rsid w:val="0061098E"/>
    <w:rsid w:val="0061189E"/>
    <w:rsid w:val="00614C3E"/>
    <w:rsid w:val="00615360"/>
    <w:rsid w:val="00624408"/>
    <w:rsid w:val="00624B1C"/>
    <w:rsid w:val="00624FFB"/>
    <w:rsid w:val="00626A7A"/>
    <w:rsid w:val="00627387"/>
    <w:rsid w:val="00631775"/>
    <w:rsid w:val="00631C84"/>
    <w:rsid w:val="00632CB5"/>
    <w:rsid w:val="00633304"/>
    <w:rsid w:val="006347DB"/>
    <w:rsid w:val="00635119"/>
    <w:rsid w:val="00636491"/>
    <w:rsid w:val="00641B55"/>
    <w:rsid w:val="00643B0C"/>
    <w:rsid w:val="00644DED"/>
    <w:rsid w:val="00652E1A"/>
    <w:rsid w:val="00653435"/>
    <w:rsid w:val="006539B6"/>
    <w:rsid w:val="006607AF"/>
    <w:rsid w:val="00660BFA"/>
    <w:rsid w:val="006629B9"/>
    <w:rsid w:val="00664089"/>
    <w:rsid w:val="006647F4"/>
    <w:rsid w:val="00670394"/>
    <w:rsid w:val="00670FB6"/>
    <w:rsid w:val="0067172E"/>
    <w:rsid w:val="00676BD7"/>
    <w:rsid w:val="00677F0A"/>
    <w:rsid w:val="0068051F"/>
    <w:rsid w:val="00681FB4"/>
    <w:rsid w:val="006901F1"/>
    <w:rsid w:val="0069033E"/>
    <w:rsid w:val="00691508"/>
    <w:rsid w:val="006917D4"/>
    <w:rsid w:val="00692A9C"/>
    <w:rsid w:val="00692F09"/>
    <w:rsid w:val="00695C52"/>
    <w:rsid w:val="0069733A"/>
    <w:rsid w:val="006A02C8"/>
    <w:rsid w:val="006A3802"/>
    <w:rsid w:val="006A53B2"/>
    <w:rsid w:val="006A5832"/>
    <w:rsid w:val="006A62CC"/>
    <w:rsid w:val="006A65DF"/>
    <w:rsid w:val="006A6916"/>
    <w:rsid w:val="006A78AC"/>
    <w:rsid w:val="006A7DB2"/>
    <w:rsid w:val="006B0708"/>
    <w:rsid w:val="006B2A20"/>
    <w:rsid w:val="006B33A3"/>
    <w:rsid w:val="006B3ACC"/>
    <w:rsid w:val="006C1B97"/>
    <w:rsid w:val="006C48ED"/>
    <w:rsid w:val="006C4CD1"/>
    <w:rsid w:val="006D1441"/>
    <w:rsid w:val="006D469F"/>
    <w:rsid w:val="006D648B"/>
    <w:rsid w:val="006D6F40"/>
    <w:rsid w:val="006D79CC"/>
    <w:rsid w:val="006E254E"/>
    <w:rsid w:val="006E2AAF"/>
    <w:rsid w:val="006E42F3"/>
    <w:rsid w:val="006E4585"/>
    <w:rsid w:val="006E46A6"/>
    <w:rsid w:val="006E77A4"/>
    <w:rsid w:val="006E78BA"/>
    <w:rsid w:val="006F0228"/>
    <w:rsid w:val="006F3EA5"/>
    <w:rsid w:val="006F5E62"/>
    <w:rsid w:val="00700C39"/>
    <w:rsid w:val="00703DAA"/>
    <w:rsid w:val="00704015"/>
    <w:rsid w:val="00704381"/>
    <w:rsid w:val="00704EE9"/>
    <w:rsid w:val="00705B1A"/>
    <w:rsid w:val="00706094"/>
    <w:rsid w:val="00710EE8"/>
    <w:rsid w:val="00716938"/>
    <w:rsid w:val="0071773C"/>
    <w:rsid w:val="007215FB"/>
    <w:rsid w:val="00721C55"/>
    <w:rsid w:val="007222DD"/>
    <w:rsid w:val="00722798"/>
    <w:rsid w:val="00725166"/>
    <w:rsid w:val="0072661D"/>
    <w:rsid w:val="007276CD"/>
    <w:rsid w:val="00727985"/>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1AF2"/>
    <w:rsid w:val="0075591D"/>
    <w:rsid w:val="00755B28"/>
    <w:rsid w:val="007633F0"/>
    <w:rsid w:val="00763E70"/>
    <w:rsid w:val="0076478F"/>
    <w:rsid w:val="00767232"/>
    <w:rsid w:val="007676F6"/>
    <w:rsid w:val="00767B96"/>
    <w:rsid w:val="0077298C"/>
    <w:rsid w:val="00775441"/>
    <w:rsid w:val="00776081"/>
    <w:rsid w:val="00776DE9"/>
    <w:rsid w:val="00777C56"/>
    <w:rsid w:val="0078019B"/>
    <w:rsid w:val="00781386"/>
    <w:rsid w:val="0078277D"/>
    <w:rsid w:val="00783555"/>
    <w:rsid w:val="00783E8A"/>
    <w:rsid w:val="00784619"/>
    <w:rsid w:val="007849FA"/>
    <w:rsid w:val="00784E34"/>
    <w:rsid w:val="0078532D"/>
    <w:rsid w:val="00787936"/>
    <w:rsid w:val="00791597"/>
    <w:rsid w:val="00791D7C"/>
    <w:rsid w:val="00795FCC"/>
    <w:rsid w:val="00796588"/>
    <w:rsid w:val="00796A0E"/>
    <w:rsid w:val="00796F70"/>
    <w:rsid w:val="007976E3"/>
    <w:rsid w:val="007A0626"/>
    <w:rsid w:val="007A1F1C"/>
    <w:rsid w:val="007A3493"/>
    <w:rsid w:val="007A49A8"/>
    <w:rsid w:val="007A67DA"/>
    <w:rsid w:val="007B00CA"/>
    <w:rsid w:val="007B2068"/>
    <w:rsid w:val="007B2DB3"/>
    <w:rsid w:val="007B4E50"/>
    <w:rsid w:val="007B5D66"/>
    <w:rsid w:val="007B73D5"/>
    <w:rsid w:val="007B77DE"/>
    <w:rsid w:val="007B78E7"/>
    <w:rsid w:val="007C1882"/>
    <w:rsid w:val="007C189D"/>
    <w:rsid w:val="007C2D7B"/>
    <w:rsid w:val="007C4FBF"/>
    <w:rsid w:val="007C502E"/>
    <w:rsid w:val="007C6314"/>
    <w:rsid w:val="007C7226"/>
    <w:rsid w:val="007C75F2"/>
    <w:rsid w:val="007D0949"/>
    <w:rsid w:val="007D66BB"/>
    <w:rsid w:val="007D66E0"/>
    <w:rsid w:val="007E32FB"/>
    <w:rsid w:val="007E556E"/>
    <w:rsid w:val="007E5CF3"/>
    <w:rsid w:val="007E6529"/>
    <w:rsid w:val="007E6678"/>
    <w:rsid w:val="007E6EE0"/>
    <w:rsid w:val="007E7E1D"/>
    <w:rsid w:val="007F1EB6"/>
    <w:rsid w:val="007F263D"/>
    <w:rsid w:val="007F28F8"/>
    <w:rsid w:val="007F2A9E"/>
    <w:rsid w:val="007F43D7"/>
    <w:rsid w:val="007F5E4B"/>
    <w:rsid w:val="007F79B0"/>
    <w:rsid w:val="007F7EF7"/>
    <w:rsid w:val="00800520"/>
    <w:rsid w:val="008037B1"/>
    <w:rsid w:val="00803839"/>
    <w:rsid w:val="00803896"/>
    <w:rsid w:val="00803A17"/>
    <w:rsid w:val="00804F6D"/>
    <w:rsid w:val="008060D6"/>
    <w:rsid w:val="0080636F"/>
    <w:rsid w:val="0080638D"/>
    <w:rsid w:val="00806797"/>
    <w:rsid w:val="00810727"/>
    <w:rsid w:val="008126B6"/>
    <w:rsid w:val="00812C41"/>
    <w:rsid w:val="00813D99"/>
    <w:rsid w:val="0081442F"/>
    <w:rsid w:val="008151D0"/>
    <w:rsid w:val="00816D60"/>
    <w:rsid w:val="008172EA"/>
    <w:rsid w:val="0082029E"/>
    <w:rsid w:val="0082189E"/>
    <w:rsid w:val="00821B53"/>
    <w:rsid w:val="0082236D"/>
    <w:rsid w:val="008231F9"/>
    <w:rsid w:val="00825F99"/>
    <w:rsid w:val="00827850"/>
    <w:rsid w:val="00831D85"/>
    <w:rsid w:val="008333E7"/>
    <w:rsid w:val="008355CE"/>
    <w:rsid w:val="00837C09"/>
    <w:rsid w:val="00837F52"/>
    <w:rsid w:val="00841462"/>
    <w:rsid w:val="00841DBB"/>
    <w:rsid w:val="00841E81"/>
    <w:rsid w:val="0084230A"/>
    <w:rsid w:val="00842B56"/>
    <w:rsid w:val="008431F3"/>
    <w:rsid w:val="00843B4F"/>
    <w:rsid w:val="00847668"/>
    <w:rsid w:val="00847F1E"/>
    <w:rsid w:val="008505D9"/>
    <w:rsid w:val="008520BB"/>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0D93"/>
    <w:rsid w:val="0087128B"/>
    <w:rsid w:val="00872065"/>
    <w:rsid w:val="00872F7C"/>
    <w:rsid w:val="00873C7A"/>
    <w:rsid w:val="00873D6B"/>
    <w:rsid w:val="00874EDD"/>
    <w:rsid w:val="008750ED"/>
    <w:rsid w:val="008754C0"/>
    <w:rsid w:val="00875AE3"/>
    <w:rsid w:val="008800A7"/>
    <w:rsid w:val="008800FA"/>
    <w:rsid w:val="0089174F"/>
    <w:rsid w:val="00891EF1"/>
    <w:rsid w:val="008923DD"/>
    <w:rsid w:val="00892FEF"/>
    <w:rsid w:val="008931A3"/>
    <w:rsid w:val="008969A4"/>
    <w:rsid w:val="008A2798"/>
    <w:rsid w:val="008A497E"/>
    <w:rsid w:val="008A51C2"/>
    <w:rsid w:val="008A7B56"/>
    <w:rsid w:val="008B07A1"/>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09AF"/>
    <w:rsid w:val="008E174E"/>
    <w:rsid w:val="008E1C8D"/>
    <w:rsid w:val="008E2066"/>
    <w:rsid w:val="008E2B71"/>
    <w:rsid w:val="008E3601"/>
    <w:rsid w:val="008E3FFE"/>
    <w:rsid w:val="008E56D9"/>
    <w:rsid w:val="008E726B"/>
    <w:rsid w:val="008F008C"/>
    <w:rsid w:val="008F107F"/>
    <w:rsid w:val="008F28DF"/>
    <w:rsid w:val="008F3994"/>
    <w:rsid w:val="008F4E20"/>
    <w:rsid w:val="008F5612"/>
    <w:rsid w:val="008F72F6"/>
    <w:rsid w:val="00900AEE"/>
    <w:rsid w:val="00900B83"/>
    <w:rsid w:val="00900C50"/>
    <w:rsid w:val="00900D85"/>
    <w:rsid w:val="00901C96"/>
    <w:rsid w:val="00901DA1"/>
    <w:rsid w:val="00902860"/>
    <w:rsid w:val="00904018"/>
    <w:rsid w:val="00904857"/>
    <w:rsid w:val="00906C87"/>
    <w:rsid w:val="00906DE9"/>
    <w:rsid w:val="00907F9E"/>
    <w:rsid w:val="00910884"/>
    <w:rsid w:val="00910ABF"/>
    <w:rsid w:val="00910F43"/>
    <w:rsid w:val="00912857"/>
    <w:rsid w:val="00912A1C"/>
    <w:rsid w:val="0091304E"/>
    <w:rsid w:val="00913936"/>
    <w:rsid w:val="00914AAB"/>
    <w:rsid w:val="00916A50"/>
    <w:rsid w:val="009170E3"/>
    <w:rsid w:val="009219EB"/>
    <w:rsid w:val="009221C5"/>
    <w:rsid w:val="00922326"/>
    <w:rsid w:val="0092240E"/>
    <w:rsid w:val="009232C7"/>
    <w:rsid w:val="00927C8A"/>
    <w:rsid w:val="0093335D"/>
    <w:rsid w:val="00933632"/>
    <w:rsid w:val="0093586E"/>
    <w:rsid w:val="009360AD"/>
    <w:rsid w:val="00936FB6"/>
    <w:rsid w:val="009405BE"/>
    <w:rsid w:val="00941806"/>
    <w:rsid w:val="009436A9"/>
    <w:rsid w:val="00943DC0"/>
    <w:rsid w:val="009442F5"/>
    <w:rsid w:val="00944596"/>
    <w:rsid w:val="0094565D"/>
    <w:rsid w:val="00946E45"/>
    <w:rsid w:val="00947A42"/>
    <w:rsid w:val="0095319C"/>
    <w:rsid w:val="0095443B"/>
    <w:rsid w:val="009552F3"/>
    <w:rsid w:val="009556F7"/>
    <w:rsid w:val="0095668F"/>
    <w:rsid w:val="009620B3"/>
    <w:rsid w:val="009628E3"/>
    <w:rsid w:val="00962E94"/>
    <w:rsid w:val="00964FB5"/>
    <w:rsid w:val="00965120"/>
    <w:rsid w:val="00966EFE"/>
    <w:rsid w:val="009677DD"/>
    <w:rsid w:val="00970357"/>
    <w:rsid w:val="00970A62"/>
    <w:rsid w:val="0097150C"/>
    <w:rsid w:val="009735A9"/>
    <w:rsid w:val="00973966"/>
    <w:rsid w:val="009739ED"/>
    <w:rsid w:val="00975A77"/>
    <w:rsid w:val="00975C8C"/>
    <w:rsid w:val="0097794C"/>
    <w:rsid w:val="00977E10"/>
    <w:rsid w:val="00981954"/>
    <w:rsid w:val="0098632F"/>
    <w:rsid w:val="00986BD5"/>
    <w:rsid w:val="00990CAF"/>
    <w:rsid w:val="0099194D"/>
    <w:rsid w:val="00992B83"/>
    <w:rsid w:val="00993680"/>
    <w:rsid w:val="00994B1A"/>
    <w:rsid w:val="00997D00"/>
    <w:rsid w:val="009A0343"/>
    <w:rsid w:val="009A050F"/>
    <w:rsid w:val="009A1D0E"/>
    <w:rsid w:val="009A415B"/>
    <w:rsid w:val="009A44E2"/>
    <w:rsid w:val="009A45EC"/>
    <w:rsid w:val="009A4B46"/>
    <w:rsid w:val="009A5FF9"/>
    <w:rsid w:val="009A7667"/>
    <w:rsid w:val="009A7886"/>
    <w:rsid w:val="009B13D0"/>
    <w:rsid w:val="009B2C42"/>
    <w:rsid w:val="009B59B1"/>
    <w:rsid w:val="009B768B"/>
    <w:rsid w:val="009C0242"/>
    <w:rsid w:val="009C3D0E"/>
    <w:rsid w:val="009C4BE8"/>
    <w:rsid w:val="009C78BB"/>
    <w:rsid w:val="009D179F"/>
    <w:rsid w:val="009D228C"/>
    <w:rsid w:val="009D306B"/>
    <w:rsid w:val="009D3691"/>
    <w:rsid w:val="009D4355"/>
    <w:rsid w:val="009D7BC3"/>
    <w:rsid w:val="009E0A6B"/>
    <w:rsid w:val="009E1EF7"/>
    <w:rsid w:val="009E2702"/>
    <w:rsid w:val="009E445E"/>
    <w:rsid w:val="009E4E9D"/>
    <w:rsid w:val="009E5693"/>
    <w:rsid w:val="009E5790"/>
    <w:rsid w:val="009E6B56"/>
    <w:rsid w:val="009E7381"/>
    <w:rsid w:val="009F33D1"/>
    <w:rsid w:val="009F3756"/>
    <w:rsid w:val="009F3B65"/>
    <w:rsid w:val="009F49E0"/>
    <w:rsid w:val="009F4DC8"/>
    <w:rsid w:val="009F7BF9"/>
    <w:rsid w:val="00A00216"/>
    <w:rsid w:val="00A03835"/>
    <w:rsid w:val="00A040F4"/>
    <w:rsid w:val="00A046A7"/>
    <w:rsid w:val="00A05E14"/>
    <w:rsid w:val="00A060EA"/>
    <w:rsid w:val="00A07016"/>
    <w:rsid w:val="00A10E22"/>
    <w:rsid w:val="00A129AC"/>
    <w:rsid w:val="00A12B15"/>
    <w:rsid w:val="00A15179"/>
    <w:rsid w:val="00A155B9"/>
    <w:rsid w:val="00A15D98"/>
    <w:rsid w:val="00A15F13"/>
    <w:rsid w:val="00A16EF7"/>
    <w:rsid w:val="00A214A8"/>
    <w:rsid w:val="00A22F75"/>
    <w:rsid w:val="00A231B5"/>
    <w:rsid w:val="00A24DE5"/>
    <w:rsid w:val="00A26286"/>
    <w:rsid w:val="00A26B6D"/>
    <w:rsid w:val="00A27232"/>
    <w:rsid w:val="00A27C7B"/>
    <w:rsid w:val="00A31663"/>
    <w:rsid w:val="00A334BE"/>
    <w:rsid w:val="00A345FF"/>
    <w:rsid w:val="00A3550B"/>
    <w:rsid w:val="00A4100A"/>
    <w:rsid w:val="00A44868"/>
    <w:rsid w:val="00A456B0"/>
    <w:rsid w:val="00A47324"/>
    <w:rsid w:val="00A47427"/>
    <w:rsid w:val="00A47AF9"/>
    <w:rsid w:val="00A5071A"/>
    <w:rsid w:val="00A50B97"/>
    <w:rsid w:val="00A51115"/>
    <w:rsid w:val="00A5533F"/>
    <w:rsid w:val="00A57885"/>
    <w:rsid w:val="00A57FD7"/>
    <w:rsid w:val="00A6187F"/>
    <w:rsid w:val="00A618C7"/>
    <w:rsid w:val="00A625AD"/>
    <w:rsid w:val="00A64848"/>
    <w:rsid w:val="00A64B13"/>
    <w:rsid w:val="00A71425"/>
    <w:rsid w:val="00A72BA2"/>
    <w:rsid w:val="00A72DA9"/>
    <w:rsid w:val="00A738B0"/>
    <w:rsid w:val="00A73E8E"/>
    <w:rsid w:val="00A74A5F"/>
    <w:rsid w:val="00A7590F"/>
    <w:rsid w:val="00A75E8A"/>
    <w:rsid w:val="00A773F6"/>
    <w:rsid w:val="00A81438"/>
    <w:rsid w:val="00A819BE"/>
    <w:rsid w:val="00A82863"/>
    <w:rsid w:val="00A8416E"/>
    <w:rsid w:val="00A84871"/>
    <w:rsid w:val="00A90E10"/>
    <w:rsid w:val="00A91685"/>
    <w:rsid w:val="00A9181B"/>
    <w:rsid w:val="00A91F97"/>
    <w:rsid w:val="00A9204C"/>
    <w:rsid w:val="00A92CFC"/>
    <w:rsid w:val="00A942AF"/>
    <w:rsid w:val="00AA1285"/>
    <w:rsid w:val="00AA2818"/>
    <w:rsid w:val="00AA41F2"/>
    <w:rsid w:val="00AA778A"/>
    <w:rsid w:val="00AB25C3"/>
    <w:rsid w:val="00AB311B"/>
    <w:rsid w:val="00AB327B"/>
    <w:rsid w:val="00AB7C02"/>
    <w:rsid w:val="00AC2636"/>
    <w:rsid w:val="00AC39E5"/>
    <w:rsid w:val="00AC58D5"/>
    <w:rsid w:val="00AC76BE"/>
    <w:rsid w:val="00AD0AA5"/>
    <w:rsid w:val="00AD110B"/>
    <w:rsid w:val="00AD418F"/>
    <w:rsid w:val="00AD6502"/>
    <w:rsid w:val="00AD7AF8"/>
    <w:rsid w:val="00AD7D99"/>
    <w:rsid w:val="00AE21A9"/>
    <w:rsid w:val="00AE2414"/>
    <w:rsid w:val="00AE2BAA"/>
    <w:rsid w:val="00AE2D37"/>
    <w:rsid w:val="00AE3170"/>
    <w:rsid w:val="00AE4663"/>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33B"/>
    <w:rsid w:val="00B120BB"/>
    <w:rsid w:val="00B12AD0"/>
    <w:rsid w:val="00B138B5"/>
    <w:rsid w:val="00B1535D"/>
    <w:rsid w:val="00B17DD9"/>
    <w:rsid w:val="00B21B4E"/>
    <w:rsid w:val="00B220B3"/>
    <w:rsid w:val="00B25793"/>
    <w:rsid w:val="00B26227"/>
    <w:rsid w:val="00B26449"/>
    <w:rsid w:val="00B277F6"/>
    <w:rsid w:val="00B278D3"/>
    <w:rsid w:val="00B33AF0"/>
    <w:rsid w:val="00B3558A"/>
    <w:rsid w:val="00B355A6"/>
    <w:rsid w:val="00B35937"/>
    <w:rsid w:val="00B4164A"/>
    <w:rsid w:val="00B4237A"/>
    <w:rsid w:val="00B4426A"/>
    <w:rsid w:val="00B44996"/>
    <w:rsid w:val="00B459B6"/>
    <w:rsid w:val="00B46801"/>
    <w:rsid w:val="00B471AF"/>
    <w:rsid w:val="00B5122C"/>
    <w:rsid w:val="00B51D7A"/>
    <w:rsid w:val="00B574FA"/>
    <w:rsid w:val="00B57C6A"/>
    <w:rsid w:val="00B60442"/>
    <w:rsid w:val="00B608A9"/>
    <w:rsid w:val="00B60C2A"/>
    <w:rsid w:val="00B61481"/>
    <w:rsid w:val="00B61966"/>
    <w:rsid w:val="00B629D8"/>
    <w:rsid w:val="00B63D95"/>
    <w:rsid w:val="00B65C0E"/>
    <w:rsid w:val="00B70647"/>
    <w:rsid w:val="00B71CB5"/>
    <w:rsid w:val="00B74484"/>
    <w:rsid w:val="00B75D79"/>
    <w:rsid w:val="00B75E19"/>
    <w:rsid w:val="00B76B7D"/>
    <w:rsid w:val="00B833EB"/>
    <w:rsid w:val="00B835C8"/>
    <w:rsid w:val="00B83656"/>
    <w:rsid w:val="00B84DF3"/>
    <w:rsid w:val="00B854DA"/>
    <w:rsid w:val="00B869EF"/>
    <w:rsid w:val="00B90BA5"/>
    <w:rsid w:val="00B90EFB"/>
    <w:rsid w:val="00B9142E"/>
    <w:rsid w:val="00B91E5D"/>
    <w:rsid w:val="00B933A4"/>
    <w:rsid w:val="00B94677"/>
    <w:rsid w:val="00B9604A"/>
    <w:rsid w:val="00B97774"/>
    <w:rsid w:val="00BA2CCE"/>
    <w:rsid w:val="00BA35DC"/>
    <w:rsid w:val="00BA3782"/>
    <w:rsid w:val="00BA4238"/>
    <w:rsid w:val="00BA5A8D"/>
    <w:rsid w:val="00BA5E9A"/>
    <w:rsid w:val="00BA68B8"/>
    <w:rsid w:val="00BA76B6"/>
    <w:rsid w:val="00BB1114"/>
    <w:rsid w:val="00BB213D"/>
    <w:rsid w:val="00BB2608"/>
    <w:rsid w:val="00BB4481"/>
    <w:rsid w:val="00BC1089"/>
    <w:rsid w:val="00BC18AB"/>
    <w:rsid w:val="00BC2510"/>
    <w:rsid w:val="00BD1409"/>
    <w:rsid w:val="00BD35D7"/>
    <w:rsid w:val="00BD64E9"/>
    <w:rsid w:val="00BE1D1B"/>
    <w:rsid w:val="00BE236B"/>
    <w:rsid w:val="00BE2AC7"/>
    <w:rsid w:val="00BF08ED"/>
    <w:rsid w:val="00BF0E36"/>
    <w:rsid w:val="00BF18C0"/>
    <w:rsid w:val="00BF28AF"/>
    <w:rsid w:val="00BF32C6"/>
    <w:rsid w:val="00BF5897"/>
    <w:rsid w:val="00BF5CB0"/>
    <w:rsid w:val="00BF6011"/>
    <w:rsid w:val="00C00022"/>
    <w:rsid w:val="00C02A50"/>
    <w:rsid w:val="00C03C70"/>
    <w:rsid w:val="00C04FC4"/>
    <w:rsid w:val="00C108B4"/>
    <w:rsid w:val="00C109C3"/>
    <w:rsid w:val="00C10CBC"/>
    <w:rsid w:val="00C11105"/>
    <w:rsid w:val="00C121C8"/>
    <w:rsid w:val="00C1227E"/>
    <w:rsid w:val="00C12407"/>
    <w:rsid w:val="00C12D91"/>
    <w:rsid w:val="00C153CC"/>
    <w:rsid w:val="00C1576D"/>
    <w:rsid w:val="00C16830"/>
    <w:rsid w:val="00C1707A"/>
    <w:rsid w:val="00C171C6"/>
    <w:rsid w:val="00C174AB"/>
    <w:rsid w:val="00C210A2"/>
    <w:rsid w:val="00C213CA"/>
    <w:rsid w:val="00C21685"/>
    <w:rsid w:val="00C217A0"/>
    <w:rsid w:val="00C21B27"/>
    <w:rsid w:val="00C21B45"/>
    <w:rsid w:val="00C2349C"/>
    <w:rsid w:val="00C24E48"/>
    <w:rsid w:val="00C25F2F"/>
    <w:rsid w:val="00C265E3"/>
    <w:rsid w:val="00C27EFB"/>
    <w:rsid w:val="00C30A46"/>
    <w:rsid w:val="00C30D50"/>
    <w:rsid w:val="00C32608"/>
    <w:rsid w:val="00C3264F"/>
    <w:rsid w:val="00C34C30"/>
    <w:rsid w:val="00C35004"/>
    <w:rsid w:val="00C35521"/>
    <w:rsid w:val="00C360D8"/>
    <w:rsid w:val="00C40119"/>
    <w:rsid w:val="00C40573"/>
    <w:rsid w:val="00C41619"/>
    <w:rsid w:val="00C41B14"/>
    <w:rsid w:val="00C440DC"/>
    <w:rsid w:val="00C4494C"/>
    <w:rsid w:val="00C44A19"/>
    <w:rsid w:val="00C45298"/>
    <w:rsid w:val="00C46E5D"/>
    <w:rsid w:val="00C50812"/>
    <w:rsid w:val="00C50DAC"/>
    <w:rsid w:val="00C537E1"/>
    <w:rsid w:val="00C60C4B"/>
    <w:rsid w:val="00C61E26"/>
    <w:rsid w:val="00C620BE"/>
    <w:rsid w:val="00C62DF1"/>
    <w:rsid w:val="00C633FB"/>
    <w:rsid w:val="00C64DA2"/>
    <w:rsid w:val="00C672BC"/>
    <w:rsid w:val="00C677F0"/>
    <w:rsid w:val="00C7072F"/>
    <w:rsid w:val="00C71220"/>
    <w:rsid w:val="00C741AA"/>
    <w:rsid w:val="00C74A11"/>
    <w:rsid w:val="00C75095"/>
    <w:rsid w:val="00C75CCA"/>
    <w:rsid w:val="00C77C3E"/>
    <w:rsid w:val="00C80B9B"/>
    <w:rsid w:val="00C838C8"/>
    <w:rsid w:val="00C841BE"/>
    <w:rsid w:val="00C846B3"/>
    <w:rsid w:val="00C865E7"/>
    <w:rsid w:val="00C867AA"/>
    <w:rsid w:val="00C867B2"/>
    <w:rsid w:val="00C8752F"/>
    <w:rsid w:val="00C90094"/>
    <w:rsid w:val="00C903A8"/>
    <w:rsid w:val="00C90E48"/>
    <w:rsid w:val="00C92424"/>
    <w:rsid w:val="00CA1993"/>
    <w:rsid w:val="00CA4972"/>
    <w:rsid w:val="00CA6C7D"/>
    <w:rsid w:val="00CB006B"/>
    <w:rsid w:val="00CB1AEA"/>
    <w:rsid w:val="00CB64F6"/>
    <w:rsid w:val="00CB7AEC"/>
    <w:rsid w:val="00CC1F79"/>
    <w:rsid w:val="00CC31F8"/>
    <w:rsid w:val="00CC7DDC"/>
    <w:rsid w:val="00CD093A"/>
    <w:rsid w:val="00CD3472"/>
    <w:rsid w:val="00CD354A"/>
    <w:rsid w:val="00CD6AB0"/>
    <w:rsid w:val="00CD747D"/>
    <w:rsid w:val="00CE06FE"/>
    <w:rsid w:val="00CE102A"/>
    <w:rsid w:val="00CE2307"/>
    <w:rsid w:val="00CE7727"/>
    <w:rsid w:val="00CE7C7D"/>
    <w:rsid w:val="00CF3A30"/>
    <w:rsid w:val="00CF4706"/>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10A"/>
    <w:rsid w:val="00D1781F"/>
    <w:rsid w:val="00D17E99"/>
    <w:rsid w:val="00D217C5"/>
    <w:rsid w:val="00D22AFC"/>
    <w:rsid w:val="00D247CF"/>
    <w:rsid w:val="00D249AD"/>
    <w:rsid w:val="00D269B4"/>
    <w:rsid w:val="00D30864"/>
    <w:rsid w:val="00D316F2"/>
    <w:rsid w:val="00D329C8"/>
    <w:rsid w:val="00D34ADB"/>
    <w:rsid w:val="00D40DA3"/>
    <w:rsid w:val="00D41D3B"/>
    <w:rsid w:val="00D41E77"/>
    <w:rsid w:val="00D421F5"/>
    <w:rsid w:val="00D44C31"/>
    <w:rsid w:val="00D46347"/>
    <w:rsid w:val="00D534F8"/>
    <w:rsid w:val="00D53DB2"/>
    <w:rsid w:val="00D55B84"/>
    <w:rsid w:val="00D628C4"/>
    <w:rsid w:val="00D6650C"/>
    <w:rsid w:val="00D6727C"/>
    <w:rsid w:val="00D70119"/>
    <w:rsid w:val="00D72596"/>
    <w:rsid w:val="00D747B2"/>
    <w:rsid w:val="00D76042"/>
    <w:rsid w:val="00D76E56"/>
    <w:rsid w:val="00D772D3"/>
    <w:rsid w:val="00D81349"/>
    <w:rsid w:val="00D837A6"/>
    <w:rsid w:val="00D83D3A"/>
    <w:rsid w:val="00D83EAC"/>
    <w:rsid w:val="00D84AB7"/>
    <w:rsid w:val="00D84C96"/>
    <w:rsid w:val="00D86181"/>
    <w:rsid w:val="00D86AC5"/>
    <w:rsid w:val="00D8748C"/>
    <w:rsid w:val="00D879D0"/>
    <w:rsid w:val="00D9142A"/>
    <w:rsid w:val="00D944EC"/>
    <w:rsid w:val="00D947C9"/>
    <w:rsid w:val="00D94DD2"/>
    <w:rsid w:val="00D95192"/>
    <w:rsid w:val="00D95305"/>
    <w:rsid w:val="00D95703"/>
    <w:rsid w:val="00D96DA1"/>
    <w:rsid w:val="00DA1CDC"/>
    <w:rsid w:val="00DA3A2A"/>
    <w:rsid w:val="00DA4C1C"/>
    <w:rsid w:val="00DA4DF0"/>
    <w:rsid w:val="00DB110A"/>
    <w:rsid w:val="00DB1F00"/>
    <w:rsid w:val="00DB2BD9"/>
    <w:rsid w:val="00DB313D"/>
    <w:rsid w:val="00DB376D"/>
    <w:rsid w:val="00DB3DCC"/>
    <w:rsid w:val="00DB476D"/>
    <w:rsid w:val="00DB48D5"/>
    <w:rsid w:val="00DB58C6"/>
    <w:rsid w:val="00DB6E92"/>
    <w:rsid w:val="00DC00E2"/>
    <w:rsid w:val="00DC2773"/>
    <w:rsid w:val="00DC451D"/>
    <w:rsid w:val="00DC74AB"/>
    <w:rsid w:val="00DC7D8F"/>
    <w:rsid w:val="00DD1090"/>
    <w:rsid w:val="00DD22BE"/>
    <w:rsid w:val="00DD35BC"/>
    <w:rsid w:val="00DD4BFD"/>
    <w:rsid w:val="00DD524D"/>
    <w:rsid w:val="00DD5A8B"/>
    <w:rsid w:val="00DD5B18"/>
    <w:rsid w:val="00DD76F3"/>
    <w:rsid w:val="00DD776B"/>
    <w:rsid w:val="00DD7CFF"/>
    <w:rsid w:val="00DD7F4F"/>
    <w:rsid w:val="00DE1DE6"/>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722"/>
    <w:rsid w:val="00DF7A0C"/>
    <w:rsid w:val="00E01126"/>
    <w:rsid w:val="00E01875"/>
    <w:rsid w:val="00E03819"/>
    <w:rsid w:val="00E064E2"/>
    <w:rsid w:val="00E07C24"/>
    <w:rsid w:val="00E124B5"/>
    <w:rsid w:val="00E13230"/>
    <w:rsid w:val="00E13570"/>
    <w:rsid w:val="00E14136"/>
    <w:rsid w:val="00E1431E"/>
    <w:rsid w:val="00E14F56"/>
    <w:rsid w:val="00E1567A"/>
    <w:rsid w:val="00E20078"/>
    <w:rsid w:val="00E20682"/>
    <w:rsid w:val="00E21455"/>
    <w:rsid w:val="00E22FCF"/>
    <w:rsid w:val="00E251B9"/>
    <w:rsid w:val="00E26496"/>
    <w:rsid w:val="00E26688"/>
    <w:rsid w:val="00E26E40"/>
    <w:rsid w:val="00E2765D"/>
    <w:rsid w:val="00E306B4"/>
    <w:rsid w:val="00E30CDD"/>
    <w:rsid w:val="00E311A2"/>
    <w:rsid w:val="00E324C4"/>
    <w:rsid w:val="00E32C64"/>
    <w:rsid w:val="00E34AAF"/>
    <w:rsid w:val="00E34D8B"/>
    <w:rsid w:val="00E366CB"/>
    <w:rsid w:val="00E4006E"/>
    <w:rsid w:val="00E44BBA"/>
    <w:rsid w:val="00E508AC"/>
    <w:rsid w:val="00E5095E"/>
    <w:rsid w:val="00E52767"/>
    <w:rsid w:val="00E540CA"/>
    <w:rsid w:val="00E5419A"/>
    <w:rsid w:val="00E54D4A"/>
    <w:rsid w:val="00E55FE7"/>
    <w:rsid w:val="00E603A1"/>
    <w:rsid w:val="00E630F9"/>
    <w:rsid w:val="00E63DD3"/>
    <w:rsid w:val="00E65DC5"/>
    <w:rsid w:val="00E66266"/>
    <w:rsid w:val="00E7185E"/>
    <w:rsid w:val="00E71A95"/>
    <w:rsid w:val="00E72026"/>
    <w:rsid w:val="00E72922"/>
    <w:rsid w:val="00E72EBC"/>
    <w:rsid w:val="00E72FC5"/>
    <w:rsid w:val="00E73270"/>
    <w:rsid w:val="00E73EFD"/>
    <w:rsid w:val="00E767F9"/>
    <w:rsid w:val="00E77476"/>
    <w:rsid w:val="00E77507"/>
    <w:rsid w:val="00E81771"/>
    <w:rsid w:val="00E818A9"/>
    <w:rsid w:val="00E81EE8"/>
    <w:rsid w:val="00E85E00"/>
    <w:rsid w:val="00E861BE"/>
    <w:rsid w:val="00E9083A"/>
    <w:rsid w:val="00E90A5C"/>
    <w:rsid w:val="00E91D54"/>
    <w:rsid w:val="00E91F44"/>
    <w:rsid w:val="00E920EE"/>
    <w:rsid w:val="00E92650"/>
    <w:rsid w:val="00E9292A"/>
    <w:rsid w:val="00E93211"/>
    <w:rsid w:val="00E942B0"/>
    <w:rsid w:val="00E95518"/>
    <w:rsid w:val="00E961F8"/>
    <w:rsid w:val="00E97722"/>
    <w:rsid w:val="00E97ED4"/>
    <w:rsid w:val="00EA07D9"/>
    <w:rsid w:val="00EA0BA9"/>
    <w:rsid w:val="00EA3569"/>
    <w:rsid w:val="00EA4347"/>
    <w:rsid w:val="00EA4B9C"/>
    <w:rsid w:val="00EA5CEA"/>
    <w:rsid w:val="00EA7224"/>
    <w:rsid w:val="00EB23DA"/>
    <w:rsid w:val="00EB30A6"/>
    <w:rsid w:val="00EB6042"/>
    <w:rsid w:val="00EB7914"/>
    <w:rsid w:val="00EC0807"/>
    <w:rsid w:val="00EC2BA7"/>
    <w:rsid w:val="00EC4050"/>
    <w:rsid w:val="00EC48C8"/>
    <w:rsid w:val="00EC7852"/>
    <w:rsid w:val="00ED214D"/>
    <w:rsid w:val="00ED41C1"/>
    <w:rsid w:val="00ED4BC2"/>
    <w:rsid w:val="00ED669C"/>
    <w:rsid w:val="00EE061D"/>
    <w:rsid w:val="00EE1AA6"/>
    <w:rsid w:val="00EE57BB"/>
    <w:rsid w:val="00EE6A79"/>
    <w:rsid w:val="00EF0ADF"/>
    <w:rsid w:val="00EF5F4F"/>
    <w:rsid w:val="00EF6238"/>
    <w:rsid w:val="00EF7527"/>
    <w:rsid w:val="00F02205"/>
    <w:rsid w:val="00F03BAC"/>
    <w:rsid w:val="00F06987"/>
    <w:rsid w:val="00F07F6E"/>
    <w:rsid w:val="00F105C7"/>
    <w:rsid w:val="00F111FF"/>
    <w:rsid w:val="00F11A5F"/>
    <w:rsid w:val="00F1360C"/>
    <w:rsid w:val="00F14CC5"/>
    <w:rsid w:val="00F15A8C"/>
    <w:rsid w:val="00F179A2"/>
    <w:rsid w:val="00F20682"/>
    <w:rsid w:val="00F20C60"/>
    <w:rsid w:val="00F20C9E"/>
    <w:rsid w:val="00F221A5"/>
    <w:rsid w:val="00F229DD"/>
    <w:rsid w:val="00F276E7"/>
    <w:rsid w:val="00F309E0"/>
    <w:rsid w:val="00F3412E"/>
    <w:rsid w:val="00F359E9"/>
    <w:rsid w:val="00F36B9C"/>
    <w:rsid w:val="00F42160"/>
    <w:rsid w:val="00F42DA2"/>
    <w:rsid w:val="00F437C6"/>
    <w:rsid w:val="00F458B3"/>
    <w:rsid w:val="00F46181"/>
    <w:rsid w:val="00F470BF"/>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0E80"/>
    <w:rsid w:val="00F71143"/>
    <w:rsid w:val="00F7158D"/>
    <w:rsid w:val="00F74936"/>
    <w:rsid w:val="00F751D9"/>
    <w:rsid w:val="00F7775B"/>
    <w:rsid w:val="00F83579"/>
    <w:rsid w:val="00F8711F"/>
    <w:rsid w:val="00F9085A"/>
    <w:rsid w:val="00F90EFE"/>
    <w:rsid w:val="00F9242C"/>
    <w:rsid w:val="00F943C3"/>
    <w:rsid w:val="00F97093"/>
    <w:rsid w:val="00FA36FF"/>
    <w:rsid w:val="00FA68B9"/>
    <w:rsid w:val="00FB2A88"/>
    <w:rsid w:val="00FB3906"/>
    <w:rsid w:val="00FB4267"/>
    <w:rsid w:val="00FB4A1A"/>
    <w:rsid w:val="00FB5EF5"/>
    <w:rsid w:val="00FB63DD"/>
    <w:rsid w:val="00FB6EE6"/>
    <w:rsid w:val="00FB7396"/>
    <w:rsid w:val="00FC62E6"/>
    <w:rsid w:val="00FC6384"/>
    <w:rsid w:val="00FC6B7F"/>
    <w:rsid w:val="00FC7560"/>
    <w:rsid w:val="00FD3762"/>
    <w:rsid w:val="00FD3981"/>
    <w:rsid w:val="00FD42FD"/>
    <w:rsid w:val="00FD4DC4"/>
    <w:rsid w:val="00FD5299"/>
    <w:rsid w:val="00FD5D80"/>
    <w:rsid w:val="00FD73FC"/>
    <w:rsid w:val="00FD7E41"/>
    <w:rsid w:val="00FE01F4"/>
    <w:rsid w:val="00FE5DB5"/>
    <w:rsid w:val="00FE63CA"/>
    <w:rsid w:val="00FE6C0A"/>
    <w:rsid w:val="00FF0594"/>
    <w:rsid w:val="00FF0941"/>
    <w:rsid w:val="00FF38B5"/>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9405D90"/>
  <w15:docId w15:val="{71C8483E-D36D-4E5D-BF6C-166EE378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3D6B"/>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outlineLvl w:val="0"/>
    </w:pPr>
    <w:rPr>
      <w:rFonts w:cs="Arial"/>
      <w:b/>
      <w:bCs/>
      <w:smallCaps/>
      <w:color w:val="000000" w:themeColor="text1"/>
      <w:sz w:val="22"/>
    </w:rPr>
  </w:style>
  <w:style w:type="paragraph" w:styleId="Titre2">
    <w:name w:val="heading 2"/>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DD524D"/>
    <w:pPr>
      <w:keepNext/>
      <w:numPr>
        <w:ilvl w:val="2"/>
        <w:numId w:val="4"/>
      </w:numPr>
      <w:pBdr>
        <w:bottom w:val="single" w:sz="4" w:space="1" w:color="auto"/>
      </w:pBdr>
      <w:tabs>
        <w:tab w:val="left" w:pos="1134"/>
      </w:tabs>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qFormat/>
    <w:rsid w:val="00C210A2"/>
    <w:pPr>
      <w:spacing w:before="240" w:after="60"/>
      <w:outlineLvl w:val="6"/>
    </w:pPr>
    <w:rPr>
      <w:rFonts w:cs="Arial"/>
    </w:rPr>
  </w:style>
  <w:style w:type="paragraph" w:styleId="Titre8">
    <w:name w:val="heading 8"/>
    <w:basedOn w:val="Normal"/>
    <w:next w:val="Normal"/>
    <w:link w:val="Titre8Car"/>
    <w:qFormat/>
    <w:rsid w:val="00C210A2"/>
    <w:pPr>
      <w:spacing w:before="240" w:after="60"/>
      <w:outlineLvl w:val="7"/>
    </w:pPr>
    <w:rPr>
      <w:rFonts w:cs="Arial"/>
      <w:i/>
      <w:iCs/>
    </w:rPr>
  </w:style>
  <w:style w:type="paragraph" w:styleId="Titre9">
    <w:name w:val="heading 9"/>
    <w:basedOn w:val="Normal"/>
    <w:next w:val="Normal"/>
    <w:link w:val="Titre9Car"/>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DD524D"/>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titre30">
    <w:name w:val="titre 3"/>
    <w:basedOn w:val="Normal"/>
    <w:next w:val="Normal"/>
    <w:qFormat/>
    <w:rsid w:val="007849FA"/>
    <w:pPr>
      <w:keepNext/>
      <w:tabs>
        <w:tab w:val="left" w:pos="851"/>
      </w:tabs>
      <w:spacing w:before="240" w:after="240" w:line="276" w:lineRule="auto"/>
      <w:ind w:left="851"/>
      <w:outlineLvl w:val="2"/>
    </w:pPr>
    <w:rPr>
      <w:rFonts w:cs="Arial"/>
      <w:color w:val="244061" w:themeColor="accent1" w:themeShade="80"/>
      <w:u w:val="single"/>
    </w:rPr>
  </w:style>
  <w:style w:type="paragraph" w:customStyle="1" w:styleId="WW-Standard">
    <w:name w:val="WW-Standard"/>
    <w:rsid w:val="00383ECB"/>
    <w:pPr>
      <w:suppressAutoHyphens/>
      <w:spacing w:before="200"/>
      <w:textAlignment w:val="baseline"/>
    </w:pPr>
    <w:rPr>
      <w:rFonts w:ascii="Calibri" w:eastAsia="Arial" w:hAnsi="Calibri" w:cs="Calibri"/>
      <w:kern w:val="1"/>
      <w:lang w:eastAsia="ar-SA"/>
    </w:rPr>
  </w:style>
  <w:style w:type="paragraph" w:styleId="Listepuces3">
    <w:name w:val="List Bullet 3"/>
    <w:basedOn w:val="Normal"/>
    <w:uiPriority w:val="99"/>
    <w:semiHidden/>
    <w:unhideWhenUsed/>
    <w:rsid w:val="007F263D"/>
    <w:pPr>
      <w:numPr>
        <w:numId w:val="23"/>
      </w:numPr>
      <w:contextualSpacing/>
    </w:pPr>
  </w:style>
  <w:style w:type="paragraph" w:customStyle="1" w:styleId="Style1">
    <w:name w:val="Style1"/>
    <w:basedOn w:val="Titre1"/>
    <w:semiHidden/>
    <w:rsid w:val="009C78BB"/>
    <w:pPr>
      <w:numPr>
        <w:numId w:val="44"/>
      </w:numPr>
      <w:pBdr>
        <w:bottom w:val="none" w:sz="0" w:space="0" w:color="auto"/>
      </w:pBdr>
      <w:overflowPunct/>
      <w:autoSpaceDE/>
      <w:autoSpaceDN/>
      <w:adjustRightInd/>
      <w:spacing w:before="600" w:after="420" w:line="480" w:lineRule="auto"/>
      <w:textAlignment w:val="auto"/>
    </w:pPr>
    <w:rPr>
      <w:rFonts w:cs="Times New Roman"/>
      <w:bCs w:val="0"/>
      <w:caps/>
      <w:smallCaps w:val="0"/>
      <w:color w:val="000000"/>
      <w:kern w:val="32"/>
      <w:szCs w:val="24"/>
    </w:rPr>
  </w:style>
  <w:style w:type="character" w:styleId="Lienhypertextesuivivisit">
    <w:name w:val="FollowedHyperlink"/>
    <w:basedOn w:val="Policepardfaut"/>
    <w:uiPriority w:val="99"/>
    <w:semiHidden/>
    <w:unhideWhenUsed/>
    <w:rsid w:val="001936E5"/>
    <w:rPr>
      <w:color w:val="800080" w:themeColor="followedHyperlink"/>
      <w:u w:val="single"/>
    </w:rPr>
  </w:style>
  <w:style w:type="character" w:styleId="Mentionnonrsolue">
    <w:name w:val="Unresolved Mention"/>
    <w:basedOn w:val="Policepardfaut"/>
    <w:uiPriority w:val="99"/>
    <w:semiHidden/>
    <w:unhideWhenUsed/>
    <w:rsid w:val="004E1DCC"/>
    <w:rPr>
      <w:color w:val="605E5C"/>
      <w:shd w:val="clear" w:color="auto" w:fill="E1DFDD"/>
    </w:rPr>
  </w:style>
  <w:style w:type="table" w:customStyle="1" w:styleId="Grilledutableau3">
    <w:name w:val="Grille du tableau3"/>
    <w:basedOn w:val="TableauNormal"/>
    <w:next w:val="Grilledutableau"/>
    <w:rsid w:val="00DD4BFD"/>
    <w:pPr>
      <w:spacing w:after="0" w:line="240" w:lineRule="auto"/>
    </w:pPr>
    <w:rPr>
      <w:rFonts w:asciiTheme="minorHAnsi" w:eastAsiaTheme="minorHAnsi" w:hAnsiTheme="minorHAnsi" w:cstheme="minorBidi"/>
      <w:lang w:eastAsia="en-US"/>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236018130">
      <w:bodyDiv w:val="1"/>
      <w:marLeft w:val="0"/>
      <w:marRight w:val="0"/>
      <w:marTop w:val="0"/>
      <w:marBottom w:val="0"/>
      <w:divBdr>
        <w:top w:val="none" w:sz="0" w:space="0" w:color="auto"/>
        <w:left w:val="none" w:sz="0" w:space="0" w:color="auto"/>
        <w:bottom w:val="none" w:sz="0" w:space="0" w:color="auto"/>
        <w:right w:val="none" w:sz="0" w:space="0" w:color="auto"/>
      </w:divBdr>
      <w:divsChild>
        <w:div w:id="1537428081">
          <w:marLeft w:val="0"/>
          <w:marRight w:val="0"/>
          <w:marTop w:val="0"/>
          <w:marBottom w:val="0"/>
          <w:divBdr>
            <w:top w:val="none" w:sz="0" w:space="0" w:color="auto"/>
            <w:left w:val="none" w:sz="0" w:space="0" w:color="auto"/>
            <w:bottom w:val="none" w:sz="0" w:space="0" w:color="auto"/>
            <w:right w:val="none" w:sz="0" w:space="0" w:color="auto"/>
          </w:divBdr>
        </w:div>
        <w:div w:id="2095055856">
          <w:marLeft w:val="0"/>
          <w:marRight w:val="0"/>
          <w:marTop w:val="0"/>
          <w:marBottom w:val="0"/>
          <w:divBdr>
            <w:top w:val="none" w:sz="0" w:space="0" w:color="auto"/>
            <w:left w:val="none" w:sz="0" w:space="0" w:color="auto"/>
            <w:bottom w:val="none" w:sz="0" w:space="0" w:color="auto"/>
            <w:right w:val="none" w:sz="0" w:space="0" w:color="auto"/>
          </w:divBdr>
        </w:div>
      </w:divsChild>
    </w:div>
    <w:div w:id="252472953">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24134793">
      <w:bodyDiv w:val="1"/>
      <w:marLeft w:val="0"/>
      <w:marRight w:val="0"/>
      <w:marTop w:val="0"/>
      <w:marBottom w:val="0"/>
      <w:divBdr>
        <w:top w:val="none" w:sz="0" w:space="0" w:color="auto"/>
        <w:left w:val="none" w:sz="0" w:space="0" w:color="auto"/>
        <w:bottom w:val="none" w:sz="0" w:space="0" w:color="auto"/>
        <w:right w:val="none" w:sz="0" w:space="0" w:color="auto"/>
      </w:divBdr>
      <w:divsChild>
        <w:div w:id="1178500924">
          <w:marLeft w:val="0"/>
          <w:marRight w:val="0"/>
          <w:marTop w:val="0"/>
          <w:marBottom w:val="0"/>
          <w:divBdr>
            <w:top w:val="none" w:sz="0" w:space="0" w:color="auto"/>
            <w:left w:val="none" w:sz="0" w:space="0" w:color="auto"/>
            <w:bottom w:val="none" w:sz="0" w:space="0" w:color="auto"/>
            <w:right w:val="none" w:sz="0" w:space="0" w:color="auto"/>
          </w:divBdr>
        </w:div>
        <w:div w:id="1304043497">
          <w:marLeft w:val="0"/>
          <w:marRight w:val="0"/>
          <w:marTop w:val="0"/>
          <w:marBottom w:val="0"/>
          <w:divBdr>
            <w:top w:val="none" w:sz="0" w:space="0" w:color="auto"/>
            <w:left w:val="none" w:sz="0" w:space="0" w:color="auto"/>
            <w:bottom w:val="none" w:sz="0" w:space="0" w:color="auto"/>
            <w:right w:val="none" w:sz="0" w:space="0" w:color="auto"/>
          </w:divBdr>
        </w:div>
        <w:div w:id="1614510554">
          <w:marLeft w:val="0"/>
          <w:marRight w:val="0"/>
          <w:marTop w:val="0"/>
          <w:marBottom w:val="0"/>
          <w:divBdr>
            <w:top w:val="none" w:sz="0" w:space="0" w:color="auto"/>
            <w:left w:val="none" w:sz="0" w:space="0" w:color="auto"/>
            <w:bottom w:val="none" w:sz="0" w:space="0" w:color="auto"/>
            <w:right w:val="none" w:sz="0" w:space="0" w:color="auto"/>
          </w:divBdr>
        </w:div>
      </w:divsChild>
    </w:div>
    <w:div w:id="1071662890">
      <w:marLeft w:val="0"/>
      <w:marRight w:val="0"/>
      <w:marTop w:val="0"/>
      <w:marBottom w:val="0"/>
      <w:divBdr>
        <w:top w:val="none" w:sz="0" w:space="0" w:color="auto"/>
        <w:left w:val="none" w:sz="0" w:space="0" w:color="auto"/>
        <w:bottom w:val="none" w:sz="0" w:space="0" w:color="auto"/>
        <w:right w:val="none" w:sz="0" w:space="0" w:color="auto"/>
      </w:divBdr>
    </w:div>
    <w:div w:id="1152408376">
      <w:bodyDiv w:val="1"/>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383751984">
      <w:bodyDiv w:val="1"/>
      <w:marLeft w:val="0"/>
      <w:marRight w:val="0"/>
      <w:marTop w:val="0"/>
      <w:marBottom w:val="0"/>
      <w:divBdr>
        <w:top w:val="none" w:sz="0" w:space="0" w:color="auto"/>
        <w:left w:val="none" w:sz="0" w:space="0" w:color="auto"/>
        <w:bottom w:val="none" w:sz="0" w:space="0" w:color="auto"/>
        <w:right w:val="none" w:sz="0" w:space="0" w:color="auto"/>
      </w:divBdr>
      <w:divsChild>
        <w:div w:id="1107047651">
          <w:marLeft w:val="0"/>
          <w:marRight w:val="0"/>
          <w:marTop w:val="0"/>
          <w:marBottom w:val="0"/>
          <w:divBdr>
            <w:top w:val="none" w:sz="0" w:space="0" w:color="auto"/>
            <w:left w:val="none" w:sz="0" w:space="0" w:color="auto"/>
            <w:bottom w:val="none" w:sz="0" w:space="0" w:color="auto"/>
            <w:right w:val="none" w:sz="0" w:space="0" w:color="auto"/>
          </w:divBdr>
        </w:div>
        <w:div w:id="1687100600">
          <w:marLeft w:val="0"/>
          <w:marRight w:val="0"/>
          <w:marTop w:val="0"/>
          <w:marBottom w:val="0"/>
          <w:divBdr>
            <w:top w:val="none" w:sz="0" w:space="0" w:color="auto"/>
            <w:left w:val="none" w:sz="0" w:space="0" w:color="auto"/>
            <w:bottom w:val="none" w:sz="0" w:space="0" w:color="auto"/>
            <w:right w:val="none" w:sz="0" w:space="0" w:color="auto"/>
          </w:divBdr>
        </w:div>
      </w:divsChild>
    </w:div>
    <w:div w:id="146789628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22964501">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138403665">
      <w:bodyDiv w:val="1"/>
      <w:marLeft w:val="0"/>
      <w:marRight w:val="0"/>
      <w:marTop w:val="0"/>
      <w:marBottom w:val="0"/>
      <w:divBdr>
        <w:top w:val="none" w:sz="0" w:space="0" w:color="auto"/>
        <w:left w:val="none" w:sz="0" w:space="0" w:color="auto"/>
        <w:bottom w:val="none" w:sz="0" w:space="0" w:color="auto"/>
        <w:right w:val="none" w:sz="0" w:space="0" w:color="auto"/>
      </w:divBdr>
      <w:divsChild>
        <w:div w:id="1312634473">
          <w:marLeft w:val="0"/>
          <w:marRight w:val="0"/>
          <w:marTop w:val="0"/>
          <w:marBottom w:val="0"/>
          <w:divBdr>
            <w:top w:val="none" w:sz="0" w:space="0" w:color="auto"/>
            <w:left w:val="none" w:sz="0" w:space="0" w:color="auto"/>
            <w:bottom w:val="none" w:sz="0" w:space="0" w:color="auto"/>
            <w:right w:val="none" w:sz="0" w:space="0" w:color="auto"/>
          </w:divBdr>
        </w:div>
        <w:div w:id="1476878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www.marches-publics.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ana.sadaa@muce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a.santiago@mucem.org" TargetMode="External"/><Relationship Id="rId5" Type="http://schemas.openxmlformats.org/officeDocument/2006/relationships/webSettings" Target="webSettings.xml"/><Relationship Id="rId15" Type="http://schemas.openxmlformats.org/officeDocument/2006/relationships/hyperlink" Target="mailto:joana.saada@mucem.org" TargetMode="External"/><Relationship Id="rId10" Type="http://schemas.openxmlformats.org/officeDocument/2006/relationships/hyperlink" Target="mailto:patrice.le-cras@muce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patrice.le-cras@mucem.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5B366-617C-41EE-887B-99E67E11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22</Pages>
  <Words>9746</Words>
  <Characters>53604</Characters>
  <Application>Microsoft Office Word</Application>
  <DocSecurity>0</DocSecurity>
  <Lines>446</Lines>
  <Paragraphs>126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Richet</dc:creator>
  <cp:keywords/>
  <dc:description/>
  <cp:lastModifiedBy>Laura SANTIAGO</cp:lastModifiedBy>
  <cp:revision>49</cp:revision>
  <cp:lastPrinted>2020-06-12T13:36:00Z</cp:lastPrinted>
  <dcterms:created xsi:type="dcterms:W3CDTF">2025-06-18T07:51:00Z</dcterms:created>
  <dcterms:modified xsi:type="dcterms:W3CDTF">2025-06-25T09:35:00Z</dcterms:modified>
</cp:coreProperties>
</file>