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59F29DD7" w:rsidR="00F700E3" w:rsidRDefault="00F700E3" w:rsidP="00930FE0">
      <w:pPr>
        <w:pStyle w:val="Titre"/>
      </w:pPr>
    </w:p>
    <w:p w14:paraId="513FFDAB" w14:textId="4B9E34DF" w:rsidR="00F700E3" w:rsidRDefault="00072995" w:rsidP="00930FE0">
      <w:pPr>
        <w:pStyle w:val="Titre"/>
      </w:pPr>
      <w:r>
        <w:rPr>
          <w:noProof/>
        </w:rPr>
        <w:drawing>
          <wp:anchor distT="0" distB="0" distL="114300" distR="114300" simplePos="0" relativeHeight="251658240" behindDoc="0" locked="0" layoutInCell="1" allowOverlap="1" wp14:anchorId="7AA56B97" wp14:editId="437122AE">
            <wp:simplePos x="0" y="0"/>
            <wp:positionH relativeFrom="margin">
              <wp:posOffset>1040765</wp:posOffset>
            </wp:positionH>
            <wp:positionV relativeFrom="margin">
              <wp:posOffset>520700</wp:posOffset>
            </wp:positionV>
            <wp:extent cx="2736850" cy="1102360"/>
            <wp:effectExtent l="0" t="0" r="6350" b="2540"/>
            <wp:wrapSquare wrapText="bothSides"/>
            <wp:docPr id="821965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AE45A8" w14:textId="77777777" w:rsidR="00F700E3" w:rsidRPr="0081719C" w:rsidRDefault="00F700E3" w:rsidP="00F700E3"/>
    <w:p w14:paraId="1CB2FB40" w14:textId="77777777" w:rsidR="00F700E3" w:rsidRDefault="00F700E3" w:rsidP="00F700E3"/>
    <w:p w14:paraId="69E564D7" w14:textId="77777777" w:rsidR="00072995" w:rsidRDefault="00072995" w:rsidP="00F700E3"/>
    <w:p w14:paraId="56491CDA" w14:textId="77777777" w:rsidR="00072995" w:rsidRDefault="00072995" w:rsidP="00F700E3"/>
    <w:p w14:paraId="454BB9A5" w14:textId="77777777" w:rsidR="00072995" w:rsidRDefault="00072995" w:rsidP="00F700E3"/>
    <w:p w14:paraId="5BF21AB6" w14:textId="77777777" w:rsidR="00072995" w:rsidRPr="0081719C" w:rsidRDefault="00072995" w:rsidP="00F700E3"/>
    <w:p w14:paraId="21F4CC6E" w14:textId="43FE7797" w:rsidR="00072995" w:rsidRPr="00072995"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bookmarkStart w:id="0" w:name="_Hlk198732247"/>
      <w:r w:rsidRPr="00072995">
        <w:rPr>
          <w:rFonts w:cs="Arial"/>
          <w:b/>
          <w:szCs w:val="20"/>
        </w:rPr>
        <w:t>Cahier des Clauses Techniques Administratives Particulières</w:t>
      </w:r>
    </w:p>
    <w:p w14:paraId="388D0A91" w14:textId="43299B68" w:rsidR="00072995" w:rsidRPr="00BD212F" w:rsidRDefault="00072995"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sidRPr="00072995">
        <w:rPr>
          <w:rFonts w:cs="Arial"/>
          <w:b/>
          <w:szCs w:val="20"/>
        </w:rPr>
        <w:t>(C.C.A.P)</w:t>
      </w:r>
    </w:p>
    <w:bookmarkEnd w:id="0"/>
    <w:p w14:paraId="15DB2F79" w14:textId="77777777" w:rsidR="00072995" w:rsidRDefault="00072995" w:rsidP="00072995"/>
    <w:p w14:paraId="14B903C9" w14:textId="77777777" w:rsidR="00072995" w:rsidRDefault="00072995" w:rsidP="00072995"/>
    <w:p w14:paraId="18D2ECCB" w14:textId="77777777" w:rsidR="00072995" w:rsidRDefault="00072995" w:rsidP="00072995"/>
    <w:p w14:paraId="6ED2F91E" w14:textId="77777777" w:rsidR="00072995" w:rsidRPr="0081719C" w:rsidRDefault="00072995" w:rsidP="00072995"/>
    <w:p w14:paraId="2EABD7C7" w14:textId="112CFBB9" w:rsidR="00072995" w:rsidRPr="00BD212F" w:rsidRDefault="003E0348"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1" w:name="_Hlk198557182"/>
      <w:bookmarkStart w:id="2" w:name="_Hlk198732310"/>
      <w:r>
        <w:rPr>
          <w:rFonts w:cs="Arial"/>
          <w:b/>
          <w:sz w:val="44"/>
          <w:szCs w:val="44"/>
        </w:rPr>
        <w:t xml:space="preserve">Analyse stratégique de la Tarification </w:t>
      </w:r>
      <w:r w:rsidR="00072995" w:rsidRPr="00BD212F">
        <w:rPr>
          <w:rFonts w:cs="Arial"/>
          <w:b/>
          <w:sz w:val="44"/>
          <w:szCs w:val="44"/>
        </w:rPr>
        <w:t>du Grand Port Maritime de Guyane</w:t>
      </w:r>
    </w:p>
    <w:bookmarkEnd w:id="1"/>
    <w:p w14:paraId="458698C2" w14:textId="728025C0" w:rsidR="00F700E3" w:rsidRPr="00014415" w:rsidRDefault="00F700E3" w:rsidP="0007299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p>
    <w:bookmarkEnd w:id="2"/>
    <w:p w14:paraId="0C83A8A8" w14:textId="2359EB2B" w:rsidR="00F700E3" w:rsidRPr="00014415" w:rsidRDefault="00B81017" w:rsidP="00F700E3">
      <w:pPr>
        <w:spacing w:after="200" w:line="276" w:lineRule="auto"/>
        <w:rPr>
          <w:i/>
          <w:iCs/>
        </w:rPr>
      </w:pPr>
      <w:r w:rsidRPr="00014415">
        <w:rPr>
          <w:i/>
          <w:iCs/>
          <w:smallCaps/>
        </w:rPr>
        <w:t xml:space="preserve">CCAP </w:t>
      </w:r>
      <w:r w:rsidR="00924E52" w:rsidRPr="00014415">
        <w:rPr>
          <w:i/>
          <w:iCs/>
        </w:rPr>
        <w:t>GPM-</w:t>
      </w:r>
      <w:proofErr w:type="gramStart"/>
      <w:r w:rsidR="00924E52" w:rsidRPr="00014415">
        <w:rPr>
          <w:i/>
          <w:iCs/>
        </w:rPr>
        <w:t>G  DPD</w:t>
      </w:r>
      <w:proofErr w:type="gramEnd"/>
      <w:r w:rsidR="00924E52" w:rsidRPr="00014415">
        <w:rPr>
          <w:i/>
          <w:iCs/>
        </w:rPr>
        <w:t>-25-19 TARIFICATION RX</w:t>
      </w:r>
    </w:p>
    <w:p w14:paraId="13CC7214" w14:textId="45D057DF" w:rsidR="00AA7022" w:rsidRPr="00014415" w:rsidRDefault="00F700E3" w:rsidP="007D52FC">
      <w:pPr>
        <w:spacing w:after="200" w:line="276" w:lineRule="auto"/>
      </w:pPr>
      <w:r w:rsidRPr="00014415">
        <w:br w:type="page"/>
      </w:r>
      <w:bookmarkStart w:id="3"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27B26F13" w:rsidR="00AA7022" w:rsidRPr="00FE5DEF" w:rsidRDefault="00AA7022" w:rsidP="00394727">
          <w:pPr>
            <w:pStyle w:val="En-ttedetabledesmatires"/>
            <w:numPr>
              <w:ilvl w:val="0"/>
              <w:numId w:val="0"/>
            </w:numPr>
            <w:rPr>
              <w:rFonts w:eastAsiaTheme="minorHAnsi"/>
            </w:rPr>
          </w:pPr>
          <w:r>
            <w:t>Table des matières</w:t>
          </w:r>
        </w:p>
        <w:p w14:paraId="12D99AFA" w14:textId="7E151685" w:rsidR="00DD5AE2" w:rsidRDefault="00AA702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199759655" w:history="1">
            <w:r w:rsidR="00DD5AE2" w:rsidRPr="003F17C4">
              <w:rPr>
                <w:rStyle w:val="Lienhypertexte"/>
                <w:noProof/>
              </w:rPr>
              <w:t>Article I.</w:t>
            </w:r>
            <w:r w:rsidR="00DD5AE2">
              <w:rPr>
                <w:rFonts w:asciiTheme="minorHAnsi" w:eastAsiaTheme="minorEastAsia" w:hAnsiTheme="minorHAnsi" w:cstheme="minorBidi"/>
                <w:b w:val="0"/>
                <w:bCs w:val="0"/>
                <w:i w:val="0"/>
                <w:iCs w:val="0"/>
                <w:noProof/>
                <w:kern w:val="2"/>
                <w14:ligatures w14:val="standardContextual"/>
              </w:rPr>
              <w:tab/>
            </w:r>
            <w:r w:rsidR="00DD5AE2" w:rsidRPr="003F17C4">
              <w:rPr>
                <w:rStyle w:val="Lienhypertexte"/>
                <w:noProof/>
              </w:rPr>
              <w:t>OBJET DU MARCHE</w:t>
            </w:r>
            <w:r w:rsidR="00DD5AE2">
              <w:rPr>
                <w:noProof/>
                <w:webHidden/>
              </w:rPr>
              <w:tab/>
            </w:r>
            <w:r w:rsidR="00DD5AE2">
              <w:rPr>
                <w:noProof/>
                <w:webHidden/>
              </w:rPr>
              <w:fldChar w:fldCharType="begin"/>
            </w:r>
            <w:r w:rsidR="00DD5AE2">
              <w:rPr>
                <w:noProof/>
                <w:webHidden/>
              </w:rPr>
              <w:instrText xml:space="preserve"> PAGEREF _Toc199759655 \h </w:instrText>
            </w:r>
            <w:r w:rsidR="00DD5AE2">
              <w:rPr>
                <w:noProof/>
                <w:webHidden/>
              </w:rPr>
            </w:r>
            <w:r w:rsidR="00DD5AE2">
              <w:rPr>
                <w:noProof/>
                <w:webHidden/>
              </w:rPr>
              <w:fldChar w:fldCharType="separate"/>
            </w:r>
            <w:r w:rsidR="00DD5AE2">
              <w:rPr>
                <w:noProof/>
                <w:webHidden/>
              </w:rPr>
              <w:t>2</w:t>
            </w:r>
            <w:r w:rsidR="00DD5AE2">
              <w:rPr>
                <w:noProof/>
                <w:webHidden/>
              </w:rPr>
              <w:fldChar w:fldCharType="end"/>
            </w:r>
          </w:hyperlink>
        </w:p>
        <w:p w14:paraId="411B2F2E" w14:textId="7B2E2FFF"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56" w:history="1">
            <w:r w:rsidRPr="003F17C4">
              <w:rPr>
                <w:rStyle w:val="Lienhypertexte"/>
                <w:noProof/>
              </w:rPr>
              <w:t>Section 1.01</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Partie contractante</w:t>
            </w:r>
            <w:r>
              <w:rPr>
                <w:noProof/>
                <w:webHidden/>
              </w:rPr>
              <w:tab/>
            </w:r>
            <w:r>
              <w:rPr>
                <w:noProof/>
                <w:webHidden/>
              </w:rPr>
              <w:fldChar w:fldCharType="begin"/>
            </w:r>
            <w:r>
              <w:rPr>
                <w:noProof/>
                <w:webHidden/>
              </w:rPr>
              <w:instrText xml:space="preserve"> PAGEREF _Toc199759656 \h </w:instrText>
            </w:r>
            <w:r>
              <w:rPr>
                <w:noProof/>
                <w:webHidden/>
              </w:rPr>
            </w:r>
            <w:r>
              <w:rPr>
                <w:noProof/>
                <w:webHidden/>
              </w:rPr>
              <w:fldChar w:fldCharType="separate"/>
            </w:r>
            <w:r>
              <w:rPr>
                <w:noProof/>
                <w:webHidden/>
              </w:rPr>
              <w:t>2</w:t>
            </w:r>
            <w:r>
              <w:rPr>
                <w:noProof/>
                <w:webHidden/>
              </w:rPr>
              <w:fldChar w:fldCharType="end"/>
            </w:r>
          </w:hyperlink>
        </w:p>
        <w:p w14:paraId="4AEDC0B1" w14:textId="2A9C8104"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57" w:history="1">
            <w:r w:rsidRPr="003F17C4">
              <w:rPr>
                <w:rStyle w:val="Lienhypertexte"/>
                <w:noProof/>
              </w:rPr>
              <w:t>Section 1.02</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Objet du marché</w:t>
            </w:r>
            <w:r>
              <w:rPr>
                <w:noProof/>
                <w:webHidden/>
              </w:rPr>
              <w:tab/>
            </w:r>
            <w:r>
              <w:rPr>
                <w:noProof/>
                <w:webHidden/>
              </w:rPr>
              <w:fldChar w:fldCharType="begin"/>
            </w:r>
            <w:r>
              <w:rPr>
                <w:noProof/>
                <w:webHidden/>
              </w:rPr>
              <w:instrText xml:space="preserve"> PAGEREF _Toc199759657 \h </w:instrText>
            </w:r>
            <w:r>
              <w:rPr>
                <w:noProof/>
                <w:webHidden/>
              </w:rPr>
            </w:r>
            <w:r>
              <w:rPr>
                <w:noProof/>
                <w:webHidden/>
              </w:rPr>
              <w:fldChar w:fldCharType="separate"/>
            </w:r>
            <w:r>
              <w:rPr>
                <w:noProof/>
                <w:webHidden/>
              </w:rPr>
              <w:t>3</w:t>
            </w:r>
            <w:r>
              <w:rPr>
                <w:noProof/>
                <w:webHidden/>
              </w:rPr>
              <w:fldChar w:fldCharType="end"/>
            </w:r>
          </w:hyperlink>
        </w:p>
        <w:p w14:paraId="1E061CFF" w14:textId="2D668712"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58" w:history="1">
            <w:r w:rsidRPr="003F17C4">
              <w:rPr>
                <w:rStyle w:val="Lienhypertexte"/>
                <w:noProof/>
              </w:rPr>
              <w:t>Section 1.03</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Forme du marché</w:t>
            </w:r>
            <w:r>
              <w:rPr>
                <w:noProof/>
                <w:webHidden/>
              </w:rPr>
              <w:tab/>
            </w:r>
            <w:r>
              <w:rPr>
                <w:noProof/>
                <w:webHidden/>
              </w:rPr>
              <w:fldChar w:fldCharType="begin"/>
            </w:r>
            <w:r>
              <w:rPr>
                <w:noProof/>
                <w:webHidden/>
              </w:rPr>
              <w:instrText xml:space="preserve"> PAGEREF _Toc199759658 \h </w:instrText>
            </w:r>
            <w:r>
              <w:rPr>
                <w:noProof/>
                <w:webHidden/>
              </w:rPr>
            </w:r>
            <w:r>
              <w:rPr>
                <w:noProof/>
                <w:webHidden/>
              </w:rPr>
              <w:fldChar w:fldCharType="separate"/>
            </w:r>
            <w:r>
              <w:rPr>
                <w:noProof/>
                <w:webHidden/>
              </w:rPr>
              <w:t>3</w:t>
            </w:r>
            <w:r>
              <w:rPr>
                <w:noProof/>
                <w:webHidden/>
              </w:rPr>
              <w:fldChar w:fldCharType="end"/>
            </w:r>
          </w:hyperlink>
        </w:p>
        <w:p w14:paraId="6B931C2E" w14:textId="0A31818D"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59" w:history="1">
            <w:r w:rsidRPr="003F17C4">
              <w:rPr>
                <w:rStyle w:val="Lienhypertexte"/>
                <w:noProof/>
              </w:rPr>
              <w:t>Section 1.04</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Montant maximum et durée du marché</w:t>
            </w:r>
            <w:r>
              <w:rPr>
                <w:noProof/>
                <w:webHidden/>
              </w:rPr>
              <w:tab/>
            </w:r>
            <w:r>
              <w:rPr>
                <w:noProof/>
                <w:webHidden/>
              </w:rPr>
              <w:fldChar w:fldCharType="begin"/>
            </w:r>
            <w:r>
              <w:rPr>
                <w:noProof/>
                <w:webHidden/>
              </w:rPr>
              <w:instrText xml:space="preserve"> PAGEREF _Toc199759659 \h </w:instrText>
            </w:r>
            <w:r>
              <w:rPr>
                <w:noProof/>
                <w:webHidden/>
              </w:rPr>
            </w:r>
            <w:r>
              <w:rPr>
                <w:noProof/>
                <w:webHidden/>
              </w:rPr>
              <w:fldChar w:fldCharType="separate"/>
            </w:r>
            <w:r>
              <w:rPr>
                <w:noProof/>
                <w:webHidden/>
              </w:rPr>
              <w:t>3</w:t>
            </w:r>
            <w:r>
              <w:rPr>
                <w:noProof/>
                <w:webHidden/>
              </w:rPr>
              <w:fldChar w:fldCharType="end"/>
            </w:r>
          </w:hyperlink>
        </w:p>
        <w:p w14:paraId="05ACFDBC" w14:textId="3F4952F5" w:rsidR="00DD5AE2" w:rsidRDefault="00DD5AE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60" w:history="1">
            <w:r w:rsidRPr="003F17C4">
              <w:rPr>
                <w:rStyle w:val="Lienhypertexte"/>
                <w:noProof/>
              </w:rPr>
              <w:t>Article II.</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PIECES CONSTITUTIVES DU MARCHE</w:t>
            </w:r>
            <w:r>
              <w:rPr>
                <w:noProof/>
                <w:webHidden/>
              </w:rPr>
              <w:tab/>
            </w:r>
            <w:r>
              <w:rPr>
                <w:noProof/>
                <w:webHidden/>
              </w:rPr>
              <w:fldChar w:fldCharType="begin"/>
            </w:r>
            <w:r>
              <w:rPr>
                <w:noProof/>
                <w:webHidden/>
              </w:rPr>
              <w:instrText xml:space="preserve"> PAGEREF _Toc199759660 \h </w:instrText>
            </w:r>
            <w:r>
              <w:rPr>
                <w:noProof/>
                <w:webHidden/>
              </w:rPr>
            </w:r>
            <w:r>
              <w:rPr>
                <w:noProof/>
                <w:webHidden/>
              </w:rPr>
              <w:fldChar w:fldCharType="separate"/>
            </w:r>
            <w:r>
              <w:rPr>
                <w:noProof/>
                <w:webHidden/>
              </w:rPr>
              <w:t>3</w:t>
            </w:r>
            <w:r>
              <w:rPr>
                <w:noProof/>
                <w:webHidden/>
              </w:rPr>
              <w:fldChar w:fldCharType="end"/>
            </w:r>
          </w:hyperlink>
        </w:p>
        <w:p w14:paraId="588ED3DC" w14:textId="05DC2B28"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1" w:history="1">
            <w:r w:rsidRPr="003F17C4">
              <w:rPr>
                <w:rStyle w:val="Lienhypertexte"/>
                <w:noProof/>
              </w:rPr>
              <w:t>Section 2.01</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Les Pièces particulières</w:t>
            </w:r>
            <w:r>
              <w:rPr>
                <w:noProof/>
                <w:webHidden/>
              </w:rPr>
              <w:tab/>
            </w:r>
            <w:r>
              <w:rPr>
                <w:noProof/>
                <w:webHidden/>
              </w:rPr>
              <w:fldChar w:fldCharType="begin"/>
            </w:r>
            <w:r>
              <w:rPr>
                <w:noProof/>
                <w:webHidden/>
              </w:rPr>
              <w:instrText xml:space="preserve"> PAGEREF _Toc199759661 \h </w:instrText>
            </w:r>
            <w:r>
              <w:rPr>
                <w:noProof/>
                <w:webHidden/>
              </w:rPr>
            </w:r>
            <w:r>
              <w:rPr>
                <w:noProof/>
                <w:webHidden/>
              </w:rPr>
              <w:fldChar w:fldCharType="separate"/>
            </w:r>
            <w:r>
              <w:rPr>
                <w:noProof/>
                <w:webHidden/>
              </w:rPr>
              <w:t>3</w:t>
            </w:r>
            <w:r>
              <w:rPr>
                <w:noProof/>
                <w:webHidden/>
              </w:rPr>
              <w:fldChar w:fldCharType="end"/>
            </w:r>
          </w:hyperlink>
        </w:p>
        <w:p w14:paraId="7A629275" w14:textId="5DE51946"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2" w:history="1">
            <w:r w:rsidRPr="003F17C4">
              <w:rPr>
                <w:rStyle w:val="Lienhypertexte"/>
                <w:noProof/>
              </w:rPr>
              <w:t>Section 2.02</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Les pièces générales (*)</w:t>
            </w:r>
            <w:r>
              <w:rPr>
                <w:noProof/>
                <w:webHidden/>
              </w:rPr>
              <w:tab/>
            </w:r>
            <w:r>
              <w:rPr>
                <w:noProof/>
                <w:webHidden/>
              </w:rPr>
              <w:fldChar w:fldCharType="begin"/>
            </w:r>
            <w:r>
              <w:rPr>
                <w:noProof/>
                <w:webHidden/>
              </w:rPr>
              <w:instrText xml:space="preserve"> PAGEREF _Toc199759662 \h </w:instrText>
            </w:r>
            <w:r>
              <w:rPr>
                <w:noProof/>
                <w:webHidden/>
              </w:rPr>
            </w:r>
            <w:r>
              <w:rPr>
                <w:noProof/>
                <w:webHidden/>
              </w:rPr>
              <w:fldChar w:fldCharType="separate"/>
            </w:r>
            <w:r>
              <w:rPr>
                <w:noProof/>
                <w:webHidden/>
              </w:rPr>
              <w:t>4</w:t>
            </w:r>
            <w:r>
              <w:rPr>
                <w:noProof/>
                <w:webHidden/>
              </w:rPr>
              <w:fldChar w:fldCharType="end"/>
            </w:r>
          </w:hyperlink>
        </w:p>
        <w:p w14:paraId="32999627" w14:textId="1DE38DF0" w:rsidR="00DD5AE2" w:rsidRDefault="00DD5AE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63" w:history="1">
            <w:r w:rsidRPr="003F17C4">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PRIX – REVISION DES PRIX</w:t>
            </w:r>
            <w:r>
              <w:rPr>
                <w:noProof/>
                <w:webHidden/>
              </w:rPr>
              <w:tab/>
            </w:r>
            <w:r>
              <w:rPr>
                <w:noProof/>
                <w:webHidden/>
              </w:rPr>
              <w:fldChar w:fldCharType="begin"/>
            </w:r>
            <w:r>
              <w:rPr>
                <w:noProof/>
                <w:webHidden/>
              </w:rPr>
              <w:instrText xml:space="preserve"> PAGEREF _Toc199759663 \h </w:instrText>
            </w:r>
            <w:r>
              <w:rPr>
                <w:noProof/>
                <w:webHidden/>
              </w:rPr>
            </w:r>
            <w:r>
              <w:rPr>
                <w:noProof/>
                <w:webHidden/>
              </w:rPr>
              <w:fldChar w:fldCharType="separate"/>
            </w:r>
            <w:r>
              <w:rPr>
                <w:noProof/>
                <w:webHidden/>
              </w:rPr>
              <w:t>4</w:t>
            </w:r>
            <w:r>
              <w:rPr>
                <w:noProof/>
                <w:webHidden/>
              </w:rPr>
              <w:fldChar w:fldCharType="end"/>
            </w:r>
          </w:hyperlink>
        </w:p>
        <w:p w14:paraId="4922358D" w14:textId="638BD195"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4" w:history="1">
            <w:r w:rsidRPr="003F17C4">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Forme des prix</w:t>
            </w:r>
            <w:r>
              <w:rPr>
                <w:noProof/>
                <w:webHidden/>
              </w:rPr>
              <w:tab/>
            </w:r>
            <w:r>
              <w:rPr>
                <w:noProof/>
                <w:webHidden/>
              </w:rPr>
              <w:fldChar w:fldCharType="begin"/>
            </w:r>
            <w:r>
              <w:rPr>
                <w:noProof/>
                <w:webHidden/>
              </w:rPr>
              <w:instrText xml:space="preserve"> PAGEREF _Toc199759664 \h </w:instrText>
            </w:r>
            <w:r>
              <w:rPr>
                <w:noProof/>
                <w:webHidden/>
              </w:rPr>
            </w:r>
            <w:r>
              <w:rPr>
                <w:noProof/>
                <w:webHidden/>
              </w:rPr>
              <w:fldChar w:fldCharType="separate"/>
            </w:r>
            <w:r>
              <w:rPr>
                <w:noProof/>
                <w:webHidden/>
              </w:rPr>
              <w:t>4</w:t>
            </w:r>
            <w:r>
              <w:rPr>
                <w:noProof/>
                <w:webHidden/>
              </w:rPr>
              <w:fldChar w:fldCharType="end"/>
            </w:r>
          </w:hyperlink>
        </w:p>
        <w:p w14:paraId="406D44D4" w14:textId="07AB67A7"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5" w:history="1">
            <w:r w:rsidRPr="003F17C4">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Phases de la mission</w:t>
            </w:r>
            <w:r>
              <w:rPr>
                <w:noProof/>
                <w:webHidden/>
              </w:rPr>
              <w:tab/>
            </w:r>
            <w:r>
              <w:rPr>
                <w:noProof/>
                <w:webHidden/>
              </w:rPr>
              <w:fldChar w:fldCharType="begin"/>
            </w:r>
            <w:r>
              <w:rPr>
                <w:noProof/>
                <w:webHidden/>
              </w:rPr>
              <w:instrText xml:space="preserve"> PAGEREF _Toc199759665 \h </w:instrText>
            </w:r>
            <w:r>
              <w:rPr>
                <w:noProof/>
                <w:webHidden/>
              </w:rPr>
            </w:r>
            <w:r>
              <w:rPr>
                <w:noProof/>
                <w:webHidden/>
              </w:rPr>
              <w:fldChar w:fldCharType="separate"/>
            </w:r>
            <w:r>
              <w:rPr>
                <w:noProof/>
                <w:webHidden/>
              </w:rPr>
              <w:t>4</w:t>
            </w:r>
            <w:r>
              <w:rPr>
                <w:noProof/>
                <w:webHidden/>
              </w:rPr>
              <w:fldChar w:fldCharType="end"/>
            </w:r>
          </w:hyperlink>
        </w:p>
        <w:p w14:paraId="3AF6545B" w14:textId="63A46564"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6" w:history="1">
            <w:r w:rsidRPr="003F17C4">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Contenu des prix</w:t>
            </w:r>
            <w:r>
              <w:rPr>
                <w:noProof/>
                <w:webHidden/>
              </w:rPr>
              <w:tab/>
            </w:r>
            <w:r>
              <w:rPr>
                <w:noProof/>
                <w:webHidden/>
              </w:rPr>
              <w:fldChar w:fldCharType="begin"/>
            </w:r>
            <w:r>
              <w:rPr>
                <w:noProof/>
                <w:webHidden/>
              </w:rPr>
              <w:instrText xml:space="preserve"> PAGEREF _Toc199759666 \h </w:instrText>
            </w:r>
            <w:r>
              <w:rPr>
                <w:noProof/>
                <w:webHidden/>
              </w:rPr>
            </w:r>
            <w:r>
              <w:rPr>
                <w:noProof/>
                <w:webHidden/>
              </w:rPr>
              <w:fldChar w:fldCharType="separate"/>
            </w:r>
            <w:r>
              <w:rPr>
                <w:noProof/>
                <w:webHidden/>
              </w:rPr>
              <w:t>4</w:t>
            </w:r>
            <w:r>
              <w:rPr>
                <w:noProof/>
                <w:webHidden/>
              </w:rPr>
              <w:fldChar w:fldCharType="end"/>
            </w:r>
          </w:hyperlink>
        </w:p>
        <w:p w14:paraId="170EEAA6" w14:textId="03D31D68"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7" w:history="1">
            <w:r w:rsidRPr="003F17C4">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Révision des prix</w:t>
            </w:r>
            <w:r>
              <w:rPr>
                <w:noProof/>
                <w:webHidden/>
              </w:rPr>
              <w:tab/>
            </w:r>
            <w:r>
              <w:rPr>
                <w:noProof/>
                <w:webHidden/>
              </w:rPr>
              <w:fldChar w:fldCharType="begin"/>
            </w:r>
            <w:r>
              <w:rPr>
                <w:noProof/>
                <w:webHidden/>
              </w:rPr>
              <w:instrText xml:space="preserve"> PAGEREF _Toc199759667 \h </w:instrText>
            </w:r>
            <w:r>
              <w:rPr>
                <w:noProof/>
                <w:webHidden/>
              </w:rPr>
            </w:r>
            <w:r>
              <w:rPr>
                <w:noProof/>
                <w:webHidden/>
              </w:rPr>
              <w:fldChar w:fldCharType="separate"/>
            </w:r>
            <w:r>
              <w:rPr>
                <w:noProof/>
                <w:webHidden/>
              </w:rPr>
              <w:t>5</w:t>
            </w:r>
            <w:r>
              <w:rPr>
                <w:noProof/>
                <w:webHidden/>
              </w:rPr>
              <w:fldChar w:fldCharType="end"/>
            </w:r>
          </w:hyperlink>
        </w:p>
        <w:p w14:paraId="324C8FA3" w14:textId="56519365" w:rsidR="00DD5AE2" w:rsidRDefault="00DD5AE2">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68" w:history="1">
            <w:r w:rsidRPr="003F17C4">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MODE DE FACTURATION</w:t>
            </w:r>
            <w:r>
              <w:rPr>
                <w:noProof/>
                <w:webHidden/>
              </w:rPr>
              <w:tab/>
            </w:r>
            <w:r>
              <w:rPr>
                <w:noProof/>
                <w:webHidden/>
              </w:rPr>
              <w:fldChar w:fldCharType="begin"/>
            </w:r>
            <w:r>
              <w:rPr>
                <w:noProof/>
                <w:webHidden/>
              </w:rPr>
              <w:instrText xml:space="preserve"> PAGEREF _Toc199759668 \h </w:instrText>
            </w:r>
            <w:r>
              <w:rPr>
                <w:noProof/>
                <w:webHidden/>
              </w:rPr>
            </w:r>
            <w:r>
              <w:rPr>
                <w:noProof/>
                <w:webHidden/>
              </w:rPr>
              <w:fldChar w:fldCharType="separate"/>
            </w:r>
            <w:r>
              <w:rPr>
                <w:noProof/>
                <w:webHidden/>
              </w:rPr>
              <w:t>5</w:t>
            </w:r>
            <w:r>
              <w:rPr>
                <w:noProof/>
                <w:webHidden/>
              </w:rPr>
              <w:fldChar w:fldCharType="end"/>
            </w:r>
          </w:hyperlink>
        </w:p>
        <w:p w14:paraId="3E2F35EF" w14:textId="1834D722"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69" w:history="1">
            <w:r w:rsidRPr="003F17C4">
              <w:rPr>
                <w:rStyle w:val="Lienhypertexte"/>
                <w:rFonts w:eastAsiaTheme="minorHAnsi"/>
                <w:noProof/>
                <w:lang w:val="fr-BE"/>
              </w:rPr>
              <w:t>Section 4.01</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rFonts w:eastAsiaTheme="minorHAnsi"/>
                <w:noProof/>
                <w:lang w:val="fr-BE"/>
              </w:rPr>
              <w:t>Termes de paiement</w:t>
            </w:r>
            <w:r>
              <w:rPr>
                <w:noProof/>
                <w:webHidden/>
              </w:rPr>
              <w:tab/>
            </w:r>
            <w:r>
              <w:rPr>
                <w:noProof/>
                <w:webHidden/>
              </w:rPr>
              <w:fldChar w:fldCharType="begin"/>
            </w:r>
            <w:r>
              <w:rPr>
                <w:noProof/>
                <w:webHidden/>
              </w:rPr>
              <w:instrText xml:space="preserve"> PAGEREF _Toc199759669 \h </w:instrText>
            </w:r>
            <w:r>
              <w:rPr>
                <w:noProof/>
                <w:webHidden/>
              </w:rPr>
            </w:r>
            <w:r>
              <w:rPr>
                <w:noProof/>
                <w:webHidden/>
              </w:rPr>
              <w:fldChar w:fldCharType="separate"/>
            </w:r>
            <w:r>
              <w:rPr>
                <w:noProof/>
                <w:webHidden/>
              </w:rPr>
              <w:t>5</w:t>
            </w:r>
            <w:r>
              <w:rPr>
                <w:noProof/>
                <w:webHidden/>
              </w:rPr>
              <w:fldChar w:fldCharType="end"/>
            </w:r>
          </w:hyperlink>
        </w:p>
        <w:p w14:paraId="3434E3DF" w14:textId="6D49169F" w:rsidR="00DD5AE2" w:rsidRDefault="00DD5AE2">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199759670" w:history="1">
            <w:r w:rsidRPr="003F17C4">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3F17C4">
              <w:rPr>
                <w:rStyle w:val="Lienhypertexte"/>
                <w:noProof/>
              </w:rPr>
              <w:t>Modalités de paiement</w:t>
            </w:r>
            <w:r>
              <w:rPr>
                <w:noProof/>
                <w:webHidden/>
              </w:rPr>
              <w:tab/>
            </w:r>
            <w:r>
              <w:rPr>
                <w:noProof/>
                <w:webHidden/>
              </w:rPr>
              <w:fldChar w:fldCharType="begin"/>
            </w:r>
            <w:r>
              <w:rPr>
                <w:noProof/>
                <w:webHidden/>
              </w:rPr>
              <w:instrText xml:space="preserve"> PAGEREF _Toc199759670 \h </w:instrText>
            </w:r>
            <w:r>
              <w:rPr>
                <w:noProof/>
                <w:webHidden/>
              </w:rPr>
            </w:r>
            <w:r>
              <w:rPr>
                <w:noProof/>
                <w:webHidden/>
              </w:rPr>
              <w:fldChar w:fldCharType="separate"/>
            </w:r>
            <w:r>
              <w:rPr>
                <w:noProof/>
                <w:webHidden/>
              </w:rPr>
              <w:t>5</w:t>
            </w:r>
            <w:r>
              <w:rPr>
                <w:noProof/>
                <w:webHidden/>
              </w:rPr>
              <w:fldChar w:fldCharType="end"/>
            </w:r>
          </w:hyperlink>
        </w:p>
        <w:p w14:paraId="6C16B7E1" w14:textId="08160C8C" w:rsidR="00DD5AE2" w:rsidRDefault="00DD5AE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1" w:history="1">
            <w:r w:rsidRPr="003F17C4">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PENALITES</w:t>
            </w:r>
            <w:r>
              <w:rPr>
                <w:noProof/>
                <w:webHidden/>
              </w:rPr>
              <w:tab/>
            </w:r>
            <w:r>
              <w:rPr>
                <w:noProof/>
                <w:webHidden/>
              </w:rPr>
              <w:fldChar w:fldCharType="begin"/>
            </w:r>
            <w:r>
              <w:rPr>
                <w:noProof/>
                <w:webHidden/>
              </w:rPr>
              <w:instrText xml:space="preserve"> PAGEREF _Toc199759671 \h </w:instrText>
            </w:r>
            <w:r>
              <w:rPr>
                <w:noProof/>
                <w:webHidden/>
              </w:rPr>
            </w:r>
            <w:r>
              <w:rPr>
                <w:noProof/>
                <w:webHidden/>
              </w:rPr>
              <w:fldChar w:fldCharType="separate"/>
            </w:r>
            <w:r>
              <w:rPr>
                <w:noProof/>
                <w:webHidden/>
              </w:rPr>
              <w:t>6</w:t>
            </w:r>
            <w:r>
              <w:rPr>
                <w:noProof/>
                <w:webHidden/>
              </w:rPr>
              <w:fldChar w:fldCharType="end"/>
            </w:r>
          </w:hyperlink>
        </w:p>
        <w:p w14:paraId="3E9912B9" w14:textId="39DCAF57" w:rsidR="00DD5AE2" w:rsidRDefault="00DD5AE2">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2" w:history="1">
            <w:r w:rsidRPr="003F17C4">
              <w:rPr>
                <w:rStyle w:val="Lienhypertexte"/>
                <w:noProof/>
                <w:lang w:val="fr-BE"/>
              </w:rPr>
              <w:t>Article VI.</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lang w:val="fr-BE"/>
              </w:rPr>
              <w:t>NON-SUBSTITUTION DU PERSONNEL</w:t>
            </w:r>
            <w:r>
              <w:rPr>
                <w:noProof/>
                <w:webHidden/>
              </w:rPr>
              <w:tab/>
            </w:r>
            <w:r>
              <w:rPr>
                <w:noProof/>
                <w:webHidden/>
              </w:rPr>
              <w:fldChar w:fldCharType="begin"/>
            </w:r>
            <w:r>
              <w:rPr>
                <w:noProof/>
                <w:webHidden/>
              </w:rPr>
              <w:instrText xml:space="preserve"> PAGEREF _Toc199759672 \h </w:instrText>
            </w:r>
            <w:r>
              <w:rPr>
                <w:noProof/>
                <w:webHidden/>
              </w:rPr>
            </w:r>
            <w:r>
              <w:rPr>
                <w:noProof/>
                <w:webHidden/>
              </w:rPr>
              <w:fldChar w:fldCharType="separate"/>
            </w:r>
            <w:r>
              <w:rPr>
                <w:noProof/>
                <w:webHidden/>
              </w:rPr>
              <w:t>8</w:t>
            </w:r>
            <w:r>
              <w:rPr>
                <w:noProof/>
                <w:webHidden/>
              </w:rPr>
              <w:fldChar w:fldCharType="end"/>
            </w:r>
          </w:hyperlink>
        </w:p>
        <w:p w14:paraId="117010E9" w14:textId="1A3D7407" w:rsidR="00DD5AE2" w:rsidRDefault="00DD5AE2">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3" w:history="1">
            <w:r w:rsidRPr="003F17C4">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PRIX</w:t>
            </w:r>
            <w:r>
              <w:rPr>
                <w:noProof/>
                <w:webHidden/>
              </w:rPr>
              <w:tab/>
            </w:r>
            <w:r>
              <w:rPr>
                <w:noProof/>
                <w:webHidden/>
              </w:rPr>
              <w:fldChar w:fldCharType="begin"/>
            </w:r>
            <w:r>
              <w:rPr>
                <w:noProof/>
                <w:webHidden/>
              </w:rPr>
              <w:instrText xml:space="preserve"> PAGEREF _Toc199759673 \h </w:instrText>
            </w:r>
            <w:r>
              <w:rPr>
                <w:noProof/>
                <w:webHidden/>
              </w:rPr>
            </w:r>
            <w:r>
              <w:rPr>
                <w:noProof/>
                <w:webHidden/>
              </w:rPr>
              <w:fldChar w:fldCharType="separate"/>
            </w:r>
            <w:r>
              <w:rPr>
                <w:noProof/>
                <w:webHidden/>
              </w:rPr>
              <w:t>8</w:t>
            </w:r>
            <w:r>
              <w:rPr>
                <w:noProof/>
                <w:webHidden/>
              </w:rPr>
              <w:fldChar w:fldCharType="end"/>
            </w:r>
          </w:hyperlink>
        </w:p>
        <w:p w14:paraId="13457BFC" w14:textId="55B7DCF8" w:rsidR="00DD5AE2" w:rsidRDefault="00DD5AE2">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4" w:history="1">
            <w:r w:rsidRPr="003F17C4">
              <w:rPr>
                <w:rStyle w:val="Lienhypertexte"/>
                <w:noProof/>
                <w:lang w:val="fr-BE"/>
              </w:rPr>
              <w:t>Article VIII.</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lang w:val="fr-BE"/>
              </w:rPr>
              <w:t>PROPRIÉTÉ INTELLECTUELLE DES LIVRABLES</w:t>
            </w:r>
            <w:r>
              <w:rPr>
                <w:noProof/>
                <w:webHidden/>
              </w:rPr>
              <w:tab/>
            </w:r>
            <w:r>
              <w:rPr>
                <w:noProof/>
                <w:webHidden/>
              </w:rPr>
              <w:fldChar w:fldCharType="begin"/>
            </w:r>
            <w:r>
              <w:rPr>
                <w:noProof/>
                <w:webHidden/>
              </w:rPr>
              <w:instrText xml:space="preserve"> PAGEREF _Toc199759674 \h </w:instrText>
            </w:r>
            <w:r>
              <w:rPr>
                <w:noProof/>
                <w:webHidden/>
              </w:rPr>
            </w:r>
            <w:r>
              <w:rPr>
                <w:noProof/>
                <w:webHidden/>
              </w:rPr>
              <w:fldChar w:fldCharType="separate"/>
            </w:r>
            <w:r>
              <w:rPr>
                <w:noProof/>
                <w:webHidden/>
              </w:rPr>
              <w:t>9</w:t>
            </w:r>
            <w:r>
              <w:rPr>
                <w:noProof/>
                <w:webHidden/>
              </w:rPr>
              <w:fldChar w:fldCharType="end"/>
            </w:r>
          </w:hyperlink>
        </w:p>
        <w:p w14:paraId="6BB23502" w14:textId="03FA5993" w:rsidR="00DD5AE2" w:rsidRDefault="00DD5AE2">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5" w:history="1">
            <w:r w:rsidRPr="003F17C4">
              <w:rPr>
                <w:rStyle w:val="Lienhypertexte"/>
                <w:noProof/>
              </w:rPr>
              <w:t>Article IX.</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rPr>
              <w:t>DIFFERENDS ET LITIGES</w:t>
            </w:r>
            <w:r>
              <w:rPr>
                <w:noProof/>
                <w:webHidden/>
              </w:rPr>
              <w:tab/>
            </w:r>
            <w:r>
              <w:rPr>
                <w:noProof/>
                <w:webHidden/>
              </w:rPr>
              <w:fldChar w:fldCharType="begin"/>
            </w:r>
            <w:r>
              <w:rPr>
                <w:noProof/>
                <w:webHidden/>
              </w:rPr>
              <w:instrText xml:space="preserve"> PAGEREF _Toc199759675 \h </w:instrText>
            </w:r>
            <w:r>
              <w:rPr>
                <w:noProof/>
                <w:webHidden/>
              </w:rPr>
            </w:r>
            <w:r>
              <w:rPr>
                <w:noProof/>
                <w:webHidden/>
              </w:rPr>
              <w:fldChar w:fldCharType="separate"/>
            </w:r>
            <w:r>
              <w:rPr>
                <w:noProof/>
                <w:webHidden/>
              </w:rPr>
              <w:t>9</w:t>
            </w:r>
            <w:r>
              <w:rPr>
                <w:noProof/>
                <w:webHidden/>
              </w:rPr>
              <w:fldChar w:fldCharType="end"/>
            </w:r>
          </w:hyperlink>
        </w:p>
        <w:p w14:paraId="2EA86BFD" w14:textId="28FDB2F6" w:rsidR="00DD5AE2" w:rsidRDefault="00DD5AE2">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199759676" w:history="1">
            <w:r w:rsidRPr="003F17C4">
              <w:rPr>
                <w:rStyle w:val="Lienhypertexte"/>
                <w:noProof/>
                <w:lang w:val="fr-BE"/>
              </w:rPr>
              <w:t>Article X.</w:t>
            </w:r>
            <w:r>
              <w:rPr>
                <w:rFonts w:asciiTheme="minorHAnsi" w:eastAsiaTheme="minorEastAsia" w:hAnsiTheme="minorHAnsi" w:cstheme="minorBidi"/>
                <w:b w:val="0"/>
                <w:bCs w:val="0"/>
                <w:i w:val="0"/>
                <w:iCs w:val="0"/>
                <w:noProof/>
                <w:kern w:val="2"/>
                <w14:ligatures w14:val="standardContextual"/>
              </w:rPr>
              <w:tab/>
            </w:r>
            <w:r w:rsidRPr="003F17C4">
              <w:rPr>
                <w:rStyle w:val="Lienhypertexte"/>
                <w:noProof/>
                <w:lang w:val="fr-BE"/>
              </w:rPr>
              <w:t>Dérogations au CCAG</w:t>
            </w:r>
            <w:r>
              <w:rPr>
                <w:noProof/>
                <w:webHidden/>
              </w:rPr>
              <w:tab/>
            </w:r>
            <w:r>
              <w:rPr>
                <w:noProof/>
                <w:webHidden/>
              </w:rPr>
              <w:fldChar w:fldCharType="begin"/>
            </w:r>
            <w:r>
              <w:rPr>
                <w:noProof/>
                <w:webHidden/>
              </w:rPr>
              <w:instrText xml:space="preserve"> PAGEREF _Toc199759676 \h </w:instrText>
            </w:r>
            <w:r>
              <w:rPr>
                <w:noProof/>
                <w:webHidden/>
              </w:rPr>
            </w:r>
            <w:r>
              <w:rPr>
                <w:noProof/>
                <w:webHidden/>
              </w:rPr>
              <w:fldChar w:fldCharType="separate"/>
            </w:r>
            <w:r>
              <w:rPr>
                <w:noProof/>
                <w:webHidden/>
              </w:rPr>
              <w:t>9</w:t>
            </w:r>
            <w:r>
              <w:rPr>
                <w:noProof/>
                <w:webHidden/>
              </w:rPr>
              <w:fldChar w:fldCharType="end"/>
            </w:r>
          </w:hyperlink>
        </w:p>
        <w:p w14:paraId="0D629C3A" w14:textId="0E438FDF" w:rsidR="00AA7022" w:rsidRDefault="00AA7022">
          <w:r>
            <w:rPr>
              <w:b/>
              <w:bCs/>
            </w:rPr>
            <w:fldChar w:fldCharType="end"/>
          </w:r>
        </w:p>
      </w:sdtContent>
    </w:sdt>
    <w:p w14:paraId="7272DB8C" w14:textId="77777777" w:rsidR="00C83A6C" w:rsidRDefault="00C83A6C" w:rsidP="00993119"/>
    <w:p w14:paraId="56CC727E" w14:textId="1188A9CD" w:rsidR="002C6C58" w:rsidRPr="00394727" w:rsidRDefault="002C6C58" w:rsidP="00394727">
      <w:pPr>
        <w:pStyle w:val="Titre1"/>
      </w:pPr>
      <w:bookmarkStart w:id="4" w:name="_Toc199759655"/>
      <w:r w:rsidRPr="00394727">
        <w:t>OBJET DU MARCHE</w:t>
      </w:r>
      <w:bookmarkEnd w:id="4"/>
    </w:p>
    <w:p w14:paraId="42E526CF" w14:textId="77777777" w:rsidR="002C6C58" w:rsidRPr="009D7405" w:rsidRDefault="002C6C58" w:rsidP="009D7405">
      <w:pPr>
        <w:pStyle w:val="Titre2"/>
      </w:pPr>
      <w:bookmarkStart w:id="5" w:name="_Toc161406916"/>
      <w:bookmarkStart w:id="6" w:name="_Toc199759656"/>
      <w:r w:rsidRPr="009D7405">
        <w:t>Partie contractante</w:t>
      </w:r>
      <w:bookmarkEnd w:id="5"/>
      <w:bookmarkEnd w:id="6"/>
    </w:p>
    <w:p w14:paraId="6C0EAF22" w14:textId="0AB720B0" w:rsidR="002C6C58" w:rsidRDefault="002C6C58" w:rsidP="00C83A6C">
      <w:pPr>
        <w:ind w:left="-1134"/>
        <w:jc w:val="both"/>
      </w:pPr>
      <w:r>
        <w:t xml:space="preserve">Le marché est passé pour le compte du </w:t>
      </w:r>
      <w:r w:rsidRPr="00072995">
        <w:t>Grand Port Maritime de la Guyane (</w:t>
      </w:r>
      <w:r w:rsidR="00433D73" w:rsidRPr="00072995">
        <w:t>GPM-Guyane</w:t>
      </w:r>
      <w:r w:rsidRPr="00072995">
        <w:t>),</w:t>
      </w:r>
      <w:r>
        <w:t xml:space="preserve"> représenté par son directeur général. Le </w:t>
      </w:r>
      <w:r w:rsidR="00433D73" w:rsidRPr="00433D73">
        <w:t>GPM-Guyane</w:t>
      </w:r>
      <w:r>
        <w:t xml:space="preserve"> est un établissement public à caractère industriel et commercial (EPIC) dont le siège est situé à :</w:t>
      </w:r>
    </w:p>
    <w:p w14:paraId="70BF4182" w14:textId="5D73EF8C" w:rsidR="002C6C58" w:rsidRDefault="002C6C58" w:rsidP="002C6C58">
      <w:pPr>
        <w:spacing w:before="120" w:after="120"/>
        <w:ind w:left="-1418"/>
        <w:jc w:val="center"/>
      </w:pPr>
      <w:r w:rsidRPr="002C6C58">
        <w:t>Zone de Dégrad des cannes 97354 Rémire- Montjol</w:t>
      </w:r>
      <w:r w:rsidR="00717480">
        <w:t>y</w:t>
      </w:r>
    </w:p>
    <w:p w14:paraId="7DAF8405" w14:textId="433B55D9" w:rsidR="002C6C58" w:rsidRDefault="002C6C58" w:rsidP="002C6C58">
      <w:pPr>
        <w:spacing w:before="120" w:after="120"/>
        <w:ind w:left="-1418"/>
        <w:jc w:val="center"/>
      </w:pPr>
      <w:r w:rsidRPr="002C6C58">
        <w:t>Guyane française</w:t>
      </w:r>
    </w:p>
    <w:p w14:paraId="6C52FBF9" w14:textId="1AC41DFD" w:rsidR="002C6C58" w:rsidRDefault="002C6C58" w:rsidP="002C6C58">
      <w:pPr>
        <w:spacing w:before="120" w:after="120"/>
        <w:ind w:left="-1418"/>
        <w:jc w:val="center"/>
      </w:pPr>
      <w:r>
        <w:t>France</w:t>
      </w:r>
    </w:p>
    <w:p w14:paraId="399EB324" w14:textId="486205CA" w:rsidR="002C6C58" w:rsidRDefault="002C6C58" w:rsidP="009D7405">
      <w:pPr>
        <w:pStyle w:val="Titre2"/>
      </w:pPr>
      <w:bookmarkStart w:id="7" w:name="_Toc199759657"/>
      <w:bookmarkStart w:id="8" w:name="_Toc161406917"/>
      <w:r w:rsidRPr="00BD48F4">
        <w:lastRenderedPageBreak/>
        <w:t>Objet du marché</w:t>
      </w:r>
      <w:bookmarkEnd w:id="7"/>
      <w:r w:rsidRPr="00BD48F4">
        <w:t xml:space="preserve"> </w:t>
      </w:r>
      <w:bookmarkEnd w:id="8"/>
    </w:p>
    <w:p w14:paraId="3CE6294D" w14:textId="21B89528" w:rsidR="00D474A2" w:rsidRDefault="00D474A2" w:rsidP="00D474A2">
      <w:pPr>
        <w:ind w:left="-1134"/>
      </w:pPr>
      <w:bookmarkStart w:id="9" w:name="_Toc465243675"/>
      <w:bookmarkStart w:id="10" w:name="_Toc193806275"/>
      <w:bookmarkStart w:id="11" w:name="_Toc198037071"/>
      <w:r w:rsidRPr="00C65AB5">
        <w:t xml:space="preserve">Le marché a </w:t>
      </w:r>
      <w:r w:rsidR="00BA75A6" w:rsidRPr="00C729D2">
        <w:rPr>
          <w:strike/>
        </w:rPr>
        <w:t xml:space="preserve">donc </w:t>
      </w:r>
      <w:r w:rsidRPr="00C65AB5">
        <w:t>pour objet la</w:t>
      </w:r>
      <w:r>
        <w:t xml:space="preserve"> mission d’expertiser l’ensemble de la tarification, et de proposer des pistes de tarification nouvelles prenant en compte les orientations stratégiques et opérationnelles du port, en relation avec les parties prenantes puis de suivre les effets de la mise en place de ces propositions.</w:t>
      </w:r>
    </w:p>
    <w:p w14:paraId="2CD63FC1" w14:textId="2E24B103" w:rsidR="00C53F46" w:rsidRPr="00C53F46" w:rsidRDefault="004523D4" w:rsidP="00C53F46">
      <w:pPr>
        <w:pStyle w:val="Titre2"/>
      </w:pPr>
      <w:bookmarkStart w:id="12" w:name="_Toc199759658"/>
      <w:r w:rsidRPr="004523D4">
        <w:t>Forme du march</w:t>
      </w:r>
      <w:bookmarkEnd w:id="9"/>
      <w:r w:rsidRPr="004523D4">
        <w:t>é</w:t>
      </w:r>
      <w:bookmarkEnd w:id="10"/>
      <w:bookmarkEnd w:id="11"/>
      <w:bookmarkEnd w:id="12"/>
      <w:r w:rsidRPr="004523D4">
        <w:tab/>
      </w:r>
    </w:p>
    <w:p w14:paraId="6CE77580" w14:textId="77777777" w:rsidR="00E94376" w:rsidRDefault="00E94376" w:rsidP="00E94376">
      <w:pPr>
        <w:ind w:left="-1134"/>
        <w:jc w:val="both"/>
        <w:rPr>
          <w:lang w:val="fr-BE" w:eastAsia="fr-FR"/>
        </w:rPr>
      </w:pPr>
      <w:bookmarkStart w:id="13" w:name="_Hlk198733205"/>
      <w:r w:rsidRPr="00E94376">
        <w:rPr>
          <w:lang w:val="fr-BE" w:eastAsia="fr-FR"/>
        </w:rPr>
        <w:t>Le présent marché n’est pas un accord-cadre.</w:t>
      </w:r>
    </w:p>
    <w:p w14:paraId="16A1E476" w14:textId="0A1AE264" w:rsidR="00E94376" w:rsidRPr="00E94376" w:rsidRDefault="00E94376" w:rsidP="00E94376">
      <w:pPr>
        <w:spacing w:before="240"/>
        <w:ind w:left="-1134"/>
        <w:jc w:val="both"/>
        <w:rPr>
          <w:lang w:val="fr-BE" w:eastAsia="fr-FR"/>
        </w:rPr>
      </w:pPr>
      <w:r w:rsidRPr="00E94376">
        <w:rPr>
          <w:lang w:val="fr-BE" w:eastAsia="fr-FR"/>
        </w:rPr>
        <w:t>Il s’agit d’un marché public ordinaire à prix forfaitaire, passé selon une procédure adaptée, conformément aux articles L.2123-1 et R.2123-1 du Code de la commande publique.</w:t>
      </w:r>
      <w:r w:rsidRPr="00E94376">
        <w:rPr>
          <w:lang w:val="fr-BE" w:eastAsia="fr-FR"/>
        </w:rPr>
        <w:br/>
        <w:t xml:space="preserve">La prestation est structurée en </w:t>
      </w:r>
      <w:r w:rsidR="00A41AAB">
        <w:rPr>
          <w:lang w:val="fr-BE" w:eastAsia="fr-FR"/>
        </w:rPr>
        <w:t>quatre</w:t>
      </w:r>
      <w:r w:rsidRPr="00E94376">
        <w:rPr>
          <w:lang w:val="fr-BE" w:eastAsia="fr-FR"/>
        </w:rPr>
        <w:t xml:space="preserve"> phases distinctes :</w:t>
      </w:r>
    </w:p>
    <w:p w14:paraId="5BC63D9C" w14:textId="1F5759CC" w:rsidR="00E94376" w:rsidRPr="00E94376" w:rsidRDefault="00E94376">
      <w:pPr>
        <w:numPr>
          <w:ilvl w:val="0"/>
          <w:numId w:val="11"/>
        </w:numPr>
        <w:tabs>
          <w:tab w:val="clear" w:pos="720"/>
        </w:tabs>
        <w:ind w:left="0" w:hanging="426"/>
        <w:jc w:val="both"/>
        <w:rPr>
          <w:lang w:val="fr-BE" w:eastAsia="fr-FR"/>
        </w:rPr>
      </w:pPr>
      <w:r w:rsidRPr="00E94376">
        <w:rPr>
          <w:b/>
          <w:bCs/>
          <w:lang w:val="fr-BE" w:eastAsia="fr-FR"/>
        </w:rPr>
        <w:t>Phase 1 :</w:t>
      </w:r>
      <w:r w:rsidRPr="00E94376">
        <w:rPr>
          <w:lang w:val="fr-BE" w:eastAsia="fr-FR"/>
        </w:rPr>
        <w:t xml:space="preserve"> </w:t>
      </w:r>
      <w:r w:rsidR="00A41AAB">
        <w:rPr>
          <w:lang w:val="fr-BE" w:eastAsia="fr-FR"/>
        </w:rPr>
        <w:t>Prise de connaissance et analyse de l’existant</w:t>
      </w:r>
    </w:p>
    <w:p w14:paraId="0A6B4907" w14:textId="24AAF9C2" w:rsidR="00E94376" w:rsidRDefault="00E94376">
      <w:pPr>
        <w:numPr>
          <w:ilvl w:val="0"/>
          <w:numId w:val="11"/>
        </w:numPr>
        <w:tabs>
          <w:tab w:val="clear" w:pos="720"/>
        </w:tabs>
        <w:ind w:left="0" w:hanging="426"/>
        <w:jc w:val="both"/>
        <w:rPr>
          <w:lang w:val="fr-BE" w:eastAsia="fr-FR"/>
        </w:rPr>
      </w:pPr>
      <w:r w:rsidRPr="00E94376">
        <w:rPr>
          <w:b/>
          <w:bCs/>
          <w:lang w:val="fr-BE" w:eastAsia="fr-FR"/>
        </w:rPr>
        <w:t>Phase 2 :</w:t>
      </w:r>
      <w:r w:rsidRPr="00E94376">
        <w:rPr>
          <w:lang w:val="fr-BE" w:eastAsia="fr-FR"/>
        </w:rPr>
        <w:t xml:space="preserve"> </w:t>
      </w:r>
      <w:r w:rsidR="00A41AAB">
        <w:rPr>
          <w:lang w:val="fr-BE" w:eastAsia="fr-FR"/>
        </w:rPr>
        <w:t>Fixation des objectifs</w:t>
      </w:r>
    </w:p>
    <w:p w14:paraId="793E0255" w14:textId="1BA4B9BF" w:rsidR="00A41AAB" w:rsidRDefault="00A41AAB">
      <w:pPr>
        <w:numPr>
          <w:ilvl w:val="0"/>
          <w:numId w:val="11"/>
        </w:numPr>
        <w:tabs>
          <w:tab w:val="clear" w:pos="720"/>
        </w:tabs>
        <w:ind w:left="0" w:hanging="426"/>
        <w:jc w:val="both"/>
        <w:rPr>
          <w:lang w:val="fr-BE" w:eastAsia="fr-FR"/>
        </w:rPr>
      </w:pPr>
      <w:r>
        <w:rPr>
          <w:b/>
          <w:bCs/>
          <w:lang w:val="fr-BE" w:eastAsia="fr-FR"/>
        </w:rPr>
        <w:t>Phase 3 :</w:t>
      </w:r>
      <w:r>
        <w:rPr>
          <w:lang w:val="fr-BE" w:eastAsia="fr-FR"/>
        </w:rPr>
        <w:t xml:space="preserve"> Plan d’action</w:t>
      </w:r>
    </w:p>
    <w:p w14:paraId="74552ECC" w14:textId="2C18A424" w:rsidR="00A41AAB" w:rsidRPr="00E94376" w:rsidRDefault="00A41AAB">
      <w:pPr>
        <w:numPr>
          <w:ilvl w:val="0"/>
          <w:numId w:val="11"/>
        </w:numPr>
        <w:tabs>
          <w:tab w:val="clear" w:pos="720"/>
        </w:tabs>
        <w:ind w:left="0" w:hanging="426"/>
        <w:jc w:val="both"/>
        <w:rPr>
          <w:lang w:val="fr-BE" w:eastAsia="fr-FR"/>
        </w:rPr>
      </w:pPr>
      <w:r>
        <w:rPr>
          <w:b/>
          <w:bCs/>
          <w:lang w:val="fr-BE" w:eastAsia="fr-FR"/>
        </w:rPr>
        <w:t>Phase 4 :</w:t>
      </w:r>
      <w:r>
        <w:rPr>
          <w:lang w:val="fr-BE" w:eastAsia="fr-FR"/>
        </w:rPr>
        <w:t xml:space="preserve"> Suivi sur la durée et propositions d’ajustement</w:t>
      </w:r>
    </w:p>
    <w:p w14:paraId="124F1DF8" w14:textId="2E55C733" w:rsidR="00BF7B0C" w:rsidRDefault="000C358F" w:rsidP="00BA75A6">
      <w:pPr>
        <w:ind w:left="-1134"/>
      </w:pPr>
      <w:bookmarkStart w:id="14" w:name="_Toc146825031"/>
      <w:bookmarkStart w:id="15" w:name="_Toc199759659"/>
      <w:bookmarkEnd w:id="13"/>
      <w:r w:rsidRPr="00BA75A6">
        <w:t>Montant</w:t>
      </w:r>
      <w:r w:rsidRPr="000C358F">
        <w:t xml:space="preserve"> maximum</w:t>
      </w:r>
      <w:bookmarkEnd w:id="14"/>
      <w:r w:rsidR="00EA1013">
        <w:t xml:space="preserve"> </w:t>
      </w:r>
      <w:bookmarkStart w:id="16" w:name="_Hlk198733281"/>
      <w:bookmarkEnd w:id="15"/>
      <w:r w:rsidR="00344C15" w:rsidRPr="00C729D2">
        <w:t>Le présent marché est conclu sans montant minimum</w:t>
      </w:r>
      <w:r w:rsidR="00DE2C14" w:rsidRPr="00C729D2">
        <w:t xml:space="preserve"> et sans montant maximum.</w:t>
      </w:r>
    </w:p>
    <w:p w14:paraId="2C49E6C6" w14:textId="77DBFD8D" w:rsidR="00BA75A6" w:rsidRDefault="00BA75A6" w:rsidP="00C729D2">
      <w:pPr>
        <w:pStyle w:val="Titre2"/>
      </w:pPr>
      <w:r>
        <w:t>Durée du marché</w:t>
      </w:r>
    </w:p>
    <w:p w14:paraId="418C0E32" w14:textId="13706876" w:rsidR="00BA75A6" w:rsidRDefault="00BF7B0C" w:rsidP="00DE2C14">
      <w:pPr>
        <w:ind w:left="-1134"/>
      </w:pPr>
      <w:r w:rsidRPr="00BF7B0C">
        <w:t xml:space="preserve">La durée </w:t>
      </w:r>
      <w:r w:rsidR="00BA75A6">
        <w:t xml:space="preserve">ferme </w:t>
      </w:r>
      <w:r w:rsidRPr="00BF7B0C">
        <w:t>du march</w:t>
      </w:r>
      <w:bookmarkEnd w:id="16"/>
      <w:r w:rsidR="00EA1013">
        <w:t xml:space="preserve">é </w:t>
      </w:r>
      <w:r w:rsidR="00F340B8">
        <w:t>est de 1 an</w:t>
      </w:r>
      <w:r w:rsidR="00BA75A6">
        <w:t xml:space="preserve"> pour les phases 1, 2 et 3 et la première itération de la phase 4</w:t>
      </w:r>
      <w:r w:rsidR="00F340B8">
        <w:t xml:space="preserve">, </w:t>
      </w:r>
    </w:p>
    <w:p w14:paraId="1B81082F" w14:textId="05C6113B" w:rsidR="00BA75A6" w:rsidRDefault="00BA75A6" w:rsidP="00BA75A6">
      <w:pPr>
        <w:ind w:left="-1134"/>
      </w:pPr>
      <w:r>
        <w:t xml:space="preserve">Ce marché peut être, pour la phase 4 </w:t>
      </w:r>
      <w:r w:rsidR="00F340B8">
        <w:t>renouvelable 3 fois</w:t>
      </w:r>
      <w:r w:rsidR="008655B0">
        <w:t xml:space="preserve"> 1 an</w:t>
      </w:r>
      <w:r w:rsidR="00F340B8">
        <w:t xml:space="preserve">, </w:t>
      </w:r>
    </w:p>
    <w:p w14:paraId="77A2BAD5" w14:textId="6589C754" w:rsidR="00181BF8" w:rsidRDefault="00344C15" w:rsidP="00F340B8">
      <w:pPr>
        <w:ind w:left="-1134"/>
        <w:jc w:val="both"/>
        <w:rPr>
          <w:lang w:eastAsia="fr-FR"/>
        </w:rPr>
      </w:pPr>
      <w:bookmarkStart w:id="17" w:name="_Hlk198733428"/>
      <w:r w:rsidRPr="00344C15">
        <w:rPr>
          <w:lang w:eastAsia="fr-FR"/>
        </w:rPr>
        <w:t>La mission débute à compter de la notification du bon de commande au titul</w:t>
      </w:r>
      <w:bookmarkEnd w:id="17"/>
      <w:r w:rsidR="00F340B8">
        <w:rPr>
          <w:lang w:eastAsia="fr-FR"/>
        </w:rPr>
        <w:t>aire.</w:t>
      </w:r>
    </w:p>
    <w:p w14:paraId="12E8B1B2" w14:textId="77777777" w:rsidR="00BA75A6" w:rsidRDefault="00BA75A6" w:rsidP="00F340B8">
      <w:pPr>
        <w:ind w:left="-1134"/>
        <w:jc w:val="both"/>
        <w:rPr>
          <w:lang w:eastAsia="fr-FR"/>
        </w:rPr>
      </w:pPr>
    </w:p>
    <w:p w14:paraId="3954418A" w14:textId="77777777" w:rsidR="00BA75A6" w:rsidRDefault="00BA75A6" w:rsidP="00F340B8">
      <w:pPr>
        <w:ind w:left="-1134"/>
        <w:jc w:val="both"/>
        <w:rPr>
          <w:lang w:eastAsia="fr-FR"/>
        </w:rPr>
      </w:pPr>
    </w:p>
    <w:p w14:paraId="46D70E04" w14:textId="7EA6D334" w:rsidR="00DD701C" w:rsidRPr="00DD701C" w:rsidRDefault="00DD701C" w:rsidP="00394727">
      <w:pPr>
        <w:pStyle w:val="Titre1"/>
      </w:pPr>
      <w:bookmarkStart w:id="18" w:name="_Toc161406922"/>
      <w:bookmarkStart w:id="19" w:name="_Toc199759660"/>
      <w:r w:rsidRPr="00BD48F4">
        <w:t>PIECES CONSTITUTIVES DU MARCHE</w:t>
      </w:r>
      <w:bookmarkEnd w:id="18"/>
      <w:bookmarkEnd w:id="19"/>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1BFA23E3" w14:textId="1EC053C5" w:rsidR="00E14BE0" w:rsidRPr="00E14BE0" w:rsidRDefault="00DD701C" w:rsidP="009D7405">
      <w:pPr>
        <w:pStyle w:val="Titre2"/>
      </w:pPr>
      <w:bookmarkStart w:id="20" w:name="_Toc161406923"/>
      <w:bookmarkStart w:id="21" w:name="_Toc199759661"/>
      <w:r w:rsidRPr="00DD701C">
        <w:t>Les Pièces particulières</w:t>
      </w:r>
      <w:bookmarkEnd w:id="20"/>
      <w:bookmarkEnd w:id="21"/>
    </w:p>
    <w:p w14:paraId="4B941B3D" w14:textId="1747BEE7" w:rsidR="00DD701C" w:rsidRDefault="00DD701C" w:rsidP="009A073E">
      <w:pPr>
        <w:pStyle w:val="Paragraphedeliste"/>
        <w:ind w:left="-284"/>
      </w:pPr>
      <w:r w:rsidRPr="00994776">
        <w:t>Pièce N°1 : L'acte d'engagement « </w:t>
      </w:r>
      <w:r w:rsidR="00EF60D6">
        <w:t xml:space="preserve">AE </w:t>
      </w:r>
      <w:r w:rsidR="00EF60D6" w:rsidRPr="00764735">
        <w:rPr>
          <w:i/>
          <w:iCs/>
        </w:rPr>
        <w:t>GPM-</w:t>
      </w:r>
      <w:proofErr w:type="gramStart"/>
      <w:r w:rsidR="00EF60D6" w:rsidRPr="00764735">
        <w:rPr>
          <w:i/>
          <w:iCs/>
        </w:rPr>
        <w:t>G  DPD</w:t>
      </w:r>
      <w:proofErr w:type="gramEnd"/>
      <w:r w:rsidR="00EF60D6" w:rsidRPr="00764735">
        <w:rPr>
          <w:i/>
          <w:iCs/>
        </w:rPr>
        <w:t>-25-19 TARIFICATION RX</w:t>
      </w:r>
      <w:r w:rsidR="00805097">
        <w:rPr>
          <w:i/>
          <w:iCs/>
          <w:smallCaps/>
        </w:rPr>
        <w:t xml:space="preserve"> </w:t>
      </w:r>
      <w:r w:rsidRPr="002A25F1">
        <w:t>» et toutes les annexes :</w:t>
      </w:r>
    </w:p>
    <w:p w14:paraId="1BE7B4EE" w14:textId="77777777" w:rsidR="00E33558" w:rsidRPr="002A25F1" w:rsidRDefault="00E33558" w:rsidP="00E33558">
      <w:pPr>
        <w:pStyle w:val="Paragraphedeliste"/>
        <w:numPr>
          <w:ilvl w:val="0"/>
          <w:numId w:val="0"/>
        </w:numPr>
        <w:ind w:left="-284"/>
      </w:pPr>
    </w:p>
    <w:p w14:paraId="0BE5C416" w14:textId="7E044BC1" w:rsidR="00DD701C" w:rsidRPr="004657BA" w:rsidRDefault="00DD701C">
      <w:pPr>
        <w:pStyle w:val="Paragraphedeliste"/>
        <w:numPr>
          <w:ilvl w:val="1"/>
          <w:numId w:val="5"/>
        </w:numPr>
        <w:spacing w:after="108" w:line="248" w:lineRule="auto"/>
      </w:pPr>
      <w:r w:rsidRPr="004657BA">
        <w:t xml:space="preserve">Annexe </w:t>
      </w:r>
      <w:r w:rsidR="00D7666F" w:rsidRPr="004657BA">
        <w:t>conformité</w:t>
      </w:r>
      <w:r w:rsidRPr="004657BA">
        <w:t xml:space="preserve"> : bordereau des différences de valeur à la charge du </w:t>
      </w:r>
      <w:r w:rsidR="00433D73" w:rsidRPr="00433D73">
        <w:t>GPM-Guyane</w:t>
      </w:r>
      <w:r w:rsidR="009B355E" w:rsidRPr="004657BA">
        <w:t> ;</w:t>
      </w:r>
    </w:p>
    <w:p w14:paraId="08A03A11" w14:textId="12B307BB" w:rsidR="00DD701C" w:rsidRPr="004657BA" w:rsidRDefault="00DD701C">
      <w:pPr>
        <w:pStyle w:val="Paragraphedeliste"/>
        <w:numPr>
          <w:ilvl w:val="1"/>
          <w:numId w:val="5"/>
        </w:numPr>
        <w:spacing w:before="240" w:after="108" w:line="248" w:lineRule="auto"/>
      </w:pPr>
      <w:r w:rsidRPr="004657BA">
        <w:t xml:space="preserve">Annexe </w:t>
      </w:r>
      <w:r w:rsidR="00D7666F" w:rsidRPr="004657BA">
        <w:t>prix</w:t>
      </w:r>
      <w:r w:rsidRPr="004657BA">
        <w:t xml:space="preserve"> : </w:t>
      </w:r>
      <w:r w:rsidR="00874DF7">
        <w:t>Bordereau des prix « </w:t>
      </w:r>
      <w:r w:rsidR="00344C15" w:rsidRPr="00994B43">
        <w:t>Décomposition du Prix Global et Forfaitaire</w:t>
      </w:r>
      <w:r w:rsidR="00344C15">
        <w:t xml:space="preserve"> DPGF</w:t>
      </w:r>
      <w:r w:rsidR="00874DF7">
        <w:t> » ;</w:t>
      </w:r>
    </w:p>
    <w:p w14:paraId="5184BE00" w14:textId="77777777" w:rsidR="00772C55" w:rsidRDefault="00DD701C">
      <w:pPr>
        <w:pStyle w:val="Paragraphedeliste"/>
        <w:numPr>
          <w:ilvl w:val="1"/>
          <w:numId w:val="5"/>
        </w:numPr>
        <w:spacing w:after="108" w:line="248" w:lineRule="auto"/>
      </w:pPr>
      <w:r w:rsidRPr="004657BA">
        <w:t xml:space="preserve">Annexe </w:t>
      </w:r>
      <w:r w:rsidR="00D7666F" w:rsidRPr="004657BA">
        <w:t xml:space="preserve">valeur </w:t>
      </w:r>
      <w:r w:rsidR="00191A59" w:rsidRPr="004657BA">
        <w:t>technique :</w:t>
      </w:r>
      <w:r w:rsidRPr="004657BA">
        <w:t xml:space="preserve"> Bordereau de réponse au critère « Valeurs techniques de l’offre »</w:t>
      </w:r>
      <w:r w:rsidR="009B355E" w:rsidRPr="004657BA">
        <w:t> ;</w:t>
      </w:r>
    </w:p>
    <w:p w14:paraId="52B2C407" w14:textId="0D4692BE" w:rsidR="00772C55" w:rsidRPr="00952B41" w:rsidRDefault="00772C55">
      <w:pPr>
        <w:pStyle w:val="Paragraphedeliste"/>
        <w:numPr>
          <w:ilvl w:val="1"/>
          <w:numId w:val="5"/>
        </w:numPr>
        <w:spacing w:after="108" w:line="248" w:lineRule="auto"/>
      </w:pPr>
      <w:r w:rsidRPr="00952B41">
        <w:t>Annexe aspects RSE du projet : Bordereau de réponse au critère « Aspects RSE »</w:t>
      </w:r>
    </w:p>
    <w:p w14:paraId="2652FC07" w14:textId="17BD9479" w:rsidR="00DD701C" w:rsidRPr="004657BA" w:rsidRDefault="00DD701C">
      <w:pPr>
        <w:pStyle w:val="Titre"/>
        <w:numPr>
          <w:ilvl w:val="1"/>
          <w:numId w:val="5"/>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1475E4A0" w14:textId="356DAB03" w:rsidR="00344C15" w:rsidRDefault="00DD701C" w:rsidP="00344C15">
      <w:pPr>
        <w:pStyle w:val="Paragraphedeliste"/>
        <w:spacing w:before="240"/>
        <w:ind w:left="-284"/>
      </w:pPr>
      <w:r w:rsidRPr="002A25F1">
        <w:lastRenderedPageBreak/>
        <w:t>Pièce N°2 : Le présent</w:t>
      </w:r>
      <w:r w:rsidR="002E22B3" w:rsidRPr="002A25F1">
        <w:t xml:space="preserve"> cahier des clauses techniques</w:t>
      </w:r>
      <w:r w:rsidR="002E22B3">
        <w:t xml:space="preserve"> administratives</w:t>
      </w:r>
      <w:r w:rsidR="002E22B3" w:rsidRPr="002A25F1">
        <w:t xml:space="preserve"> particulières </w:t>
      </w:r>
      <w:r w:rsidR="002E22B3">
        <w:t xml:space="preserve">(CCAP </w:t>
      </w:r>
      <w:r w:rsidR="00B81017">
        <w:rPr>
          <w:i/>
          <w:iCs/>
          <w:smallCaps/>
        </w:rPr>
        <w:t xml:space="preserve">GPM-G </w:t>
      </w:r>
      <w:r w:rsidR="006105D1" w:rsidRPr="0038697D">
        <w:rPr>
          <w:i/>
          <w:iCs/>
        </w:rPr>
        <w:t>DPD-25-19 TARIFICATION RX</w:t>
      </w:r>
      <w:r w:rsidR="002E22B3" w:rsidRPr="002A25F1">
        <w:t>)</w:t>
      </w:r>
      <w:r w:rsidR="009B355E">
        <w:t>.</w:t>
      </w:r>
    </w:p>
    <w:p w14:paraId="1DD81054" w14:textId="77777777" w:rsidR="00344C15" w:rsidRDefault="00344C15" w:rsidP="00344C15">
      <w:pPr>
        <w:pStyle w:val="Paragraphedeliste"/>
        <w:numPr>
          <w:ilvl w:val="0"/>
          <w:numId w:val="0"/>
        </w:numPr>
        <w:spacing w:before="240"/>
        <w:ind w:left="-284"/>
      </w:pPr>
    </w:p>
    <w:p w14:paraId="5AAAE8F4" w14:textId="607486D9" w:rsidR="00E33558" w:rsidRDefault="00DD701C" w:rsidP="00344C15">
      <w:pPr>
        <w:pStyle w:val="Paragraphedeliste"/>
        <w:spacing w:before="240"/>
        <w:ind w:left="-284"/>
      </w:pPr>
      <w:r w:rsidRPr="002A25F1">
        <w:t>Pièce N°3 : Le cahier des clauses techniques particulières (CCTP</w:t>
      </w:r>
      <w:r w:rsidRPr="006C2D61">
        <w:t xml:space="preserve"> </w:t>
      </w:r>
      <w:r w:rsidR="00B81017" w:rsidRPr="00344C15">
        <w:rPr>
          <w:i/>
          <w:iCs/>
          <w:smallCaps/>
        </w:rPr>
        <w:t xml:space="preserve">GPM-G </w:t>
      </w:r>
      <w:r w:rsidR="0038697D" w:rsidRPr="0038697D">
        <w:rPr>
          <w:i/>
          <w:iCs/>
        </w:rPr>
        <w:t>DPD-25-19 TARIFICATION RX</w:t>
      </w:r>
      <w:r w:rsidRPr="002A25F1">
        <w:t>)</w:t>
      </w:r>
      <w:r w:rsidR="009B355E">
        <w:t>.</w:t>
      </w:r>
    </w:p>
    <w:p w14:paraId="3475E075" w14:textId="77777777" w:rsidR="00E33558" w:rsidRDefault="00E33558" w:rsidP="009D7405">
      <w:pPr>
        <w:pStyle w:val="Paragraphedeliste"/>
        <w:numPr>
          <w:ilvl w:val="0"/>
          <w:numId w:val="0"/>
        </w:numPr>
        <w:spacing w:after="108" w:line="248" w:lineRule="auto"/>
        <w:ind w:left="-284"/>
      </w:pPr>
    </w:p>
    <w:p w14:paraId="01FB3160" w14:textId="279B210E" w:rsidR="00E33558" w:rsidRDefault="00E33558" w:rsidP="009D7405">
      <w:pPr>
        <w:pStyle w:val="Paragraphedeliste"/>
        <w:spacing w:after="108" w:line="248" w:lineRule="auto"/>
        <w:ind w:left="-284"/>
      </w:pPr>
      <w:r w:rsidRPr="00E33558">
        <w:t xml:space="preserve">Pièce N°4 : </w:t>
      </w:r>
      <w:r>
        <w:t xml:space="preserve">L’annexe au dossier de candidature </w:t>
      </w:r>
      <w:r w:rsidR="00E52AA3">
        <w:t>(</w:t>
      </w:r>
      <w:r w:rsidR="00C83A6C">
        <w:t>ADC</w:t>
      </w:r>
      <w:r w:rsidR="00E52AA3">
        <w:t xml:space="preserve"> </w:t>
      </w:r>
      <w:r w:rsidR="00B81017">
        <w:rPr>
          <w:i/>
          <w:iCs/>
          <w:smallCaps/>
        </w:rPr>
        <w:t xml:space="preserve">GPM-G </w:t>
      </w:r>
      <w:r w:rsidR="0038697D" w:rsidRPr="0038697D">
        <w:rPr>
          <w:i/>
          <w:iCs/>
        </w:rPr>
        <w:t>DPD-25-19 TARIFICATION RX</w:t>
      </w:r>
      <w:r w:rsidR="00E52AA3">
        <w:t>)</w:t>
      </w:r>
      <w:r w:rsidR="009B355E">
        <w:t>.</w:t>
      </w:r>
    </w:p>
    <w:p w14:paraId="59C39C8E" w14:textId="1CA1DF28" w:rsidR="00DD701C" w:rsidRPr="00BD48F4" w:rsidRDefault="00DD701C" w:rsidP="00E2750B">
      <w:pPr>
        <w:pStyle w:val="Paragraphedeliste"/>
        <w:numPr>
          <w:ilvl w:val="0"/>
          <w:numId w:val="0"/>
        </w:numPr>
        <w:spacing w:after="108" w:line="248" w:lineRule="auto"/>
        <w:ind w:left="720"/>
      </w:pPr>
    </w:p>
    <w:p w14:paraId="4E7E6B22" w14:textId="22137D25" w:rsidR="00DD701C" w:rsidRPr="00DD701C" w:rsidRDefault="00DD701C" w:rsidP="00DD701C">
      <w:pPr>
        <w:pStyle w:val="Titre2"/>
      </w:pPr>
      <w:bookmarkStart w:id="22" w:name="_Toc161406924"/>
      <w:bookmarkStart w:id="23" w:name="_Toc199759662"/>
      <w:r w:rsidRPr="00BD48F4">
        <w:t xml:space="preserve">Les </w:t>
      </w:r>
      <w:r>
        <w:t>p</w:t>
      </w:r>
      <w:r w:rsidRPr="00BD48F4">
        <w:t>ièces générales (</w:t>
      </w:r>
      <w:r w:rsidR="00F65780">
        <w:t>*</w:t>
      </w:r>
      <w:r w:rsidRPr="00BD48F4">
        <w:t>)</w:t>
      </w:r>
      <w:bookmarkEnd w:id="22"/>
      <w:bookmarkEnd w:id="23"/>
    </w:p>
    <w:p w14:paraId="52DF611A" w14:textId="60531A8B" w:rsidR="00DD701C" w:rsidRDefault="00DD701C" w:rsidP="009D7405">
      <w:pPr>
        <w:pStyle w:val="Paragraphedeliste"/>
        <w:spacing w:after="108" w:line="248" w:lineRule="auto"/>
        <w:ind w:left="-284"/>
      </w:pPr>
      <w:r w:rsidRPr="00BD48F4">
        <w:t>Pièce N°5 : Le code des marchés publics</w:t>
      </w:r>
      <w:r w:rsidR="009B355E">
        <w:t>.</w:t>
      </w:r>
    </w:p>
    <w:p w14:paraId="3AF308D0" w14:textId="77777777" w:rsidR="00DD701C" w:rsidRPr="00BD48F4" w:rsidRDefault="00DD701C" w:rsidP="009D7405">
      <w:pPr>
        <w:pStyle w:val="Paragraphedeliste"/>
        <w:numPr>
          <w:ilvl w:val="0"/>
          <w:numId w:val="0"/>
        </w:numPr>
        <w:spacing w:after="108" w:line="248" w:lineRule="auto"/>
        <w:ind w:left="-284"/>
      </w:pPr>
    </w:p>
    <w:p w14:paraId="5E9D001B" w14:textId="6F2E365D" w:rsidR="00DD701C" w:rsidRPr="00BD48F4" w:rsidRDefault="00DD701C" w:rsidP="009D7405">
      <w:pPr>
        <w:pStyle w:val="Paragraphedeliste"/>
        <w:spacing w:after="108" w:line="248" w:lineRule="auto"/>
        <w:ind w:left="-284"/>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1C5B9692" w14:textId="5EE24C7C" w:rsidR="00DD701C" w:rsidRDefault="00DD701C" w:rsidP="009D7405">
      <w:r w:rsidRPr="00BD48F4">
        <w:t>Seuls les exemplaires conservés dans les locaux d</w:t>
      </w:r>
      <w:r w:rsidR="00F65780">
        <w:t xml:space="preserve">u </w:t>
      </w:r>
      <w:r w:rsidR="00433D73" w:rsidRPr="00433D73">
        <w:t>GPM-Guyane</w:t>
      </w:r>
      <w:r w:rsidR="00433D73">
        <w:t xml:space="preserve"> </w:t>
      </w:r>
      <w:r w:rsidRPr="00BD48F4">
        <w:t>font foi.</w:t>
      </w:r>
    </w:p>
    <w:p w14:paraId="31817D31" w14:textId="1AA9444C" w:rsidR="000C358F" w:rsidRPr="000C358F" w:rsidRDefault="000C358F" w:rsidP="00394727">
      <w:pPr>
        <w:pStyle w:val="Titre1"/>
      </w:pPr>
      <w:bookmarkStart w:id="24" w:name="_Toc161406941"/>
      <w:r>
        <w:t xml:space="preserve"> </w:t>
      </w:r>
      <w:bookmarkStart w:id="25" w:name="_Toc199759663"/>
      <w:r w:rsidRPr="00BD48F4">
        <w:t xml:space="preserve">PRIX </w:t>
      </w:r>
      <w:r w:rsidR="002D7ACA">
        <w:t>–</w:t>
      </w:r>
      <w:r w:rsidRPr="00BD48F4">
        <w:t xml:space="preserve"> </w:t>
      </w:r>
      <w:bookmarkEnd w:id="24"/>
      <w:r w:rsidR="002D7ACA">
        <w:t>REVISION DES PRIX</w:t>
      </w:r>
      <w:bookmarkEnd w:id="25"/>
    </w:p>
    <w:p w14:paraId="5A43D7B7" w14:textId="3B922D6F" w:rsidR="000C358F" w:rsidRPr="00BD48F4" w:rsidRDefault="000C358F" w:rsidP="00D86540">
      <w:pPr>
        <w:pStyle w:val="Titre2"/>
      </w:pPr>
      <w:bookmarkStart w:id="26" w:name="_Toc161406942"/>
      <w:bookmarkStart w:id="27" w:name="_Toc199759664"/>
      <w:r w:rsidRPr="000C358F">
        <w:t>Forme des prix</w:t>
      </w:r>
      <w:bookmarkEnd w:id="26"/>
      <w:bookmarkEnd w:id="27"/>
      <w:r w:rsidRPr="000C358F">
        <w:t xml:space="preserve"> </w:t>
      </w:r>
    </w:p>
    <w:p w14:paraId="4C0F873B" w14:textId="7F6F6FDC" w:rsidR="00002A66" w:rsidRPr="00002A66" w:rsidRDefault="00002A66" w:rsidP="00002A66">
      <w:pPr>
        <w:spacing w:before="240" w:after="0" w:line="240" w:lineRule="auto"/>
        <w:ind w:left="-1134"/>
        <w:jc w:val="both"/>
      </w:pPr>
      <w:bookmarkStart w:id="28" w:name="_Toc161406943"/>
      <w:r w:rsidRPr="00002A66">
        <w:t xml:space="preserve">Les prix sont fermes et non révisables pendant </w:t>
      </w:r>
      <w:r w:rsidR="00344C15">
        <w:t xml:space="preserve">toute </w:t>
      </w:r>
      <w:r w:rsidRPr="00002A66">
        <w:t>la durée du marché.</w:t>
      </w:r>
    </w:p>
    <w:p w14:paraId="3ABDEFF6" w14:textId="176A3E64" w:rsidR="00874DF7" w:rsidRDefault="00EB38F7" w:rsidP="00874DF7">
      <w:pPr>
        <w:pStyle w:val="Titre2"/>
      </w:pPr>
      <w:bookmarkStart w:id="29" w:name="_Toc199759665"/>
      <w:bookmarkEnd w:id="28"/>
      <w:r>
        <w:t>Phases de la mission</w:t>
      </w:r>
      <w:bookmarkEnd w:id="29"/>
    </w:p>
    <w:p w14:paraId="67ED8B07" w14:textId="77777777" w:rsidR="00874DF7" w:rsidRPr="00874DF7" w:rsidRDefault="00874DF7" w:rsidP="00874DF7">
      <w:pPr>
        <w:ind w:left="-1134"/>
        <w:jc w:val="both"/>
        <w:rPr>
          <w:lang w:val="fr-BE" w:eastAsia="fr-FR"/>
        </w:rPr>
      </w:pPr>
      <w:r w:rsidRPr="00874DF7">
        <w:rPr>
          <w:lang w:val="fr-BE" w:eastAsia="fr-FR"/>
        </w:rPr>
        <w:t>Le présent marché est traité à prix global et forfaitaire, couvrant l’ensemble des prestations décrites dans les documents contractuels, et notamment dans le CCTP.</w:t>
      </w:r>
    </w:p>
    <w:p w14:paraId="71104634" w14:textId="1A743D8A" w:rsidR="00874DF7" w:rsidRDefault="00874DF7" w:rsidP="009B58E1">
      <w:pPr>
        <w:pStyle w:val="Paragraphedeliste"/>
        <w:ind w:left="-567" w:hanging="284"/>
        <w:rPr>
          <w:lang w:val="fr-BE"/>
        </w:rPr>
      </w:pPr>
      <w:r w:rsidRPr="00874DF7">
        <w:rPr>
          <w:lang w:val="fr-BE"/>
        </w:rPr>
        <w:t xml:space="preserve">Phase 1 – </w:t>
      </w:r>
      <w:r w:rsidR="008371C4">
        <w:rPr>
          <w:lang w:val="fr-BE"/>
        </w:rPr>
        <w:t>Prise de connaissance</w:t>
      </w:r>
      <w:r w:rsidR="000E69EC">
        <w:rPr>
          <w:lang w:val="fr-BE"/>
        </w:rPr>
        <w:t xml:space="preserve"> / A</w:t>
      </w:r>
      <w:r w:rsidR="008371C4">
        <w:rPr>
          <w:lang w:val="fr-BE"/>
        </w:rPr>
        <w:t>nalyse de l’existant</w:t>
      </w:r>
    </w:p>
    <w:p w14:paraId="28B019B6" w14:textId="72B751BB" w:rsidR="00A02579" w:rsidRPr="00350F4A" w:rsidRDefault="00A02579" w:rsidP="00A02579">
      <w:pPr>
        <w:ind w:left="720" w:hanging="360"/>
      </w:pPr>
      <w:r w:rsidRPr="00A02579">
        <w:rPr>
          <w:lang w:val="fr-BE"/>
        </w:rPr>
        <w:t xml:space="preserve">La notification fait office de bon de commande pour cette phase. </w:t>
      </w:r>
    </w:p>
    <w:p w14:paraId="0933F0F8" w14:textId="77777777" w:rsidR="00A02579" w:rsidRPr="00A94E93" w:rsidRDefault="00A02579" w:rsidP="00A02579">
      <w:pPr>
        <w:pStyle w:val="Paragraphedeliste"/>
        <w:numPr>
          <w:ilvl w:val="0"/>
          <w:numId w:val="0"/>
        </w:numPr>
        <w:ind w:left="-567"/>
        <w:rPr>
          <w:lang w:val="fr-BE"/>
        </w:rPr>
      </w:pPr>
    </w:p>
    <w:p w14:paraId="518440E0" w14:textId="674D6D94" w:rsidR="00874DF7" w:rsidRDefault="00874DF7" w:rsidP="009B58E1">
      <w:pPr>
        <w:pStyle w:val="Paragraphedeliste"/>
        <w:ind w:left="-567" w:hanging="284"/>
        <w:rPr>
          <w:lang w:val="fr-BE"/>
        </w:rPr>
      </w:pPr>
      <w:r w:rsidRPr="00874DF7">
        <w:rPr>
          <w:lang w:val="fr-BE"/>
        </w:rPr>
        <w:t xml:space="preserve">Phase 2 – </w:t>
      </w:r>
      <w:r w:rsidR="0004139C">
        <w:rPr>
          <w:lang w:val="fr-BE"/>
        </w:rPr>
        <w:t>Fixation des objectifs</w:t>
      </w:r>
    </w:p>
    <w:p w14:paraId="08DE1897" w14:textId="59657D2C" w:rsidR="00A02579" w:rsidRPr="00350F4A" w:rsidRDefault="00A02579" w:rsidP="00A02579">
      <w:pPr>
        <w:ind w:left="720" w:hanging="360"/>
      </w:pPr>
      <w:r w:rsidRPr="00A02579">
        <w:rPr>
          <w:lang w:val="fr-BE"/>
        </w:rPr>
        <w:t xml:space="preserve">La notification fait office de bon de commande pour cette phase. </w:t>
      </w:r>
    </w:p>
    <w:p w14:paraId="4AC529B6" w14:textId="77777777" w:rsidR="00A02579" w:rsidRPr="00A94E93" w:rsidRDefault="00A02579" w:rsidP="00A02579">
      <w:pPr>
        <w:pStyle w:val="Paragraphedeliste"/>
        <w:numPr>
          <w:ilvl w:val="0"/>
          <w:numId w:val="0"/>
        </w:numPr>
        <w:ind w:left="-567"/>
        <w:rPr>
          <w:lang w:val="fr-BE"/>
        </w:rPr>
      </w:pPr>
    </w:p>
    <w:p w14:paraId="7BA5BECF" w14:textId="3C28A547" w:rsidR="00FD1239" w:rsidRDefault="005E6F97" w:rsidP="00FD1239">
      <w:pPr>
        <w:pStyle w:val="Paragraphedeliste"/>
        <w:ind w:left="-567" w:hanging="284"/>
        <w:rPr>
          <w:lang w:val="fr-BE"/>
        </w:rPr>
      </w:pPr>
      <w:r w:rsidRPr="005E6F97">
        <w:rPr>
          <w:lang w:val="fr-BE"/>
        </w:rPr>
        <w:t xml:space="preserve">Phase </w:t>
      </w:r>
      <w:r w:rsidR="008847A6">
        <w:rPr>
          <w:lang w:val="fr-BE"/>
        </w:rPr>
        <w:t>3</w:t>
      </w:r>
      <w:r w:rsidRPr="005E6F97">
        <w:rPr>
          <w:lang w:val="fr-BE"/>
        </w:rPr>
        <w:t xml:space="preserve"> – </w:t>
      </w:r>
      <w:r w:rsidR="008847A6">
        <w:rPr>
          <w:lang w:val="fr-BE"/>
        </w:rPr>
        <w:t>Plan d’action</w:t>
      </w:r>
    </w:p>
    <w:p w14:paraId="4240CFA3" w14:textId="21783AF4" w:rsidR="00A02579" w:rsidRPr="00350F4A" w:rsidRDefault="00A02579" w:rsidP="00A02579">
      <w:pPr>
        <w:ind w:left="720" w:hanging="360"/>
      </w:pPr>
      <w:r w:rsidRPr="00A02579">
        <w:rPr>
          <w:lang w:val="fr-BE"/>
        </w:rPr>
        <w:t xml:space="preserve">La notification fait office de bon de commande pour cette phase. </w:t>
      </w:r>
    </w:p>
    <w:p w14:paraId="4442659B" w14:textId="77777777" w:rsidR="00A02579" w:rsidRPr="00A94E93" w:rsidRDefault="00A02579" w:rsidP="00A02579">
      <w:pPr>
        <w:pStyle w:val="Paragraphedeliste"/>
        <w:numPr>
          <w:ilvl w:val="0"/>
          <w:numId w:val="0"/>
        </w:numPr>
        <w:ind w:left="-567"/>
        <w:rPr>
          <w:lang w:val="fr-BE"/>
        </w:rPr>
      </w:pPr>
    </w:p>
    <w:p w14:paraId="76A1F878" w14:textId="17A937DA" w:rsidR="008847A6" w:rsidRDefault="008847A6" w:rsidP="008847A6">
      <w:pPr>
        <w:pStyle w:val="Paragraphedeliste"/>
        <w:ind w:left="-567" w:hanging="284"/>
        <w:rPr>
          <w:lang w:val="fr-BE"/>
        </w:rPr>
      </w:pPr>
      <w:r>
        <w:rPr>
          <w:lang w:val="fr-BE"/>
        </w:rPr>
        <w:t>Phase 4 </w:t>
      </w:r>
      <w:r w:rsidRPr="005E6F97">
        <w:rPr>
          <w:lang w:val="fr-BE"/>
        </w:rPr>
        <w:t xml:space="preserve">– </w:t>
      </w:r>
      <w:r>
        <w:rPr>
          <w:lang w:val="fr-BE"/>
        </w:rPr>
        <w:t>Suivi sur la durée et propositions d’ajustement</w:t>
      </w:r>
    </w:p>
    <w:p w14:paraId="2B7F55DC" w14:textId="77777777" w:rsidR="006470CA" w:rsidRPr="006470CA" w:rsidRDefault="006470CA" w:rsidP="006470CA">
      <w:pPr>
        <w:pStyle w:val="Paragraphedeliste"/>
        <w:numPr>
          <w:ilvl w:val="0"/>
          <w:numId w:val="0"/>
        </w:numPr>
        <w:ind w:left="720"/>
        <w:rPr>
          <w:lang w:val="fr-BE"/>
        </w:rPr>
      </w:pPr>
    </w:p>
    <w:p w14:paraId="24DA622A" w14:textId="1A8FB1D8" w:rsidR="006470CA" w:rsidRPr="006470CA" w:rsidRDefault="008252EA" w:rsidP="00A02579">
      <w:pPr>
        <w:pStyle w:val="Paragraphedeliste"/>
        <w:numPr>
          <w:ilvl w:val="0"/>
          <w:numId w:val="0"/>
        </w:numPr>
        <w:ind w:left="284" w:firstLine="142"/>
        <w:rPr>
          <w:lang w:val="fr-BE"/>
        </w:rPr>
      </w:pPr>
      <w:r>
        <w:rPr>
          <w:lang w:val="fr-BE"/>
        </w:rPr>
        <w:t>La</w:t>
      </w:r>
      <w:r w:rsidR="006470CA">
        <w:rPr>
          <w:lang w:val="fr-BE"/>
        </w:rPr>
        <w:t xml:space="preserve"> phase 4 aura lieu une fois par an</w:t>
      </w:r>
      <w:r w:rsidR="00BA75A6">
        <w:rPr>
          <w:lang w:val="fr-BE"/>
        </w:rPr>
        <w:t>,</w:t>
      </w:r>
      <w:r w:rsidR="008655B0">
        <w:rPr>
          <w:lang w:val="fr-BE"/>
        </w:rPr>
        <w:t xml:space="preserve"> </w:t>
      </w:r>
      <w:r w:rsidR="00BA75A6">
        <w:rPr>
          <w:lang w:val="fr-BE"/>
        </w:rPr>
        <w:t>au fur et à mesure du renouvellement du marché</w:t>
      </w:r>
    </w:p>
    <w:p w14:paraId="131FEE80" w14:textId="74DE8E84" w:rsidR="00FD1239" w:rsidRDefault="00FD1239" w:rsidP="00FD1239">
      <w:pPr>
        <w:ind w:left="-1134"/>
        <w:rPr>
          <w:lang w:val="fr-BE" w:eastAsia="fr-FR"/>
        </w:rPr>
      </w:pPr>
    </w:p>
    <w:p w14:paraId="7A2BE140" w14:textId="006D46AB" w:rsidR="00147018" w:rsidRPr="009B58E1" w:rsidRDefault="00147018" w:rsidP="009B58E1">
      <w:pPr>
        <w:ind w:left="720"/>
        <w:rPr>
          <w:lang w:val="fr-BE" w:eastAsia="fr-FR"/>
        </w:rPr>
      </w:pPr>
    </w:p>
    <w:p w14:paraId="64A34773" w14:textId="77777777" w:rsidR="00147018" w:rsidRPr="00874DF7" w:rsidRDefault="00147018" w:rsidP="00FD1239">
      <w:pPr>
        <w:ind w:left="-1134"/>
        <w:rPr>
          <w:lang w:val="fr-BE" w:eastAsia="fr-FR"/>
        </w:rPr>
      </w:pPr>
    </w:p>
    <w:p w14:paraId="10AB3514" w14:textId="77777777" w:rsidR="00FD1239" w:rsidRPr="00147018" w:rsidRDefault="00FD1239" w:rsidP="00147018">
      <w:pPr>
        <w:pStyle w:val="Paragraphedeliste"/>
        <w:numPr>
          <w:ilvl w:val="0"/>
          <w:numId w:val="0"/>
        </w:numPr>
        <w:ind w:left="720"/>
        <w:rPr>
          <w:lang w:val="fr-BE"/>
        </w:rPr>
      </w:pPr>
    </w:p>
    <w:p w14:paraId="59B9A4B2" w14:textId="2919F106" w:rsidR="00874DF7" w:rsidRPr="00874DF7" w:rsidRDefault="00874DF7" w:rsidP="005E6F97">
      <w:pPr>
        <w:rPr>
          <w:lang w:val="fr-BE" w:eastAsia="fr-FR"/>
        </w:rPr>
      </w:pPr>
    </w:p>
    <w:p w14:paraId="441EB5EF" w14:textId="0581A93C" w:rsidR="002D7ACA" w:rsidRDefault="000C358F" w:rsidP="009D7405">
      <w:pPr>
        <w:pStyle w:val="Titre2"/>
      </w:pPr>
      <w:bookmarkStart w:id="30" w:name="_Toc199759666"/>
      <w:bookmarkStart w:id="31" w:name="_Toc161406944"/>
      <w:r w:rsidRPr="002D7ACA">
        <w:t>Contenu des prix</w:t>
      </w:r>
      <w:bookmarkEnd w:id="30"/>
      <w:r w:rsidRPr="002D7ACA">
        <w:t xml:space="preserve"> </w:t>
      </w:r>
      <w:bookmarkEnd w:id="31"/>
    </w:p>
    <w:p w14:paraId="266398EE" w14:textId="77777777" w:rsidR="008655B0" w:rsidRPr="00DB4605" w:rsidRDefault="008655B0" w:rsidP="008655B0">
      <w:pPr>
        <w:ind w:left="-1134"/>
        <w:jc w:val="both"/>
      </w:pPr>
      <w:r w:rsidRPr="00DB4605">
        <w:t>Le prix est forfaitaire, ferme et d</w:t>
      </w:r>
      <w:r w:rsidRPr="00DB4605">
        <w:rPr>
          <w:rFonts w:hint="cs"/>
        </w:rPr>
        <w:t>é</w:t>
      </w:r>
      <w:r w:rsidRPr="00DB4605">
        <w:t>finitif, et inclura l</w:t>
      </w:r>
      <w:r w:rsidRPr="00DB4605">
        <w:rPr>
          <w:rFonts w:hint="cs"/>
        </w:rPr>
        <w:t>’</w:t>
      </w:r>
      <w:r w:rsidRPr="00DB4605">
        <w:t>ensemble de la prestation telle que d</w:t>
      </w:r>
      <w:r w:rsidRPr="00DB4605">
        <w:rPr>
          <w:rFonts w:hint="cs"/>
        </w:rPr>
        <w:t>é</w:t>
      </w:r>
      <w:r w:rsidRPr="00DB4605">
        <w:t>finie dans le devis en conformit</w:t>
      </w:r>
      <w:r w:rsidRPr="00DB4605">
        <w:rPr>
          <w:rFonts w:hint="cs"/>
        </w:rPr>
        <w:t>é</w:t>
      </w:r>
      <w:r w:rsidRPr="00DB4605">
        <w:t xml:space="preserve"> avec ce pr</w:t>
      </w:r>
      <w:r w:rsidRPr="00DB4605">
        <w:rPr>
          <w:rFonts w:hint="cs"/>
        </w:rPr>
        <w:t>é</w:t>
      </w:r>
      <w:r w:rsidRPr="00DB4605">
        <w:t>sent cahier des charges.</w:t>
      </w:r>
    </w:p>
    <w:p w14:paraId="55EEA55F" w14:textId="77777777" w:rsidR="008655B0" w:rsidRPr="00DB4605" w:rsidRDefault="008655B0" w:rsidP="008655B0">
      <w:pPr>
        <w:ind w:left="-1134"/>
        <w:jc w:val="both"/>
      </w:pPr>
      <w:r w:rsidRPr="00DB4605">
        <w:t>Le prestataire ne pourra arguer de l</w:t>
      </w:r>
      <w:r w:rsidRPr="00DB4605">
        <w:rPr>
          <w:rFonts w:hint="cs"/>
        </w:rPr>
        <w:t>’é</w:t>
      </w:r>
      <w:r w:rsidRPr="00DB4605">
        <w:t>tendue de la mission (par exemple du temps n</w:t>
      </w:r>
      <w:r w:rsidRPr="00DB4605">
        <w:rPr>
          <w:rFonts w:hint="cs"/>
        </w:rPr>
        <w:t>é</w:t>
      </w:r>
      <w:r w:rsidRPr="00DB4605">
        <w:t xml:space="preserve">cessaire </w:t>
      </w:r>
      <w:r w:rsidRPr="00DB4605">
        <w:rPr>
          <w:rFonts w:hint="cs"/>
        </w:rPr>
        <w:t>à</w:t>
      </w:r>
      <w:r w:rsidRPr="00DB4605">
        <w:t xml:space="preserve"> la collecte de donn</w:t>
      </w:r>
      <w:r w:rsidRPr="00DB4605">
        <w:rPr>
          <w:rFonts w:hint="cs"/>
        </w:rPr>
        <w:t>é</w:t>
      </w:r>
      <w:r w:rsidRPr="00DB4605">
        <w:t xml:space="preserve">es, </w:t>
      </w:r>
      <w:r w:rsidRPr="00DB4605">
        <w:rPr>
          <w:rFonts w:hint="cs"/>
        </w:rPr>
        <w:t>à</w:t>
      </w:r>
      <w:r w:rsidRPr="00DB4605">
        <w:t xml:space="preserve"> la sensibilisation, </w:t>
      </w:r>
      <w:r w:rsidRPr="00DB4605">
        <w:rPr>
          <w:rFonts w:hint="cs"/>
        </w:rPr>
        <w:t>à</w:t>
      </w:r>
      <w:r w:rsidRPr="00DB4605">
        <w:t xml:space="preserve"> l</w:t>
      </w:r>
      <w:r w:rsidRPr="00DB4605">
        <w:rPr>
          <w:rFonts w:hint="cs"/>
        </w:rPr>
        <w:t>’é</w:t>
      </w:r>
      <w:r w:rsidRPr="00DB4605">
        <w:t>tude de th</w:t>
      </w:r>
      <w:r w:rsidRPr="00DB4605">
        <w:rPr>
          <w:rFonts w:hint="cs"/>
        </w:rPr>
        <w:t>é</w:t>
      </w:r>
      <w:r w:rsidRPr="00DB4605">
        <w:t xml:space="preserve">matiques ou </w:t>
      </w:r>
      <w:r w:rsidRPr="00DB4605">
        <w:rPr>
          <w:rFonts w:hint="cs"/>
        </w:rPr>
        <w:t>à</w:t>
      </w:r>
      <w:r w:rsidRPr="00DB4605">
        <w:t xml:space="preserve"> la restitution des r</w:t>
      </w:r>
      <w:r w:rsidRPr="00DB4605">
        <w:rPr>
          <w:rFonts w:hint="cs"/>
        </w:rPr>
        <w:t>é</w:t>
      </w:r>
      <w:r w:rsidRPr="00DB4605">
        <w:t>sultats</w:t>
      </w:r>
      <w:r w:rsidRPr="00DB4605">
        <w:rPr>
          <w:rFonts w:hint="cs"/>
        </w:rPr>
        <w:t>…</w:t>
      </w:r>
      <w:r w:rsidRPr="00DB4605">
        <w:t>) pour faire varier le montant de sa prestation une fois le march</w:t>
      </w:r>
      <w:r w:rsidRPr="00DB4605">
        <w:rPr>
          <w:rFonts w:hint="cs"/>
        </w:rPr>
        <w:t>é</w:t>
      </w:r>
      <w:r w:rsidRPr="00DB4605">
        <w:t xml:space="preserve"> sign</w:t>
      </w:r>
      <w:r w:rsidRPr="00DB4605">
        <w:rPr>
          <w:rFonts w:hint="cs"/>
        </w:rPr>
        <w:t>é</w:t>
      </w:r>
      <w:r w:rsidRPr="00DB4605">
        <w:t>.</w:t>
      </w:r>
    </w:p>
    <w:p w14:paraId="3FF586BC" w14:textId="77777777" w:rsidR="008655B0" w:rsidRPr="00C729D2" w:rsidRDefault="008655B0" w:rsidP="00C729D2">
      <w:pPr>
        <w:rPr>
          <w:lang w:eastAsia="fr-FR"/>
        </w:rPr>
      </w:pPr>
    </w:p>
    <w:p w14:paraId="79A38CEA" w14:textId="77777777" w:rsidR="001817C1" w:rsidRDefault="00674513" w:rsidP="0061446C">
      <w:pPr>
        <w:spacing w:line="276" w:lineRule="auto"/>
        <w:ind w:left="-1134"/>
        <w:jc w:val="both"/>
        <w:rPr>
          <w:lang w:val="fr-BE"/>
        </w:rPr>
      </w:pPr>
      <w:r w:rsidRPr="00674513">
        <w:rPr>
          <w:lang w:val="fr-BE"/>
        </w:rPr>
        <w:t xml:space="preserve">Les prix, exprimés en euros, comprennent notamment l'ensemble des vacations, les dépenses de main-d'œuvre, les fournitures, ainsi que tous les frais généraux, les bénéfices, les charges sociales, fiscales et parafiscales, et les diverses taxes. Ils incluent également la prise en charge des risques d'accidents, qu'ils concernent les personnes ou les tiers, susceptibles de survenir lors de l'exécution des prestations. Ainsi, aucun supplément de quelque nature que ce soit ne pourra être ajouté. </w:t>
      </w:r>
    </w:p>
    <w:p w14:paraId="23E76EBC" w14:textId="57365056" w:rsidR="00674513" w:rsidRPr="00674513" w:rsidRDefault="00674513" w:rsidP="0061446C">
      <w:pPr>
        <w:spacing w:line="276" w:lineRule="auto"/>
        <w:ind w:left="-1134"/>
        <w:jc w:val="both"/>
        <w:rPr>
          <w:lang w:val="fr-BE"/>
        </w:rPr>
      </w:pPr>
      <w:r w:rsidRPr="00674513">
        <w:rPr>
          <w:lang w:val="fr-BE"/>
        </w:rPr>
        <w:t>De plus, tous les frais de déplacement nécessaires sont intégralement</w:t>
      </w:r>
      <w:r w:rsidR="009F0371">
        <w:rPr>
          <w:lang w:val="fr-BE"/>
        </w:rPr>
        <w:t xml:space="preserve"> inclus</w:t>
      </w:r>
      <w:r w:rsidR="008655B0">
        <w:rPr>
          <w:lang w:val="fr-BE"/>
        </w:rPr>
        <w:t xml:space="preserve"> pour chacune des phases.</w:t>
      </w:r>
    </w:p>
    <w:p w14:paraId="292CCC9A" w14:textId="6547E34B" w:rsidR="004A1961" w:rsidRPr="00874DF7" w:rsidRDefault="002D7ACA" w:rsidP="00874DF7">
      <w:pPr>
        <w:pStyle w:val="Titre2"/>
      </w:pPr>
      <w:bookmarkStart w:id="32" w:name="_Toc199759667"/>
      <w:r w:rsidRPr="002D7ACA">
        <w:t>Révision des prix</w:t>
      </w:r>
      <w:bookmarkEnd w:id="32"/>
      <w:r w:rsidRPr="002D7ACA">
        <w:t xml:space="preserve"> </w:t>
      </w:r>
    </w:p>
    <w:p w14:paraId="66979B0E" w14:textId="703CC079" w:rsidR="004A1961" w:rsidRPr="004A1961" w:rsidRDefault="004A1961" w:rsidP="00874DF7">
      <w:pPr>
        <w:ind w:left="-1134"/>
        <w:jc w:val="both"/>
        <w:rPr>
          <w:lang w:val="fr-BE" w:eastAsia="fr-FR"/>
        </w:rPr>
      </w:pPr>
      <w:bookmarkStart w:id="33" w:name="_Hlk197983738"/>
      <w:r w:rsidRPr="004A1961">
        <w:rPr>
          <w:lang w:val="fr-BE" w:eastAsia="fr-FR"/>
        </w:rPr>
        <w:t xml:space="preserve">Les prix indiqués au bordereau des prix </w:t>
      </w:r>
      <w:r w:rsidRPr="00874DF7">
        <w:rPr>
          <w:lang w:val="fr-BE" w:eastAsia="fr-FR"/>
        </w:rPr>
        <w:t>sont fermes et non révisables</w:t>
      </w:r>
      <w:r w:rsidRPr="004A1961">
        <w:rPr>
          <w:lang w:val="fr-BE" w:eastAsia="fr-FR"/>
        </w:rPr>
        <w:t xml:space="preserve"> pendant toute la durée du marché</w:t>
      </w:r>
      <w:r w:rsidR="00874DF7">
        <w:rPr>
          <w:lang w:val="fr-BE" w:eastAsia="fr-FR"/>
        </w:rPr>
        <w:t>.</w:t>
      </w:r>
    </w:p>
    <w:bookmarkEnd w:id="33"/>
    <w:p w14:paraId="67EF0B61" w14:textId="77777777" w:rsidR="004A1961" w:rsidRDefault="004A1961" w:rsidP="00874DF7">
      <w:pPr>
        <w:ind w:left="-1134"/>
        <w:jc w:val="both"/>
        <w:rPr>
          <w:lang w:val="fr-BE" w:eastAsia="fr-FR"/>
        </w:rPr>
      </w:pPr>
      <w:r w:rsidRPr="004A1961">
        <w:rPr>
          <w:lang w:val="fr-BE" w:eastAsia="fr-FR"/>
        </w:rPr>
        <w:t>Aucune révision ne sera appliquée au cours de cette période, quelle que soit l’évolution des indices économiques ou réglementaires.</w:t>
      </w:r>
    </w:p>
    <w:p w14:paraId="0601B5F2" w14:textId="776F25E6" w:rsidR="004657BA" w:rsidRDefault="00A070F6" w:rsidP="00394727">
      <w:pPr>
        <w:pStyle w:val="Titre1"/>
      </w:pPr>
      <w:bookmarkStart w:id="34" w:name="_Toc161406945"/>
      <w:bookmarkStart w:id="35" w:name="_Toc199759668"/>
      <w:r>
        <w:t xml:space="preserve">MODE DE </w:t>
      </w:r>
      <w:r w:rsidRPr="00A070F6">
        <w:t>F</w:t>
      </w:r>
      <w:bookmarkEnd w:id="34"/>
      <w:r>
        <w:t>ACTURATION</w:t>
      </w:r>
      <w:bookmarkEnd w:id="35"/>
    </w:p>
    <w:p w14:paraId="0919381A" w14:textId="2789FD5D" w:rsidR="000B09C5" w:rsidRPr="000B09C5" w:rsidRDefault="000B09C5" w:rsidP="0022466F">
      <w:pPr>
        <w:ind w:left="-1134"/>
      </w:pPr>
      <w:r>
        <w:t>Cet article est négociable.</w:t>
      </w:r>
    </w:p>
    <w:p w14:paraId="5D83CE20" w14:textId="4EB64E0A" w:rsidR="000B09C5" w:rsidRDefault="00DA374D" w:rsidP="000B09C5">
      <w:pPr>
        <w:pStyle w:val="Titre2"/>
        <w:rPr>
          <w:rFonts w:eastAsiaTheme="minorHAnsi"/>
          <w:lang w:val="fr-BE"/>
        </w:rPr>
      </w:pPr>
      <w:bookmarkStart w:id="36" w:name="_Toc199759669"/>
      <w:r>
        <w:rPr>
          <w:rFonts w:eastAsiaTheme="minorHAnsi"/>
          <w:lang w:val="fr-BE"/>
        </w:rPr>
        <w:t>Termes de</w:t>
      </w:r>
      <w:r w:rsidR="000B09C5" w:rsidRPr="00181BF8">
        <w:rPr>
          <w:rFonts w:eastAsiaTheme="minorHAnsi"/>
          <w:lang w:val="fr-BE"/>
        </w:rPr>
        <w:t xml:space="preserve"> paiement</w:t>
      </w:r>
      <w:bookmarkEnd w:id="36"/>
      <w:r w:rsidR="000B09C5" w:rsidRPr="00181BF8">
        <w:rPr>
          <w:rFonts w:eastAsiaTheme="minorHAnsi"/>
          <w:lang w:val="fr-BE"/>
        </w:rPr>
        <w:t xml:space="preserve"> </w:t>
      </w:r>
    </w:p>
    <w:p w14:paraId="09441F04" w14:textId="77777777" w:rsidR="00A96E74" w:rsidRDefault="00A96E74" w:rsidP="00A96E74">
      <w:pPr>
        <w:rPr>
          <w:lang w:val="fr-BE" w:eastAsia="fr-FR"/>
        </w:rPr>
      </w:pPr>
    </w:p>
    <w:p w14:paraId="4C2670E8" w14:textId="77777777" w:rsidR="00A96E74" w:rsidRPr="0065397B" w:rsidRDefault="00A96E74" w:rsidP="00A96E74">
      <w:pPr>
        <w:spacing w:before="100" w:beforeAutospacing="1" w:after="100" w:afterAutospacing="1" w:line="240" w:lineRule="auto"/>
        <w:ind w:left="-1134"/>
        <w:jc w:val="both"/>
      </w:pPr>
      <w:r w:rsidRPr="0065397B">
        <w:t>Les conditions de facturation et de paiement sont définies selon la nature des prestations :</w:t>
      </w:r>
    </w:p>
    <w:p w14:paraId="79C64773" w14:textId="7FC39DF9" w:rsidR="00A96E74" w:rsidRPr="0065397B" w:rsidRDefault="00A96E74">
      <w:pPr>
        <w:numPr>
          <w:ilvl w:val="0"/>
          <w:numId w:val="10"/>
        </w:numPr>
        <w:spacing w:before="100" w:beforeAutospacing="1" w:after="100" w:afterAutospacing="1" w:line="240" w:lineRule="auto"/>
        <w:ind w:left="-709" w:hanging="284"/>
        <w:jc w:val="both"/>
      </w:pPr>
      <w:r w:rsidRPr="0065397B">
        <w:t xml:space="preserve">Phase 1 : </w:t>
      </w:r>
      <w:r w:rsidRPr="0065397B">
        <w:rPr>
          <w:rFonts w:cs="Arial"/>
          <w:szCs w:val="20"/>
        </w:rPr>
        <w:t xml:space="preserve">La facture sera émise à l’issue de cette </w:t>
      </w:r>
      <w:r w:rsidR="00DF5713" w:rsidRPr="0065397B">
        <w:rPr>
          <w:rFonts w:cs="Arial"/>
          <w:szCs w:val="20"/>
        </w:rPr>
        <w:t>phase</w:t>
      </w:r>
      <w:r w:rsidRPr="0065397B">
        <w:rPr>
          <w:rFonts w:cs="Arial"/>
          <w:szCs w:val="20"/>
        </w:rPr>
        <w:t>.</w:t>
      </w:r>
    </w:p>
    <w:p w14:paraId="46AFF872" w14:textId="77C02BD2" w:rsidR="00A96E74" w:rsidRPr="0065397B" w:rsidRDefault="00A96E74">
      <w:pPr>
        <w:numPr>
          <w:ilvl w:val="0"/>
          <w:numId w:val="10"/>
        </w:numPr>
        <w:spacing w:before="100" w:beforeAutospacing="1" w:after="100" w:afterAutospacing="1" w:line="240" w:lineRule="auto"/>
        <w:ind w:left="-709" w:hanging="284"/>
        <w:jc w:val="both"/>
      </w:pPr>
      <w:r w:rsidRPr="0065397B">
        <w:t xml:space="preserve">Phase 2 : La facture sera émise à l’issue de </w:t>
      </w:r>
      <w:r w:rsidR="002063E1" w:rsidRPr="0065397B">
        <w:t>cette phase</w:t>
      </w:r>
      <w:r w:rsidRPr="0065397B">
        <w:t xml:space="preserve">. </w:t>
      </w:r>
    </w:p>
    <w:p w14:paraId="67DAF604" w14:textId="4458EA83" w:rsidR="00A96E74" w:rsidRPr="0065397B" w:rsidRDefault="00A96E74">
      <w:pPr>
        <w:numPr>
          <w:ilvl w:val="0"/>
          <w:numId w:val="10"/>
        </w:numPr>
        <w:spacing w:before="100" w:beforeAutospacing="1" w:after="100" w:afterAutospacing="1" w:line="240" w:lineRule="auto"/>
        <w:ind w:left="-709" w:hanging="284"/>
        <w:jc w:val="both"/>
      </w:pPr>
      <w:r w:rsidRPr="0065397B">
        <w:t xml:space="preserve">Phase 3 : La facture sera émise à l’issue de </w:t>
      </w:r>
      <w:r w:rsidR="002063E1" w:rsidRPr="0065397B">
        <w:t>cette phase</w:t>
      </w:r>
      <w:r w:rsidRPr="0065397B">
        <w:t xml:space="preserve">. </w:t>
      </w:r>
    </w:p>
    <w:p w14:paraId="1A76ED53" w14:textId="594F2854" w:rsidR="0026464C" w:rsidRPr="0026464C" w:rsidRDefault="00A96E74" w:rsidP="0026464C">
      <w:pPr>
        <w:pStyle w:val="Titre2"/>
      </w:pPr>
      <w:r w:rsidRPr="0065397B">
        <w:t xml:space="preserve">Phase 4 : </w:t>
      </w:r>
      <w:r w:rsidRPr="008655B0">
        <w:rPr>
          <w:rFonts w:cs="Arial"/>
          <w:szCs w:val="20"/>
        </w:rPr>
        <w:t>La facture sera émise à l’issue de chaque intervention</w:t>
      </w:r>
      <w:r w:rsidR="0065397B" w:rsidRPr="008655B0">
        <w:rPr>
          <w:rFonts w:cs="Arial"/>
          <w:szCs w:val="20"/>
        </w:rPr>
        <w:t>, donc une fois par an</w:t>
      </w:r>
      <w:r w:rsidRPr="008655B0">
        <w:rPr>
          <w:rFonts w:cs="Arial"/>
          <w:szCs w:val="20"/>
        </w:rPr>
        <w:t xml:space="preserve">. </w:t>
      </w:r>
      <w:bookmarkStart w:id="37" w:name="_Toc199759670"/>
      <w:r w:rsidR="00A070F6" w:rsidRPr="0026464C">
        <w:t>Modalités de paiement</w:t>
      </w:r>
      <w:bookmarkEnd w:id="37"/>
      <w:r w:rsidR="00A070F6" w:rsidRPr="0026464C">
        <w:t xml:space="preserve"> </w:t>
      </w:r>
    </w:p>
    <w:p w14:paraId="78BC6F26" w14:textId="77777777" w:rsidR="00A070F6" w:rsidRPr="00BD48F4" w:rsidRDefault="00A070F6" w:rsidP="0026464C">
      <w:pPr>
        <w:ind w:left="-1134"/>
      </w:pPr>
      <w:r w:rsidRPr="00BD48F4">
        <w:t xml:space="preserve">La facture ou son équivalent sera établi en un original et 2 copies portant, outre les mentions légales, les annotations suivantes : </w:t>
      </w:r>
    </w:p>
    <w:p w14:paraId="7000F20C" w14:textId="77777777" w:rsidR="00A070F6" w:rsidRPr="00BD48F4" w:rsidRDefault="00A070F6">
      <w:pPr>
        <w:pStyle w:val="Paragraphedeliste"/>
        <w:numPr>
          <w:ilvl w:val="0"/>
          <w:numId w:val="9"/>
        </w:numPr>
        <w:spacing w:after="108" w:line="248" w:lineRule="auto"/>
        <w:ind w:left="0" w:hanging="426"/>
      </w:pPr>
      <w:r w:rsidRPr="00BD48F4">
        <w:t xml:space="preserve">Nom et adresse du créancier, </w:t>
      </w:r>
    </w:p>
    <w:p w14:paraId="6F52B044" w14:textId="77777777" w:rsidR="00A070F6" w:rsidRPr="00BD48F4" w:rsidRDefault="00A070F6">
      <w:pPr>
        <w:pStyle w:val="Paragraphedeliste"/>
        <w:numPr>
          <w:ilvl w:val="0"/>
          <w:numId w:val="9"/>
        </w:numPr>
        <w:spacing w:after="108" w:line="248" w:lineRule="auto"/>
        <w:ind w:left="0" w:hanging="426"/>
      </w:pPr>
      <w:r w:rsidRPr="00BD48F4">
        <w:t xml:space="preserve">Numéro de compte bancaire ou postal, </w:t>
      </w:r>
    </w:p>
    <w:p w14:paraId="52410EEC" w14:textId="45504D85" w:rsidR="00A070F6" w:rsidRPr="00BD48F4" w:rsidRDefault="00E35425">
      <w:pPr>
        <w:pStyle w:val="Paragraphedeliste"/>
        <w:numPr>
          <w:ilvl w:val="0"/>
          <w:numId w:val="9"/>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pPr>
        <w:pStyle w:val="Paragraphedeliste"/>
        <w:numPr>
          <w:ilvl w:val="0"/>
          <w:numId w:val="9"/>
        </w:numPr>
        <w:spacing w:after="108" w:line="248" w:lineRule="auto"/>
        <w:ind w:left="0" w:hanging="426"/>
      </w:pPr>
      <w:r w:rsidRPr="00BD48F4">
        <w:t>Le numéro de bon de commande associé,</w:t>
      </w:r>
    </w:p>
    <w:p w14:paraId="335A4525" w14:textId="2991423C" w:rsidR="00A070F6" w:rsidRPr="00BD48F4" w:rsidRDefault="00A070F6">
      <w:pPr>
        <w:pStyle w:val="Paragraphedeliste"/>
        <w:numPr>
          <w:ilvl w:val="0"/>
          <w:numId w:val="9"/>
        </w:numPr>
        <w:spacing w:after="108" w:line="248" w:lineRule="auto"/>
        <w:ind w:left="0" w:hanging="426"/>
      </w:pPr>
      <w:r w:rsidRPr="00BD48F4">
        <w:t xml:space="preserve">Montant </w:t>
      </w:r>
      <w:r w:rsidR="00E35425" w:rsidRPr="00BD48F4">
        <w:t>HT</w:t>
      </w:r>
      <w:r w:rsidRPr="00BD48F4">
        <w:t xml:space="preserve"> de la prestation réalisée, </w:t>
      </w:r>
    </w:p>
    <w:p w14:paraId="291B595C" w14:textId="77777777" w:rsidR="00A070F6" w:rsidRPr="00BD48F4" w:rsidRDefault="00A070F6">
      <w:pPr>
        <w:pStyle w:val="Paragraphedeliste"/>
        <w:numPr>
          <w:ilvl w:val="0"/>
          <w:numId w:val="9"/>
        </w:numPr>
        <w:spacing w:after="108" w:line="248" w:lineRule="auto"/>
        <w:ind w:left="0" w:hanging="426"/>
      </w:pPr>
      <w:r w:rsidRPr="00BD48F4">
        <w:t xml:space="preserve">Taux et montant de la tva </w:t>
      </w:r>
    </w:p>
    <w:p w14:paraId="4443E99C" w14:textId="77777777" w:rsidR="00A070F6" w:rsidRPr="00BD48F4" w:rsidRDefault="00A070F6" w:rsidP="00E35425">
      <w:pPr>
        <w:ind w:left="-1134"/>
        <w:jc w:val="both"/>
      </w:pPr>
      <w:r w:rsidRPr="00BD48F4">
        <w:lastRenderedPageBreak/>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37A1CB3B" w:rsidR="00A070F6" w:rsidRPr="00BD48F4" w:rsidRDefault="00A070F6" w:rsidP="00E35425">
      <w:pPr>
        <w:ind w:left="-1134"/>
        <w:jc w:val="both"/>
      </w:pPr>
      <w:r w:rsidRPr="00BD48F4">
        <w:t xml:space="preserve">L’ensemble de ces documents (factures, attestation de service fait, avoir) devra être adressé </w:t>
      </w:r>
      <w:r w:rsidR="00E35425">
        <w:t>au</w:t>
      </w:r>
      <w:r w:rsidR="00433D73">
        <w:t xml:space="preserve"> </w:t>
      </w:r>
      <w:r w:rsidR="00433D73" w:rsidRPr="00433D73">
        <w:t>GPM-Guyane</w:t>
      </w:r>
      <w:r w:rsidR="00E35425">
        <w:t xml:space="preserve"> </w:t>
      </w:r>
      <w:r w:rsidRPr="00BD48F4">
        <w:t>par courriel.</w:t>
      </w:r>
    </w:p>
    <w:p w14:paraId="196473DA" w14:textId="4D69041A" w:rsidR="00A070F6" w:rsidRPr="00BD48F4" w:rsidRDefault="00A070F6" w:rsidP="00E35425">
      <w:pPr>
        <w:ind w:left="-1134"/>
        <w:jc w:val="both"/>
      </w:pPr>
      <w:r w:rsidRPr="00BD48F4">
        <w:t>Les factures doivent parvenir dans les 15 jours qui suivent le mois d’exécution de la prestation</w:t>
      </w:r>
      <w:r w:rsidR="00E35425">
        <w:t>.</w:t>
      </w:r>
    </w:p>
    <w:p w14:paraId="1453664A" w14:textId="6DCAF78B" w:rsidR="00C43A21" w:rsidRDefault="00C43A21" w:rsidP="00394727">
      <w:pPr>
        <w:pStyle w:val="Titre1"/>
        <w:rPr>
          <w:lang w:eastAsia="fr-FR"/>
        </w:rPr>
      </w:pPr>
      <w:bookmarkStart w:id="38" w:name="_Toc199759671"/>
      <w:bookmarkEnd w:id="3"/>
      <w:r>
        <w:rPr>
          <w:lang w:eastAsia="fr-FR"/>
        </w:rPr>
        <w:t>PENALITES</w:t>
      </w:r>
      <w:bookmarkEnd w:id="38"/>
      <w:r>
        <w:rPr>
          <w:lang w:eastAsia="fr-FR"/>
        </w:rPr>
        <w:t xml:space="preserve"> </w:t>
      </w:r>
    </w:p>
    <w:p w14:paraId="5AE35BAF" w14:textId="187BB312" w:rsidR="006176F4" w:rsidRDefault="005929C1" w:rsidP="00FD0EBD">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p w14:paraId="5B6E7C93" w14:textId="77777777" w:rsidR="00FD0EBD" w:rsidRDefault="00FD0EBD" w:rsidP="005929C1">
      <w:pPr>
        <w:spacing w:line="276" w:lineRule="auto"/>
        <w:ind w:left="-1134"/>
        <w:jc w:val="both"/>
      </w:pPr>
    </w:p>
    <w:tbl>
      <w:tblPr>
        <w:tblStyle w:val="Style6"/>
        <w:tblW w:w="8123" w:type="dxa"/>
        <w:tblLook w:val="04A0" w:firstRow="1" w:lastRow="0" w:firstColumn="1" w:lastColumn="0" w:noHBand="0" w:noVBand="1"/>
      </w:tblPr>
      <w:tblGrid>
        <w:gridCol w:w="964"/>
        <w:gridCol w:w="1366"/>
        <w:gridCol w:w="1458"/>
        <w:gridCol w:w="848"/>
        <w:gridCol w:w="3487"/>
      </w:tblGrid>
      <w:tr w:rsidR="00FD0EBD" w:rsidRPr="00FD0EBD" w14:paraId="45FDE635" w14:textId="77777777" w:rsidTr="00F838BC">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2AF5CD76" w14:textId="77777777" w:rsidR="00FD0EBD" w:rsidRPr="00FD0EBD" w:rsidRDefault="00FD0EBD" w:rsidP="00FD0EBD">
            <w:pPr>
              <w:spacing w:after="0" w:line="240" w:lineRule="auto"/>
              <w:rPr>
                <w:rFonts w:ascii="Times New Roman" w:hAnsi="Times New Roman"/>
                <w:sz w:val="24"/>
                <w:szCs w:val="24"/>
              </w:rPr>
            </w:pPr>
          </w:p>
        </w:tc>
        <w:tc>
          <w:tcPr>
            <w:tcW w:w="1366" w:type="dxa"/>
            <w:noWrap/>
            <w:hideMark/>
          </w:tcPr>
          <w:p w14:paraId="32D7DF8A" w14:textId="77777777" w:rsidR="00FD0EBD" w:rsidRPr="00FD0EBD" w:rsidRDefault="00FD0EBD" w:rsidP="00FD0EBD">
            <w:pPr>
              <w:spacing w:after="0" w:line="240" w:lineRule="auto"/>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FD0EBD">
              <w:rPr>
                <w:rFonts w:ascii="Aptos Narrow" w:hAnsi="Aptos Narrow"/>
                <w:color w:val="000000"/>
                <w:sz w:val="22"/>
              </w:rPr>
              <w:t xml:space="preserve">Exigences </w:t>
            </w:r>
          </w:p>
        </w:tc>
        <w:tc>
          <w:tcPr>
            <w:tcW w:w="1458" w:type="dxa"/>
            <w:hideMark/>
          </w:tcPr>
          <w:p w14:paraId="1EA78967" w14:textId="77777777" w:rsidR="00FD0EBD" w:rsidRPr="00FD0EBD" w:rsidRDefault="00FD0EBD" w:rsidP="00FD0E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FD0EBD">
              <w:rPr>
                <w:rFonts w:ascii="Aptos Narrow" w:hAnsi="Aptos Narrow"/>
                <w:color w:val="000000"/>
                <w:sz w:val="22"/>
              </w:rPr>
              <w:t>Critère d'exigence</w:t>
            </w:r>
          </w:p>
        </w:tc>
        <w:tc>
          <w:tcPr>
            <w:tcW w:w="848" w:type="dxa"/>
            <w:noWrap/>
            <w:hideMark/>
          </w:tcPr>
          <w:p w14:paraId="1C4EE6D9" w14:textId="77777777" w:rsidR="00FD0EBD" w:rsidRPr="00FD0EBD" w:rsidRDefault="00FD0EBD" w:rsidP="00FD0E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FD0EBD">
              <w:rPr>
                <w:rFonts w:ascii="Aptos Narrow" w:hAnsi="Aptos Narrow"/>
                <w:color w:val="000000"/>
                <w:sz w:val="22"/>
              </w:rPr>
              <w:t>Niveau</w:t>
            </w:r>
          </w:p>
        </w:tc>
        <w:tc>
          <w:tcPr>
            <w:tcW w:w="3487" w:type="dxa"/>
            <w:hideMark/>
          </w:tcPr>
          <w:p w14:paraId="19FACFAD" w14:textId="77777777" w:rsidR="00FD0EBD" w:rsidRPr="00FD0EBD" w:rsidRDefault="00FD0EBD" w:rsidP="00FD0EB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Narrow" w:hAnsi="Aptos Narrow"/>
                <w:color w:val="000000"/>
                <w:sz w:val="22"/>
              </w:rPr>
            </w:pPr>
            <w:r w:rsidRPr="00FD0EBD">
              <w:rPr>
                <w:rFonts w:ascii="Aptos Narrow" w:hAnsi="Aptos Narrow"/>
                <w:color w:val="000000"/>
                <w:sz w:val="22"/>
              </w:rPr>
              <w:t>Pénalités</w:t>
            </w:r>
          </w:p>
        </w:tc>
      </w:tr>
      <w:tr w:rsidR="00FD0EBD" w:rsidRPr="00FD0EBD" w14:paraId="53DC4246" w14:textId="77777777" w:rsidTr="00F838BC">
        <w:trPr>
          <w:trHeight w:val="12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3875483C"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1 </w:t>
            </w:r>
          </w:p>
        </w:tc>
        <w:tc>
          <w:tcPr>
            <w:tcW w:w="1366" w:type="dxa"/>
            <w:noWrap/>
            <w:hideMark/>
          </w:tcPr>
          <w:p w14:paraId="0660FC7E"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une analyse de l'existant</w:t>
            </w:r>
          </w:p>
        </w:tc>
        <w:tc>
          <w:tcPr>
            <w:tcW w:w="1458" w:type="dxa"/>
            <w:hideMark/>
          </w:tcPr>
          <w:p w14:paraId="51C32751" w14:textId="4C5AC9A2"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Application de la méthodologie promise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46C83B72"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0A9D6945"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Suspension de la facture jusqu'à l'achèvement de la prestation</w:t>
            </w:r>
          </w:p>
        </w:tc>
      </w:tr>
      <w:tr w:rsidR="00FD0EBD" w:rsidRPr="00FD0EBD" w14:paraId="6C6F436F"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43E758D6"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1 </w:t>
            </w:r>
          </w:p>
        </w:tc>
        <w:tc>
          <w:tcPr>
            <w:tcW w:w="1366" w:type="dxa"/>
            <w:noWrap/>
            <w:hideMark/>
          </w:tcPr>
          <w:p w14:paraId="1D47E8AE"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une analyse de l'existant</w:t>
            </w:r>
          </w:p>
        </w:tc>
        <w:tc>
          <w:tcPr>
            <w:tcW w:w="1458" w:type="dxa"/>
            <w:hideMark/>
          </w:tcPr>
          <w:p w14:paraId="6AB61401" w14:textId="4C012D7E"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Remise des livrables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662A5E6D"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OUI</w:t>
            </w:r>
          </w:p>
        </w:tc>
        <w:tc>
          <w:tcPr>
            <w:tcW w:w="3487" w:type="dxa"/>
            <w:hideMark/>
          </w:tcPr>
          <w:p w14:paraId="0275634D"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Suspension de la facture jusqu'à la livraison des livrables </w:t>
            </w:r>
          </w:p>
        </w:tc>
      </w:tr>
      <w:tr w:rsidR="00FD0EBD" w:rsidRPr="00FD0EBD" w14:paraId="22C4D405"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037AD797"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1 </w:t>
            </w:r>
          </w:p>
        </w:tc>
        <w:tc>
          <w:tcPr>
            <w:tcW w:w="1366" w:type="dxa"/>
            <w:noWrap/>
            <w:hideMark/>
          </w:tcPr>
          <w:p w14:paraId="1AAD7361"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une analyse de l'existant</w:t>
            </w:r>
          </w:p>
        </w:tc>
        <w:tc>
          <w:tcPr>
            <w:tcW w:w="1458" w:type="dxa"/>
            <w:hideMark/>
          </w:tcPr>
          <w:p w14:paraId="0B301A92" w14:textId="1F33D044"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Respect des délais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4F780DB5"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4BB2BB36"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50 € x nombre de jours ouvrés de retard</w:t>
            </w:r>
          </w:p>
        </w:tc>
      </w:tr>
      <w:tr w:rsidR="00FD0EBD" w:rsidRPr="00FD0EBD" w14:paraId="140CBA3D" w14:textId="77777777" w:rsidTr="00F838BC">
        <w:trPr>
          <w:trHeight w:val="12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74068FA4"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lastRenderedPageBreak/>
              <w:t xml:space="preserve">Phase 2 </w:t>
            </w:r>
          </w:p>
        </w:tc>
        <w:tc>
          <w:tcPr>
            <w:tcW w:w="1366" w:type="dxa"/>
            <w:noWrap/>
            <w:hideMark/>
          </w:tcPr>
          <w:p w14:paraId="3AC17FE3"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Identifier des objectifs </w:t>
            </w:r>
          </w:p>
        </w:tc>
        <w:tc>
          <w:tcPr>
            <w:tcW w:w="1458" w:type="dxa"/>
            <w:hideMark/>
          </w:tcPr>
          <w:p w14:paraId="2C54044D" w14:textId="63C58741"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Application de la méthodologie promise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2E35D9D6"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62F2B4BE"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Suspension de la facture jusqu'à l'achèvement de la prestation</w:t>
            </w:r>
          </w:p>
        </w:tc>
      </w:tr>
      <w:tr w:rsidR="00FD0EBD" w:rsidRPr="00FD0EBD" w14:paraId="351B3AC7"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47516823"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2 </w:t>
            </w:r>
          </w:p>
        </w:tc>
        <w:tc>
          <w:tcPr>
            <w:tcW w:w="1366" w:type="dxa"/>
            <w:noWrap/>
            <w:hideMark/>
          </w:tcPr>
          <w:p w14:paraId="1914E67A"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Identifier des objectifs </w:t>
            </w:r>
          </w:p>
        </w:tc>
        <w:tc>
          <w:tcPr>
            <w:tcW w:w="1458" w:type="dxa"/>
            <w:hideMark/>
          </w:tcPr>
          <w:p w14:paraId="51DA8F0A" w14:textId="313662F6"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Remise des livrables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48AE5FBA"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OUI</w:t>
            </w:r>
          </w:p>
        </w:tc>
        <w:tc>
          <w:tcPr>
            <w:tcW w:w="3487" w:type="dxa"/>
            <w:hideMark/>
          </w:tcPr>
          <w:p w14:paraId="649B4E64"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Suspension de la facture jusqu'à la livraison des livrables </w:t>
            </w:r>
          </w:p>
        </w:tc>
      </w:tr>
      <w:tr w:rsidR="00FD0EBD" w:rsidRPr="00FD0EBD" w14:paraId="6682A690"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70AAC612"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2 </w:t>
            </w:r>
          </w:p>
        </w:tc>
        <w:tc>
          <w:tcPr>
            <w:tcW w:w="1366" w:type="dxa"/>
            <w:noWrap/>
            <w:hideMark/>
          </w:tcPr>
          <w:p w14:paraId="627DA250"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Identifier des objectifs </w:t>
            </w:r>
          </w:p>
        </w:tc>
        <w:tc>
          <w:tcPr>
            <w:tcW w:w="1458" w:type="dxa"/>
            <w:hideMark/>
          </w:tcPr>
          <w:p w14:paraId="08C8C7FC" w14:textId="45E01556"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Respect des délais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19ACB7C3"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12126393"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50 € x nombre de jours ouvrés de retard</w:t>
            </w:r>
          </w:p>
        </w:tc>
      </w:tr>
      <w:tr w:rsidR="00FD0EBD" w:rsidRPr="00FD0EBD" w14:paraId="7BC4DFE4" w14:textId="77777777" w:rsidTr="00F838BC">
        <w:trPr>
          <w:trHeight w:val="12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3D3CC9F0"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3 </w:t>
            </w:r>
          </w:p>
        </w:tc>
        <w:tc>
          <w:tcPr>
            <w:tcW w:w="1366" w:type="dxa"/>
            <w:noWrap/>
            <w:hideMark/>
          </w:tcPr>
          <w:p w14:paraId="601BDE0B"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Etablir un plan d'action</w:t>
            </w:r>
          </w:p>
        </w:tc>
        <w:tc>
          <w:tcPr>
            <w:tcW w:w="1458" w:type="dxa"/>
            <w:hideMark/>
          </w:tcPr>
          <w:p w14:paraId="28222E61" w14:textId="33CBAE90"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Application de la méthodologie promise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425A05AC"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12986770"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Suspension de la facture jusqu'à l'achèvement de la prestation</w:t>
            </w:r>
          </w:p>
        </w:tc>
      </w:tr>
      <w:tr w:rsidR="00FD0EBD" w:rsidRPr="00FD0EBD" w14:paraId="3275C3BC"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4ACE3479"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3 </w:t>
            </w:r>
          </w:p>
        </w:tc>
        <w:tc>
          <w:tcPr>
            <w:tcW w:w="1366" w:type="dxa"/>
            <w:noWrap/>
            <w:hideMark/>
          </w:tcPr>
          <w:p w14:paraId="63BFEF87"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Etablir un plan d'action</w:t>
            </w:r>
          </w:p>
        </w:tc>
        <w:tc>
          <w:tcPr>
            <w:tcW w:w="1458" w:type="dxa"/>
            <w:hideMark/>
          </w:tcPr>
          <w:p w14:paraId="55550B9F" w14:textId="6458F595"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Remise des livrables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3AABBD16"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OUI</w:t>
            </w:r>
          </w:p>
        </w:tc>
        <w:tc>
          <w:tcPr>
            <w:tcW w:w="3487" w:type="dxa"/>
            <w:hideMark/>
          </w:tcPr>
          <w:p w14:paraId="6981C52A"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Suspension de la facture jusqu'à la livraison des livrables </w:t>
            </w:r>
          </w:p>
        </w:tc>
      </w:tr>
      <w:tr w:rsidR="00FD0EBD" w:rsidRPr="00FD0EBD" w14:paraId="48500D00"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6AE2D737"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3 </w:t>
            </w:r>
          </w:p>
        </w:tc>
        <w:tc>
          <w:tcPr>
            <w:tcW w:w="1366" w:type="dxa"/>
            <w:noWrap/>
            <w:hideMark/>
          </w:tcPr>
          <w:p w14:paraId="1B67439B"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Etablir un plan d'action</w:t>
            </w:r>
          </w:p>
        </w:tc>
        <w:tc>
          <w:tcPr>
            <w:tcW w:w="1458" w:type="dxa"/>
            <w:hideMark/>
          </w:tcPr>
          <w:p w14:paraId="63995711" w14:textId="0CCF6E9F"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Respect des délais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0CAE0524"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0B07E104"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50 € x nombre de jours ouvrés de retard</w:t>
            </w:r>
          </w:p>
        </w:tc>
      </w:tr>
      <w:tr w:rsidR="00FD0EBD" w:rsidRPr="00FD0EBD" w14:paraId="38F490B6" w14:textId="77777777" w:rsidTr="00F838BC">
        <w:trPr>
          <w:trHeight w:val="12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420F9BD5"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lastRenderedPageBreak/>
              <w:t xml:space="preserve">Phase 4 </w:t>
            </w:r>
          </w:p>
        </w:tc>
        <w:tc>
          <w:tcPr>
            <w:tcW w:w="1366" w:type="dxa"/>
            <w:hideMark/>
          </w:tcPr>
          <w:p w14:paraId="6BDA0441"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 suivi sur la durée et faire des propositions d'ajustement</w:t>
            </w:r>
          </w:p>
        </w:tc>
        <w:tc>
          <w:tcPr>
            <w:tcW w:w="1458" w:type="dxa"/>
            <w:hideMark/>
          </w:tcPr>
          <w:p w14:paraId="25E23590" w14:textId="1984C269"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Application de la méthodologie promise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722DAA34"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5CE78560"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Suspension de la facture jusqu'à l'achèvement de la prestation</w:t>
            </w:r>
          </w:p>
        </w:tc>
      </w:tr>
      <w:tr w:rsidR="00FD0EBD" w:rsidRPr="00FD0EBD" w14:paraId="1E2A954C"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196071FB"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4 </w:t>
            </w:r>
          </w:p>
        </w:tc>
        <w:tc>
          <w:tcPr>
            <w:tcW w:w="1366" w:type="dxa"/>
            <w:hideMark/>
          </w:tcPr>
          <w:p w14:paraId="24017830"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 suivi sur la durée et faire des propositions d'ajustement</w:t>
            </w:r>
          </w:p>
        </w:tc>
        <w:tc>
          <w:tcPr>
            <w:tcW w:w="1458" w:type="dxa"/>
            <w:hideMark/>
          </w:tcPr>
          <w:p w14:paraId="676C8048" w14:textId="33AC48F1"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Remise des livrables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488248DC"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OUI</w:t>
            </w:r>
          </w:p>
        </w:tc>
        <w:tc>
          <w:tcPr>
            <w:tcW w:w="3487" w:type="dxa"/>
            <w:hideMark/>
          </w:tcPr>
          <w:p w14:paraId="4931FFAE"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Suspension de la facture jusqu'à la livraison des livrables </w:t>
            </w:r>
          </w:p>
        </w:tc>
      </w:tr>
      <w:tr w:rsidR="00FD0EBD" w:rsidRPr="00FD0EBD" w14:paraId="0D761447" w14:textId="77777777" w:rsidTr="00F838BC">
        <w:trPr>
          <w:trHeight w:val="900"/>
        </w:trPr>
        <w:tc>
          <w:tcPr>
            <w:cnfStyle w:val="001000000000" w:firstRow="0" w:lastRow="0" w:firstColumn="1" w:lastColumn="0" w:oddVBand="0" w:evenVBand="0" w:oddHBand="0" w:evenHBand="0" w:firstRowFirstColumn="0" w:firstRowLastColumn="0" w:lastRowFirstColumn="0" w:lastRowLastColumn="0"/>
            <w:tcW w:w="964" w:type="dxa"/>
            <w:noWrap/>
            <w:hideMark/>
          </w:tcPr>
          <w:p w14:paraId="62AE4B57" w14:textId="77777777" w:rsidR="00FD0EBD" w:rsidRPr="00FD0EBD" w:rsidRDefault="00FD0EBD" w:rsidP="00FD0EBD">
            <w:pPr>
              <w:spacing w:after="0" w:line="240" w:lineRule="auto"/>
              <w:rPr>
                <w:rFonts w:ascii="Aptos Narrow" w:hAnsi="Aptos Narrow"/>
                <w:color w:val="000000"/>
                <w:sz w:val="22"/>
              </w:rPr>
            </w:pPr>
            <w:r w:rsidRPr="00FD0EBD">
              <w:rPr>
                <w:rFonts w:ascii="Aptos Narrow" w:hAnsi="Aptos Narrow"/>
                <w:color w:val="000000"/>
                <w:sz w:val="22"/>
              </w:rPr>
              <w:t xml:space="preserve">Phase 4 </w:t>
            </w:r>
          </w:p>
        </w:tc>
        <w:tc>
          <w:tcPr>
            <w:tcW w:w="1366" w:type="dxa"/>
            <w:hideMark/>
          </w:tcPr>
          <w:p w14:paraId="538D346D" w14:textId="77777777"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Réaliser un suivi sur la durée et faire des propositions d'ajustement</w:t>
            </w:r>
          </w:p>
        </w:tc>
        <w:tc>
          <w:tcPr>
            <w:tcW w:w="1458" w:type="dxa"/>
            <w:hideMark/>
          </w:tcPr>
          <w:p w14:paraId="6B21220C" w14:textId="3F52A9B6" w:rsidR="00FD0EBD" w:rsidRPr="00FD0EBD" w:rsidRDefault="00FD0EBD" w:rsidP="00FD0EBD">
            <w:pPr>
              <w:spacing w:after="0" w:line="240" w:lineRule="auto"/>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 xml:space="preserve">Respect des délais promis dans l'annexe </w:t>
            </w:r>
            <w:r w:rsidR="00DC4478">
              <w:rPr>
                <w:rFonts w:ascii="Aptos Narrow" w:hAnsi="Aptos Narrow"/>
                <w:sz w:val="22"/>
              </w:rPr>
              <w:t>« </w:t>
            </w:r>
            <w:r w:rsidRPr="00FD0EBD">
              <w:rPr>
                <w:rFonts w:ascii="Aptos Narrow" w:hAnsi="Aptos Narrow"/>
                <w:sz w:val="22"/>
              </w:rPr>
              <w:t>V</w:t>
            </w:r>
            <w:r w:rsidR="00DC4478">
              <w:rPr>
                <w:rFonts w:ascii="Aptos Narrow" w:hAnsi="Aptos Narrow"/>
                <w:sz w:val="22"/>
              </w:rPr>
              <w:t xml:space="preserve">aleur </w:t>
            </w:r>
            <w:r w:rsidRPr="00FD0EBD">
              <w:rPr>
                <w:rFonts w:ascii="Aptos Narrow" w:hAnsi="Aptos Narrow"/>
                <w:sz w:val="22"/>
              </w:rPr>
              <w:t>T</w:t>
            </w:r>
            <w:r w:rsidR="00DC4478">
              <w:rPr>
                <w:rFonts w:ascii="Aptos Narrow" w:hAnsi="Aptos Narrow"/>
                <w:sz w:val="22"/>
              </w:rPr>
              <w:t>echnique »</w:t>
            </w:r>
            <w:r w:rsidRPr="00FD0EBD">
              <w:rPr>
                <w:rFonts w:ascii="Aptos Narrow" w:hAnsi="Aptos Narrow"/>
                <w:sz w:val="22"/>
              </w:rPr>
              <w:t xml:space="preserve"> de l'Acte d'engagement</w:t>
            </w:r>
          </w:p>
        </w:tc>
        <w:tc>
          <w:tcPr>
            <w:tcW w:w="848" w:type="dxa"/>
            <w:noWrap/>
            <w:hideMark/>
          </w:tcPr>
          <w:p w14:paraId="71240823"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100%</w:t>
            </w:r>
          </w:p>
        </w:tc>
        <w:tc>
          <w:tcPr>
            <w:tcW w:w="3487" w:type="dxa"/>
            <w:hideMark/>
          </w:tcPr>
          <w:p w14:paraId="0E592892" w14:textId="77777777" w:rsidR="00FD0EBD" w:rsidRPr="00FD0EBD" w:rsidRDefault="00FD0EBD" w:rsidP="00FD0E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Narrow" w:hAnsi="Aptos Narrow"/>
                <w:sz w:val="22"/>
              </w:rPr>
            </w:pPr>
            <w:r w:rsidRPr="00FD0EBD">
              <w:rPr>
                <w:rFonts w:ascii="Aptos Narrow" w:hAnsi="Aptos Narrow"/>
                <w:sz w:val="22"/>
              </w:rPr>
              <w:t>50 € x nombre de jours ouvrés de retard</w:t>
            </w:r>
          </w:p>
        </w:tc>
      </w:tr>
    </w:tbl>
    <w:p w14:paraId="05B7DB13" w14:textId="77777777" w:rsidR="00FD0EBD" w:rsidRDefault="00FD0EBD" w:rsidP="005929C1">
      <w:pPr>
        <w:spacing w:line="276" w:lineRule="auto"/>
        <w:ind w:left="-1134"/>
        <w:jc w:val="both"/>
      </w:pPr>
    </w:p>
    <w:p w14:paraId="5F3483D8" w14:textId="77777777" w:rsidR="00797E61" w:rsidRDefault="00797E61" w:rsidP="005929C1">
      <w:pPr>
        <w:spacing w:line="276" w:lineRule="auto"/>
        <w:ind w:left="-1134"/>
        <w:jc w:val="both"/>
      </w:pPr>
    </w:p>
    <w:p w14:paraId="78E6E265" w14:textId="77777777" w:rsidR="00F92CF0" w:rsidRDefault="00F92CF0" w:rsidP="00397B13">
      <w:pPr>
        <w:jc w:val="both"/>
      </w:pPr>
    </w:p>
    <w:p w14:paraId="20391EAA" w14:textId="540E4C63" w:rsidR="00F92CF0" w:rsidRDefault="00F92CF0" w:rsidP="00797E61">
      <w:pPr>
        <w:ind w:left="-1134"/>
        <w:jc w:val="both"/>
      </w:pPr>
      <w:r>
        <w:t>Les autres manquements non mentionnés dans ce tableau sont également sanctionnés qu’ils proviennent :</w:t>
      </w:r>
    </w:p>
    <w:p w14:paraId="514AB25A" w14:textId="6B6DBB5F" w:rsidR="00F92CF0" w:rsidRDefault="00F92CF0" w:rsidP="00797E61">
      <w:pPr>
        <w:pStyle w:val="Paragraphedeliste"/>
        <w:ind w:left="-1134"/>
      </w:pPr>
      <w:r>
        <w:t>De manquements au CCTP</w:t>
      </w:r>
    </w:p>
    <w:p w14:paraId="6A8AE514" w14:textId="62B7AE31" w:rsidR="00F92CF0" w:rsidRDefault="00F92CF0" w:rsidP="00797E61">
      <w:pPr>
        <w:pStyle w:val="Paragraphedeliste"/>
        <w:ind w:left="-1134"/>
      </w:pPr>
      <w:r>
        <w:t>De manquement aux annexes à l’acte d’engagement.</w:t>
      </w:r>
    </w:p>
    <w:p w14:paraId="39010B8F" w14:textId="3F23C51D" w:rsidR="00F92CF0" w:rsidRDefault="00F92CF0" w:rsidP="00797E61">
      <w:pPr>
        <w:ind w:left="-1134"/>
      </w:pPr>
      <w:r>
        <w:t>A hauteur de :</w:t>
      </w:r>
    </w:p>
    <w:tbl>
      <w:tblPr>
        <w:tblStyle w:val="Grilledutableau"/>
        <w:tblW w:w="0" w:type="auto"/>
        <w:tblInd w:w="-431" w:type="dxa"/>
        <w:tblLook w:val="04A0" w:firstRow="1" w:lastRow="0" w:firstColumn="1" w:lastColumn="0" w:noHBand="0" w:noVBand="1"/>
      </w:tblPr>
      <w:tblGrid>
        <w:gridCol w:w="2642"/>
        <w:gridCol w:w="2642"/>
        <w:gridCol w:w="2643"/>
      </w:tblGrid>
      <w:tr w:rsidR="00F92CF0" w14:paraId="7F5C36E2" w14:textId="77777777" w:rsidTr="00797E61">
        <w:tc>
          <w:tcPr>
            <w:tcW w:w="2642" w:type="dxa"/>
            <w:vAlign w:val="center"/>
          </w:tcPr>
          <w:p w14:paraId="5C83EF37" w14:textId="3BB87BB3" w:rsidR="00F92CF0" w:rsidRDefault="00F92CF0" w:rsidP="00797E61">
            <w:pPr>
              <w:jc w:val="center"/>
            </w:pPr>
            <w:r>
              <w:t>Type de manquement</w:t>
            </w:r>
          </w:p>
        </w:tc>
        <w:tc>
          <w:tcPr>
            <w:tcW w:w="2642" w:type="dxa"/>
            <w:vAlign w:val="center"/>
          </w:tcPr>
          <w:p w14:paraId="4C7CF502" w14:textId="7D928E22" w:rsidR="00F92CF0" w:rsidRDefault="00F92CF0" w:rsidP="00797E61">
            <w:pPr>
              <w:jc w:val="center"/>
            </w:pPr>
            <w:r>
              <w:t xml:space="preserve">Avec impact sur le niveau de service </w:t>
            </w:r>
            <w:r w:rsidR="00797E61">
              <w:t>perçu</w:t>
            </w:r>
            <w:r>
              <w:t xml:space="preserve"> par le GPM-Guyane</w:t>
            </w:r>
          </w:p>
        </w:tc>
        <w:tc>
          <w:tcPr>
            <w:tcW w:w="2643" w:type="dxa"/>
            <w:vAlign w:val="center"/>
          </w:tcPr>
          <w:p w14:paraId="70D03A5F" w14:textId="59D3B5DF" w:rsidR="00F92CF0" w:rsidRDefault="00F92CF0" w:rsidP="00797E61">
            <w:pPr>
              <w:jc w:val="center"/>
            </w:pPr>
            <w:r>
              <w:t xml:space="preserve">Sans impact sur le niveau de service </w:t>
            </w:r>
            <w:r w:rsidR="00797E61">
              <w:t>perçu</w:t>
            </w:r>
            <w:r>
              <w:t xml:space="preserve"> par le GPM-Guyane</w:t>
            </w:r>
          </w:p>
        </w:tc>
      </w:tr>
      <w:tr w:rsidR="00F92CF0" w14:paraId="4E8365DA" w14:textId="77777777" w:rsidTr="00797E61">
        <w:tc>
          <w:tcPr>
            <w:tcW w:w="2642" w:type="dxa"/>
            <w:vAlign w:val="center"/>
          </w:tcPr>
          <w:p w14:paraId="0FB27D5B" w14:textId="01CB35B2" w:rsidR="00F92CF0" w:rsidRDefault="00F92CF0" w:rsidP="00797E61">
            <w:pPr>
              <w:jc w:val="center"/>
            </w:pPr>
            <w:r>
              <w:t>Continu</w:t>
            </w:r>
          </w:p>
        </w:tc>
        <w:tc>
          <w:tcPr>
            <w:tcW w:w="2642" w:type="dxa"/>
            <w:vAlign w:val="center"/>
          </w:tcPr>
          <w:p w14:paraId="4D7FCC46" w14:textId="2C587F4D" w:rsidR="00F92CF0" w:rsidRDefault="00F92CF0" w:rsidP="00797E61">
            <w:pPr>
              <w:jc w:val="center"/>
            </w:pPr>
            <w:r>
              <w:t>400 Euros par mois</w:t>
            </w:r>
          </w:p>
        </w:tc>
        <w:tc>
          <w:tcPr>
            <w:tcW w:w="2643" w:type="dxa"/>
            <w:vAlign w:val="center"/>
          </w:tcPr>
          <w:p w14:paraId="3ACC6675" w14:textId="2670EAE5" w:rsidR="00F92CF0" w:rsidRDefault="00F92CF0" w:rsidP="00797E61">
            <w:pPr>
              <w:jc w:val="center"/>
            </w:pPr>
            <w:r>
              <w:t>100 euros par mois</w:t>
            </w:r>
          </w:p>
        </w:tc>
      </w:tr>
      <w:tr w:rsidR="00F92CF0" w14:paraId="72E0A6E1" w14:textId="77777777" w:rsidTr="00797E61">
        <w:tc>
          <w:tcPr>
            <w:tcW w:w="2642" w:type="dxa"/>
            <w:vAlign w:val="center"/>
          </w:tcPr>
          <w:p w14:paraId="21E743C0" w14:textId="1CA96A70" w:rsidR="00F92CF0" w:rsidRDefault="00F92CF0" w:rsidP="00797E61">
            <w:pPr>
              <w:jc w:val="center"/>
            </w:pPr>
            <w:r>
              <w:t>Ponctuel</w:t>
            </w:r>
          </w:p>
        </w:tc>
        <w:tc>
          <w:tcPr>
            <w:tcW w:w="2642" w:type="dxa"/>
            <w:vAlign w:val="center"/>
          </w:tcPr>
          <w:p w14:paraId="401ED146" w14:textId="1849BEB1" w:rsidR="00F92CF0" w:rsidRDefault="00F92CF0" w:rsidP="00797E61">
            <w:pPr>
              <w:jc w:val="center"/>
            </w:pPr>
            <w:r>
              <w:t>100 euros par occurrence</w:t>
            </w:r>
          </w:p>
        </w:tc>
        <w:tc>
          <w:tcPr>
            <w:tcW w:w="2643" w:type="dxa"/>
            <w:vAlign w:val="center"/>
          </w:tcPr>
          <w:p w14:paraId="794F50EE" w14:textId="6E47A7CD" w:rsidR="00F92CF0" w:rsidRDefault="00F92CF0" w:rsidP="00797E61">
            <w:pPr>
              <w:jc w:val="center"/>
            </w:pPr>
            <w:r>
              <w:t>50 euros par occurrence</w:t>
            </w:r>
          </w:p>
        </w:tc>
      </w:tr>
    </w:tbl>
    <w:p w14:paraId="760D775E" w14:textId="77777777" w:rsidR="00F92CF0" w:rsidRDefault="00F92CF0" w:rsidP="00F92CF0"/>
    <w:p w14:paraId="1BEC93DF" w14:textId="5B5F5CCA" w:rsidR="00E14BE0" w:rsidRDefault="00F92CF0" w:rsidP="00394727">
      <w:pPr>
        <w:pStyle w:val="Titre1"/>
        <w:rPr>
          <w:lang w:val="fr-BE"/>
        </w:rPr>
      </w:pPr>
      <w:bookmarkStart w:id="39" w:name="_Toc199759672"/>
      <w:r w:rsidRPr="007D52FC">
        <w:rPr>
          <w:lang w:val="fr-BE"/>
        </w:rPr>
        <w:t>NON-SUBSTITUTION DU PERSONNEL</w:t>
      </w:r>
      <w:bookmarkEnd w:id="39"/>
    </w:p>
    <w:p w14:paraId="34B209EA" w14:textId="77777777" w:rsidR="000B420A" w:rsidRDefault="000B420A" w:rsidP="000B420A">
      <w:pPr>
        <w:ind w:left="-1134"/>
        <w:jc w:val="both"/>
      </w:pPr>
      <w:r w:rsidRPr="000B420A">
        <w:t xml:space="preserve">Le </w:t>
      </w:r>
      <w:r>
        <w:t>candidat</w:t>
      </w:r>
      <w:r w:rsidRPr="000B420A">
        <w:t xml:space="preserve"> s'engage à maintenir, pendant toute la durée du marché, les intervenants désignés dans son offre et ayant participé à la phase de démarrage du projet. Toute demande de remplacement d’un membre de l’équipe affectée au marché devra faire l’objet d’une information préalable et motivée auprès </w:t>
      </w:r>
      <w:r w:rsidRPr="000B420A">
        <w:lastRenderedPageBreak/>
        <w:t>du pouvoir adjudicateur. Ce remplacement ne pourra intervenir qu’avec l’accord exprès de ce dernier, après présentation d’un profil de compétences équivalentes ou supérieures.</w:t>
      </w:r>
    </w:p>
    <w:p w14:paraId="3BCEC93E" w14:textId="77777777" w:rsidR="000B420A" w:rsidRDefault="000B420A" w:rsidP="000B420A">
      <w:pPr>
        <w:ind w:left="-1134"/>
        <w:jc w:val="both"/>
      </w:pPr>
      <w:r w:rsidRPr="000B420A">
        <w:t xml:space="preserve">Le </w:t>
      </w:r>
      <w:r>
        <w:t>candidat</w:t>
      </w:r>
      <w:r w:rsidRPr="000B420A">
        <w:t xml:space="preserve"> devra assurer une transmission complète des informations et garantir la continuité de service sans surcoût pour l’acheteur. </w:t>
      </w:r>
    </w:p>
    <w:p w14:paraId="182A27BD" w14:textId="5E1A8E37" w:rsidR="00E14BE0" w:rsidRDefault="000B420A" w:rsidP="000B420A">
      <w:pPr>
        <w:ind w:left="-1134"/>
        <w:jc w:val="both"/>
      </w:pPr>
      <w:r w:rsidRPr="000B420A">
        <w:t>En cas de non-respect de cette clause, des pénalités pourront être appliquées, notamment si le remplacement affecte le bon déroulement de la mission.</w:t>
      </w:r>
    </w:p>
    <w:p w14:paraId="2707037A" w14:textId="77777777" w:rsidR="000E0BAA" w:rsidRPr="002B77DB" w:rsidRDefault="000E0BAA" w:rsidP="000E0BAA">
      <w:pPr>
        <w:pStyle w:val="Titre1"/>
        <w:rPr>
          <w:lang w:val="fr-BE"/>
        </w:rPr>
      </w:pPr>
      <w:bookmarkStart w:id="40" w:name="_Toc199759674"/>
      <w:r w:rsidRPr="002B77DB">
        <w:rPr>
          <w:lang w:val="fr-BE"/>
        </w:rPr>
        <w:t>PROPRIÉTÉ INTELLECTUELLE DES LIVRABLES</w:t>
      </w:r>
      <w:bookmarkEnd w:id="40"/>
    </w:p>
    <w:p w14:paraId="22B05799" w14:textId="77777777" w:rsidR="000E0BAA" w:rsidRDefault="000E0BAA" w:rsidP="000E0BAA">
      <w:pPr>
        <w:ind w:left="-1134"/>
        <w:jc w:val="both"/>
        <w:rPr>
          <w:lang w:val="fr-BE"/>
        </w:rPr>
      </w:pPr>
      <w:r w:rsidRPr="002B77DB">
        <w:rPr>
          <w:lang w:val="fr-BE"/>
        </w:rPr>
        <w:t>Tous les résultats produits dans le cadre du marché, y compris les documents de travail, bilans, notices, matrices de risques, graphiques, et tout support associé, sont la propriété pleine et entière du pouvoir adjudicateur.</w:t>
      </w:r>
      <w:r w:rsidRPr="002B77DB">
        <w:rPr>
          <w:lang w:val="fr-BE"/>
        </w:rPr>
        <w:br/>
        <w:t>Le titulaire cède à titre exclusif, définitif et gratuit, l’ensemble des droits patrimoniaux relatifs aux livrables remis, sans limitation de durée ni de territoire.</w:t>
      </w:r>
    </w:p>
    <w:p w14:paraId="56D791F3" w14:textId="621D3DDB" w:rsidR="000E0BAA" w:rsidRPr="006440B8" w:rsidRDefault="000E0BAA" w:rsidP="000E0BAA">
      <w:pPr>
        <w:ind w:left="-1134"/>
        <w:jc w:val="both"/>
        <w:rPr>
          <w:lang w:val="fr-BE"/>
        </w:rPr>
      </w:pPr>
      <w:r w:rsidRPr="002B77DB">
        <w:rPr>
          <w:lang w:val="fr-BE"/>
        </w:rPr>
        <w:t>Aucun usage ultérieur, même partiel, ne pourra être effectué sans l’accord exprès du pouvoir adjudicateur.</w:t>
      </w:r>
    </w:p>
    <w:p w14:paraId="5A6B2286" w14:textId="14DFF072" w:rsidR="005211F3" w:rsidRPr="00BB0C87" w:rsidRDefault="005211F3" w:rsidP="00394727">
      <w:pPr>
        <w:pStyle w:val="Titre1"/>
      </w:pPr>
      <w:bookmarkStart w:id="41" w:name="_Toc161406961"/>
      <w:bookmarkStart w:id="42" w:name="_Toc199759675"/>
      <w:r w:rsidRPr="00BD48F4">
        <w:t>DIFFERENDS ET LITIGES</w:t>
      </w:r>
      <w:bookmarkEnd w:id="41"/>
      <w:bookmarkEnd w:id="42"/>
      <w:r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E752CB">
      <w:pPr>
        <w:spacing w:after="0" w:line="480" w:lineRule="auto"/>
        <w:ind w:left="-1134"/>
        <w:jc w:val="center"/>
      </w:pPr>
      <w:r w:rsidRPr="006972E7">
        <w:t>7, rue Schoelcher, B.P. 5030, 97305</w:t>
      </w:r>
    </w:p>
    <w:p w14:paraId="310AC55D" w14:textId="22B8B266" w:rsidR="005211F3" w:rsidRPr="00E752CB" w:rsidRDefault="00E752CB" w:rsidP="00E752CB">
      <w:pPr>
        <w:spacing w:after="0" w:line="480" w:lineRule="auto"/>
        <w:ind w:left="-1134"/>
        <w:jc w:val="center"/>
      </w:pPr>
      <w:r w:rsidRPr="006972E7">
        <w:t>Cayenne Cedex</w:t>
      </w:r>
      <w:r w:rsidRPr="006972E7">
        <w:br/>
        <w:t>05 94 25 49 70</w:t>
      </w:r>
      <w:r w:rsidRPr="006972E7">
        <w:br/>
      </w:r>
      <w:hyperlink r:id="rId9" w:history="1">
        <w:r w:rsidRPr="006972E7">
          <w:t>greffe.ta-cayenne@juradm.fr</w:t>
        </w:r>
      </w:hyperlink>
    </w:p>
    <w:p w14:paraId="2EAF69C1" w14:textId="203F7B33" w:rsidR="00791AA5" w:rsidRPr="002B59C6" w:rsidRDefault="008655B0" w:rsidP="000E0BAA">
      <w:pPr>
        <w:pStyle w:val="Titre1"/>
        <w:spacing w:before="0"/>
        <w:rPr>
          <w:lang w:val="fr-BE"/>
        </w:rPr>
      </w:pPr>
      <w:bookmarkStart w:id="43" w:name="_Toc199759676"/>
      <w:r w:rsidRPr="007D52FC">
        <w:rPr>
          <w:lang w:val="fr-BE"/>
        </w:rPr>
        <w:t>DÉROGATIONS AU CCAG</w:t>
      </w:r>
      <w:bookmarkEnd w:id="43"/>
    </w:p>
    <w:p w14:paraId="4B429680" w14:textId="77777777" w:rsidR="00A86924" w:rsidRPr="00A86924" w:rsidRDefault="00A86924" w:rsidP="00A86924">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A86924">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B2AE3AB" w14:textId="4E406C75" w:rsidR="00C917B4" w:rsidRDefault="00C917B4" w:rsidP="00C917B4">
      <w:pPr>
        <w:ind w:left="-1134"/>
        <w:rPr>
          <w:lang w:val="fr-BE"/>
        </w:rPr>
      </w:pPr>
      <w:r w:rsidRPr="00422C5A">
        <w:rPr>
          <w:lang w:val="fr-BE"/>
        </w:rPr>
        <w:t>L’article</w:t>
      </w:r>
      <w:r>
        <w:rPr>
          <w:lang w:val="fr-BE"/>
        </w:rPr>
        <w:t xml:space="preserve"> </w:t>
      </w:r>
      <w:r w:rsidR="00002A66">
        <w:rPr>
          <w:lang w:val="fr-BE"/>
        </w:rPr>
        <w:t xml:space="preserve">V </w:t>
      </w:r>
      <w:r w:rsidRPr="00422C5A">
        <w:rPr>
          <w:lang w:val="fr-BE"/>
        </w:rPr>
        <w:t xml:space="preserve">du CCAP déroge à l'article </w:t>
      </w:r>
      <w:r w:rsidR="00141473">
        <w:rPr>
          <w:lang w:val="fr-BE"/>
        </w:rPr>
        <w:t>14</w:t>
      </w:r>
      <w:r>
        <w:rPr>
          <w:lang w:val="fr-BE"/>
        </w:rPr>
        <w:t xml:space="preserve"> </w:t>
      </w:r>
      <w:r w:rsidRPr="00422C5A">
        <w:rPr>
          <w:lang w:val="fr-BE"/>
        </w:rPr>
        <w:t xml:space="preserve">du CCAG </w:t>
      </w:r>
      <w:r>
        <w:rPr>
          <w:lang w:val="fr-BE"/>
        </w:rPr>
        <w:t>Pénalités</w:t>
      </w:r>
      <w:r w:rsidR="00415745">
        <w:rPr>
          <w:lang w:val="fr-BE"/>
        </w:rPr>
        <w:t>.</w:t>
      </w:r>
    </w:p>
    <w:p w14:paraId="115D97C0" w14:textId="29519142" w:rsidR="00DB4605" w:rsidRDefault="00DB4605" w:rsidP="00914554">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10 </w:t>
      </w:r>
      <w:r w:rsidRPr="00422C5A">
        <w:rPr>
          <w:lang w:val="fr-BE"/>
        </w:rPr>
        <w:t xml:space="preserve">du CCAG </w:t>
      </w:r>
      <w:r>
        <w:rPr>
          <w:lang w:val="fr-BE"/>
        </w:rPr>
        <w:t>Prix.</w:t>
      </w:r>
    </w:p>
    <w:p w14:paraId="3781758C" w14:textId="55607374" w:rsidR="00141473" w:rsidRDefault="00141473" w:rsidP="00914554">
      <w:pPr>
        <w:rPr>
          <w:lang w:val="fr-BE"/>
        </w:rPr>
      </w:pPr>
    </w:p>
    <w:p w14:paraId="667AABEF" w14:textId="77777777" w:rsidR="007257A1" w:rsidRDefault="007257A1" w:rsidP="00141473">
      <w:pPr>
        <w:ind w:left="-1134"/>
        <w:rPr>
          <w:lang w:val="fr-BE"/>
        </w:rPr>
      </w:pPr>
    </w:p>
    <w:p w14:paraId="5EB3918B" w14:textId="77777777" w:rsidR="00B93C2A" w:rsidRPr="009C2EE7" w:rsidRDefault="00B93C2A" w:rsidP="009C2EE7">
      <w:pPr>
        <w:pStyle w:val="Paragraphedeliste"/>
        <w:numPr>
          <w:ilvl w:val="0"/>
          <w:numId w:val="0"/>
        </w:numPr>
        <w:ind w:left="-1134"/>
        <w:rPr>
          <w:lang w:val="fr-BE"/>
        </w:rPr>
      </w:pPr>
    </w:p>
    <w:sectPr w:rsidR="00B93C2A" w:rsidRPr="009C2EE7" w:rsidSect="00B05C99">
      <w:headerReference w:type="default" r:id="rId10"/>
      <w:footerReference w:type="default" r:id="rId11"/>
      <w:headerReference w:type="first" r:id="rId12"/>
      <w:footerReference w:type="first" r:id="rId13"/>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77C11" w14:textId="77777777" w:rsidR="00F5654D" w:rsidRDefault="00F5654D" w:rsidP="00584267">
      <w:pPr>
        <w:spacing w:after="0" w:line="240" w:lineRule="auto"/>
      </w:pPr>
      <w:r>
        <w:separator/>
      </w:r>
    </w:p>
  </w:endnote>
  <w:endnote w:type="continuationSeparator" w:id="0">
    <w:p w14:paraId="24628348" w14:textId="77777777" w:rsidR="00F5654D" w:rsidRDefault="00F5654D"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2D4098D5" w:rsidR="001F0574" w:rsidRPr="00AF14F3" w:rsidRDefault="001F0574" w:rsidP="00F700E3">
    <w:pPr>
      <w:pStyle w:val="Pieddepage"/>
      <w:ind w:left="-1843"/>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19A4F7F4" w:rsidR="00F700E3" w:rsidRPr="00072995" w:rsidRDefault="007F58DD" w:rsidP="00014415">
    <w:pPr>
      <w:pStyle w:val="Pieddepage"/>
      <w:ind w:left="-1701"/>
      <w:jc w:val="center"/>
      <w:rPr>
        <w:lang w:val="en-US"/>
      </w:rPr>
    </w:pPr>
    <w:r w:rsidRPr="00461F17">
      <w:t>GPM-</w:t>
    </w:r>
    <w:proofErr w:type="gramStart"/>
    <w:r w:rsidRPr="00461F17">
      <w:t xml:space="preserve">G </w:t>
    </w:r>
    <w:r>
      <w:t xml:space="preserve"> DPD</w:t>
    </w:r>
    <w:proofErr w:type="gramEnd"/>
    <w:r w:rsidRPr="00461F17">
      <w:t xml:space="preserve">-25-19 TARIFICATION </w:t>
    </w:r>
    <w:r>
      <w:t>RX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FA12F" w14:textId="77777777" w:rsidR="00F5654D" w:rsidRDefault="00F5654D" w:rsidP="00584267">
      <w:pPr>
        <w:spacing w:after="0" w:line="240" w:lineRule="auto"/>
      </w:pPr>
      <w:r>
        <w:separator/>
      </w:r>
    </w:p>
  </w:footnote>
  <w:footnote w:type="continuationSeparator" w:id="0">
    <w:p w14:paraId="61BB9505" w14:textId="77777777" w:rsidR="00F5654D" w:rsidRDefault="00F5654D"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78331AE6" w14:textId="34646B57" w:rsidR="00011E25" w:rsidRPr="00011E25" w:rsidRDefault="00B81017" w:rsidP="006C625F">
    <w:pPr>
      <w:pStyle w:val="Pieddepage"/>
      <w:tabs>
        <w:tab w:val="clear" w:pos="4536"/>
      </w:tabs>
      <w:ind w:right="-285"/>
      <w:jc w:val="both"/>
      <w:rPr>
        <w:b/>
        <w:bCs/>
      </w:rPr>
    </w:pP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05C2DDB4" w14:textId="3EEB8B21" w:rsidR="00F700E3" w:rsidRPr="004603EC" w:rsidRDefault="00F700E3" w:rsidP="00E24424">
    <w:pPr>
      <w:pStyle w:val="Pieddepage"/>
      <w:tabs>
        <w:tab w:val="clear" w:pos="4536"/>
      </w:tabs>
      <w:ind w:left="-1985" w:right="-285"/>
      <w:jc w:val="both"/>
      <w:rPr>
        <w:b/>
        <w:bCs/>
      </w:rPr>
    </w:pP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E271DB6"/>
    <w:multiLevelType w:val="multilevel"/>
    <w:tmpl w:val="634CBCB0"/>
    <w:lvl w:ilvl="0">
      <w:start w:val="1"/>
      <w:numFmt w:val="upperRoman"/>
      <w:pStyle w:val="Titre1"/>
      <w:lvlText w:val="Article %1."/>
      <w:lvlJc w:val="left"/>
      <w:pPr>
        <w:ind w:left="0" w:firstLine="0"/>
      </w:pPr>
      <w:rPr>
        <w:strike w:val="0"/>
      </w:rPr>
    </w:lvl>
    <w:lvl w:ilvl="1">
      <w:start w:val="1"/>
      <w:numFmt w:val="decimalZero"/>
      <w:pStyle w:val="Titre2"/>
      <w:isLgl/>
      <w:lvlText w:val="Section %1.%2"/>
      <w:lvlJc w:val="left"/>
      <w:pPr>
        <w:ind w:left="6947"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5"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1921059">
    <w:abstractNumId w:val="3"/>
  </w:num>
  <w:num w:numId="2" w16cid:durableId="1644382883">
    <w:abstractNumId w:val="2"/>
  </w:num>
  <w:num w:numId="3" w16cid:durableId="1086921220">
    <w:abstractNumId w:val="1"/>
  </w:num>
  <w:num w:numId="4" w16cid:durableId="333454829">
    <w:abstractNumId w:val="0"/>
  </w:num>
  <w:num w:numId="5" w16cid:durableId="1531256536">
    <w:abstractNumId w:val="9"/>
  </w:num>
  <w:num w:numId="6" w16cid:durableId="959069795">
    <w:abstractNumId w:val="8"/>
  </w:num>
  <w:num w:numId="7" w16cid:durableId="78990978">
    <w:abstractNumId w:val="6"/>
  </w:num>
  <w:num w:numId="8" w16cid:durableId="1851678019">
    <w:abstractNumId w:val="4"/>
  </w:num>
  <w:num w:numId="9" w16cid:durableId="2129886916">
    <w:abstractNumId w:val="7"/>
  </w:num>
  <w:num w:numId="10" w16cid:durableId="782966532">
    <w:abstractNumId w:val="10"/>
  </w:num>
  <w:num w:numId="11" w16cid:durableId="148728524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4415"/>
    <w:rsid w:val="00016BA3"/>
    <w:rsid w:val="00026183"/>
    <w:rsid w:val="00036A02"/>
    <w:rsid w:val="00040A45"/>
    <w:rsid w:val="0004139C"/>
    <w:rsid w:val="00043380"/>
    <w:rsid w:val="000559A4"/>
    <w:rsid w:val="00072995"/>
    <w:rsid w:val="00081493"/>
    <w:rsid w:val="00085AC9"/>
    <w:rsid w:val="000929E6"/>
    <w:rsid w:val="000A0133"/>
    <w:rsid w:val="000B0162"/>
    <w:rsid w:val="000B09C5"/>
    <w:rsid w:val="000B420A"/>
    <w:rsid w:val="000B4395"/>
    <w:rsid w:val="000B5E2A"/>
    <w:rsid w:val="000C358F"/>
    <w:rsid w:val="000D6B66"/>
    <w:rsid w:val="000E0BAA"/>
    <w:rsid w:val="000E104C"/>
    <w:rsid w:val="000E4550"/>
    <w:rsid w:val="000E4B9D"/>
    <w:rsid w:val="000E69EC"/>
    <w:rsid w:val="001054C7"/>
    <w:rsid w:val="00105AD3"/>
    <w:rsid w:val="0011434B"/>
    <w:rsid w:val="00115026"/>
    <w:rsid w:val="0011646A"/>
    <w:rsid w:val="00116CF5"/>
    <w:rsid w:val="001214BE"/>
    <w:rsid w:val="001219D1"/>
    <w:rsid w:val="0012287F"/>
    <w:rsid w:val="0012348F"/>
    <w:rsid w:val="00137429"/>
    <w:rsid w:val="0014089A"/>
    <w:rsid w:val="00141473"/>
    <w:rsid w:val="0014346E"/>
    <w:rsid w:val="00147018"/>
    <w:rsid w:val="001472DB"/>
    <w:rsid w:val="00155E90"/>
    <w:rsid w:val="00160267"/>
    <w:rsid w:val="00160624"/>
    <w:rsid w:val="00167632"/>
    <w:rsid w:val="00170134"/>
    <w:rsid w:val="00172D9C"/>
    <w:rsid w:val="00172E1A"/>
    <w:rsid w:val="001775AC"/>
    <w:rsid w:val="001817C1"/>
    <w:rsid w:val="00181BF8"/>
    <w:rsid w:val="00191A59"/>
    <w:rsid w:val="001A08EE"/>
    <w:rsid w:val="001B02C6"/>
    <w:rsid w:val="001B5B9D"/>
    <w:rsid w:val="001B69E6"/>
    <w:rsid w:val="001C1851"/>
    <w:rsid w:val="001C6529"/>
    <w:rsid w:val="001C7D3A"/>
    <w:rsid w:val="001D000E"/>
    <w:rsid w:val="001D2796"/>
    <w:rsid w:val="001E46F5"/>
    <w:rsid w:val="001F0574"/>
    <w:rsid w:val="001F1BCF"/>
    <w:rsid w:val="001F5D68"/>
    <w:rsid w:val="001F5FE6"/>
    <w:rsid w:val="00203D6C"/>
    <w:rsid w:val="002063E1"/>
    <w:rsid w:val="00212E61"/>
    <w:rsid w:val="00215AF5"/>
    <w:rsid w:val="00223CC1"/>
    <w:rsid w:val="0022466F"/>
    <w:rsid w:val="00236474"/>
    <w:rsid w:val="0024001C"/>
    <w:rsid w:val="00243F24"/>
    <w:rsid w:val="002467E2"/>
    <w:rsid w:val="00247CE8"/>
    <w:rsid w:val="0025161C"/>
    <w:rsid w:val="0026464C"/>
    <w:rsid w:val="0027164C"/>
    <w:rsid w:val="00272836"/>
    <w:rsid w:val="00275745"/>
    <w:rsid w:val="00281D17"/>
    <w:rsid w:val="00281F9C"/>
    <w:rsid w:val="00284865"/>
    <w:rsid w:val="0028762B"/>
    <w:rsid w:val="0029040A"/>
    <w:rsid w:val="002961DF"/>
    <w:rsid w:val="002A0663"/>
    <w:rsid w:val="002A1980"/>
    <w:rsid w:val="002A3B03"/>
    <w:rsid w:val="002B29CD"/>
    <w:rsid w:val="002B4816"/>
    <w:rsid w:val="002B59C6"/>
    <w:rsid w:val="002B77DB"/>
    <w:rsid w:val="002B78C1"/>
    <w:rsid w:val="002C11BD"/>
    <w:rsid w:val="002C6C58"/>
    <w:rsid w:val="002C6D7A"/>
    <w:rsid w:val="002D7ACA"/>
    <w:rsid w:val="002E22B3"/>
    <w:rsid w:val="00301A60"/>
    <w:rsid w:val="00303C91"/>
    <w:rsid w:val="00313C44"/>
    <w:rsid w:val="00315909"/>
    <w:rsid w:val="003240B6"/>
    <w:rsid w:val="00327534"/>
    <w:rsid w:val="00344C15"/>
    <w:rsid w:val="00362823"/>
    <w:rsid w:val="00376678"/>
    <w:rsid w:val="00385D2E"/>
    <w:rsid w:val="00385D66"/>
    <w:rsid w:val="0038697D"/>
    <w:rsid w:val="00394727"/>
    <w:rsid w:val="00397B13"/>
    <w:rsid w:val="003A1420"/>
    <w:rsid w:val="003A5DCC"/>
    <w:rsid w:val="003B5381"/>
    <w:rsid w:val="003C26A1"/>
    <w:rsid w:val="003C3C74"/>
    <w:rsid w:val="003C65E8"/>
    <w:rsid w:val="003D0E2C"/>
    <w:rsid w:val="003D2A96"/>
    <w:rsid w:val="003E0348"/>
    <w:rsid w:val="003E4DA4"/>
    <w:rsid w:val="003E58B4"/>
    <w:rsid w:val="003F1DDC"/>
    <w:rsid w:val="003F7627"/>
    <w:rsid w:val="003F7E04"/>
    <w:rsid w:val="004063F8"/>
    <w:rsid w:val="00415745"/>
    <w:rsid w:val="004164A8"/>
    <w:rsid w:val="00422C5A"/>
    <w:rsid w:val="0043241D"/>
    <w:rsid w:val="00433D73"/>
    <w:rsid w:val="004346A4"/>
    <w:rsid w:val="00441E32"/>
    <w:rsid w:val="004472C5"/>
    <w:rsid w:val="004523D4"/>
    <w:rsid w:val="00456C77"/>
    <w:rsid w:val="00462C55"/>
    <w:rsid w:val="004657BA"/>
    <w:rsid w:val="00466C84"/>
    <w:rsid w:val="00471D3D"/>
    <w:rsid w:val="00476055"/>
    <w:rsid w:val="00484E63"/>
    <w:rsid w:val="0048775C"/>
    <w:rsid w:val="00487F5D"/>
    <w:rsid w:val="0049246B"/>
    <w:rsid w:val="004977C9"/>
    <w:rsid w:val="004A1961"/>
    <w:rsid w:val="004A21DC"/>
    <w:rsid w:val="004A638C"/>
    <w:rsid w:val="004B472A"/>
    <w:rsid w:val="004B58D4"/>
    <w:rsid w:val="004B662D"/>
    <w:rsid w:val="004C1A95"/>
    <w:rsid w:val="004C4623"/>
    <w:rsid w:val="004D46DE"/>
    <w:rsid w:val="004D61E0"/>
    <w:rsid w:val="004E029F"/>
    <w:rsid w:val="004E428C"/>
    <w:rsid w:val="004E5A16"/>
    <w:rsid w:val="004F36E3"/>
    <w:rsid w:val="005016CC"/>
    <w:rsid w:val="0050623B"/>
    <w:rsid w:val="00516003"/>
    <w:rsid w:val="005211F3"/>
    <w:rsid w:val="005237D3"/>
    <w:rsid w:val="00541445"/>
    <w:rsid w:val="00541D56"/>
    <w:rsid w:val="00543129"/>
    <w:rsid w:val="005452DB"/>
    <w:rsid w:val="00556382"/>
    <w:rsid w:val="00563060"/>
    <w:rsid w:val="00563F22"/>
    <w:rsid w:val="0057346D"/>
    <w:rsid w:val="0057675B"/>
    <w:rsid w:val="00584267"/>
    <w:rsid w:val="005862B7"/>
    <w:rsid w:val="005929C1"/>
    <w:rsid w:val="005942A3"/>
    <w:rsid w:val="00597990"/>
    <w:rsid w:val="005A4599"/>
    <w:rsid w:val="005B09A7"/>
    <w:rsid w:val="005B229F"/>
    <w:rsid w:val="005B63BC"/>
    <w:rsid w:val="005C24A7"/>
    <w:rsid w:val="005C7312"/>
    <w:rsid w:val="005C7ED0"/>
    <w:rsid w:val="005D4CB8"/>
    <w:rsid w:val="005E6F97"/>
    <w:rsid w:val="005F2EFA"/>
    <w:rsid w:val="005F2FA6"/>
    <w:rsid w:val="005F4F8D"/>
    <w:rsid w:val="00600003"/>
    <w:rsid w:val="00600B01"/>
    <w:rsid w:val="006051E0"/>
    <w:rsid w:val="006105D1"/>
    <w:rsid w:val="0061130B"/>
    <w:rsid w:val="0061446C"/>
    <w:rsid w:val="006176F4"/>
    <w:rsid w:val="00640AA8"/>
    <w:rsid w:val="00641218"/>
    <w:rsid w:val="006440B8"/>
    <w:rsid w:val="00644F84"/>
    <w:rsid w:val="00646344"/>
    <w:rsid w:val="006470CA"/>
    <w:rsid w:val="00647AFF"/>
    <w:rsid w:val="0065397B"/>
    <w:rsid w:val="00657430"/>
    <w:rsid w:val="00657E06"/>
    <w:rsid w:val="00666799"/>
    <w:rsid w:val="00671FF5"/>
    <w:rsid w:val="006728D4"/>
    <w:rsid w:val="00674513"/>
    <w:rsid w:val="006912B1"/>
    <w:rsid w:val="00694703"/>
    <w:rsid w:val="0069511D"/>
    <w:rsid w:val="006A3C2D"/>
    <w:rsid w:val="006A554C"/>
    <w:rsid w:val="006A5945"/>
    <w:rsid w:val="006A643F"/>
    <w:rsid w:val="006A762A"/>
    <w:rsid w:val="006A79CD"/>
    <w:rsid w:val="006B3E36"/>
    <w:rsid w:val="006C625F"/>
    <w:rsid w:val="006D43B1"/>
    <w:rsid w:val="006D6EB7"/>
    <w:rsid w:val="006E2FFD"/>
    <w:rsid w:val="006E3ED0"/>
    <w:rsid w:val="006E69C7"/>
    <w:rsid w:val="006E72C7"/>
    <w:rsid w:val="006F4887"/>
    <w:rsid w:val="00710E3D"/>
    <w:rsid w:val="00713476"/>
    <w:rsid w:val="00717480"/>
    <w:rsid w:val="00717F58"/>
    <w:rsid w:val="007257A1"/>
    <w:rsid w:val="00732376"/>
    <w:rsid w:val="00732D58"/>
    <w:rsid w:val="00737552"/>
    <w:rsid w:val="00743CBC"/>
    <w:rsid w:val="007508B8"/>
    <w:rsid w:val="00764735"/>
    <w:rsid w:val="00764BA7"/>
    <w:rsid w:val="0076674D"/>
    <w:rsid w:val="00772027"/>
    <w:rsid w:val="00772C55"/>
    <w:rsid w:val="00782B1B"/>
    <w:rsid w:val="00783ED7"/>
    <w:rsid w:val="0078456C"/>
    <w:rsid w:val="0078747A"/>
    <w:rsid w:val="00791AA5"/>
    <w:rsid w:val="007931BE"/>
    <w:rsid w:val="00796CE6"/>
    <w:rsid w:val="00797596"/>
    <w:rsid w:val="0079766A"/>
    <w:rsid w:val="00797E61"/>
    <w:rsid w:val="007A0FE4"/>
    <w:rsid w:val="007A10A3"/>
    <w:rsid w:val="007A44EC"/>
    <w:rsid w:val="007A6150"/>
    <w:rsid w:val="007B017C"/>
    <w:rsid w:val="007B6309"/>
    <w:rsid w:val="007B75FD"/>
    <w:rsid w:val="007C04BF"/>
    <w:rsid w:val="007C4D05"/>
    <w:rsid w:val="007D52FC"/>
    <w:rsid w:val="007F1BF1"/>
    <w:rsid w:val="007F58DD"/>
    <w:rsid w:val="007F7E40"/>
    <w:rsid w:val="008012C0"/>
    <w:rsid w:val="00802221"/>
    <w:rsid w:val="00805097"/>
    <w:rsid w:val="00805A2D"/>
    <w:rsid w:val="008062D1"/>
    <w:rsid w:val="00816BD7"/>
    <w:rsid w:val="00820680"/>
    <w:rsid w:val="008252EA"/>
    <w:rsid w:val="00830216"/>
    <w:rsid w:val="0083623B"/>
    <w:rsid w:val="008371C4"/>
    <w:rsid w:val="008376D0"/>
    <w:rsid w:val="00854AB1"/>
    <w:rsid w:val="00855C60"/>
    <w:rsid w:val="008655B0"/>
    <w:rsid w:val="00874DF7"/>
    <w:rsid w:val="008807F8"/>
    <w:rsid w:val="00883B53"/>
    <w:rsid w:val="008847A6"/>
    <w:rsid w:val="008945E5"/>
    <w:rsid w:val="008A6734"/>
    <w:rsid w:val="008C1E61"/>
    <w:rsid w:val="008D7BB1"/>
    <w:rsid w:val="008E3D10"/>
    <w:rsid w:val="008E4863"/>
    <w:rsid w:val="008F2E64"/>
    <w:rsid w:val="008F445F"/>
    <w:rsid w:val="00905E14"/>
    <w:rsid w:val="00914554"/>
    <w:rsid w:val="00924E52"/>
    <w:rsid w:val="009268D9"/>
    <w:rsid w:val="00930FE0"/>
    <w:rsid w:val="00934257"/>
    <w:rsid w:val="00934DA0"/>
    <w:rsid w:val="00937D9E"/>
    <w:rsid w:val="00941476"/>
    <w:rsid w:val="009431F5"/>
    <w:rsid w:val="0095093B"/>
    <w:rsid w:val="00952B41"/>
    <w:rsid w:val="00962FD5"/>
    <w:rsid w:val="009642F3"/>
    <w:rsid w:val="0097218E"/>
    <w:rsid w:val="0097650D"/>
    <w:rsid w:val="00976CED"/>
    <w:rsid w:val="00980711"/>
    <w:rsid w:val="00986973"/>
    <w:rsid w:val="00993119"/>
    <w:rsid w:val="0099640B"/>
    <w:rsid w:val="009A073E"/>
    <w:rsid w:val="009B355E"/>
    <w:rsid w:val="009B58E1"/>
    <w:rsid w:val="009C020E"/>
    <w:rsid w:val="009C2EE7"/>
    <w:rsid w:val="009D7405"/>
    <w:rsid w:val="009E09AE"/>
    <w:rsid w:val="009E10E7"/>
    <w:rsid w:val="009F0371"/>
    <w:rsid w:val="00A016C9"/>
    <w:rsid w:val="00A02579"/>
    <w:rsid w:val="00A03845"/>
    <w:rsid w:val="00A03A89"/>
    <w:rsid w:val="00A06F4D"/>
    <w:rsid w:val="00A070F6"/>
    <w:rsid w:val="00A23C24"/>
    <w:rsid w:val="00A3478B"/>
    <w:rsid w:val="00A34C10"/>
    <w:rsid w:val="00A34F17"/>
    <w:rsid w:val="00A36D7D"/>
    <w:rsid w:val="00A37FAC"/>
    <w:rsid w:val="00A41AAB"/>
    <w:rsid w:val="00A42EA3"/>
    <w:rsid w:val="00A46B9F"/>
    <w:rsid w:val="00A5021C"/>
    <w:rsid w:val="00A65A30"/>
    <w:rsid w:val="00A67102"/>
    <w:rsid w:val="00A74891"/>
    <w:rsid w:val="00A86924"/>
    <w:rsid w:val="00A94E93"/>
    <w:rsid w:val="00A96E74"/>
    <w:rsid w:val="00A97923"/>
    <w:rsid w:val="00AA5C2F"/>
    <w:rsid w:val="00AA7022"/>
    <w:rsid w:val="00AB337F"/>
    <w:rsid w:val="00AD0A7E"/>
    <w:rsid w:val="00AD13B3"/>
    <w:rsid w:val="00AD1887"/>
    <w:rsid w:val="00AD26C0"/>
    <w:rsid w:val="00AD4FF0"/>
    <w:rsid w:val="00AD5C21"/>
    <w:rsid w:val="00AE311A"/>
    <w:rsid w:val="00AE3274"/>
    <w:rsid w:val="00AE5FD6"/>
    <w:rsid w:val="00AF14F3"/>
    <w:rsid w:val="00AF4186"/>
    <w:rsid w:val="00AF5AD9"/>
    <w:rsid w:val="00AF643D"/>
    <w:rsid w:val="00AF7940"/>
    <w:rsid w:val="00AF7D4C"/>
    <w:rsid w:val="00B03C9C"/>
    <w:rsid w:val="00B05C99"/>
    <w:rsid w:val="00B10575"/>
    <w:rsid w:val="00B35624"/>
    <w:rsid w:val="00B35DC6"/>
    <w:rsid w:val="00B370F9"/>
    <w:rsid w:val="00B40510"/>
    <w:rsid w:val="00B46982"/>
    <w:rsid w:val="00B51409"/>
    <w:rsid w:val="00B51833"/>
    <w:rsid w:val="00B705C7"/>
    <w:rsid w:val="00B81017"/>
    <w:rsid w:val="00B93C2A"/>
    <w:rsid w:val="00BA0250"/>
    <w:rsid w:val="00BA4B4D"/>
    <w:rsid w:val="00BA75A6"/>
    <w:rsid w:val="00BB0C87"/>
    <w:rsid w:val="00BB196B"/>
    <w:rsid w:val="00BB196C"/>
    <w:rsid w:val="00BB794F"/>
    <w:rsid w:val="00BC1B6A"/>
    <w:rsid w:val="00BC1C14"/>
    <w:rsid w:val="00BC72DE"/>
    <w:rsid w:val="00BD14E0"/>
    <w:rsid w:val="00BD585E"/>
    <w:rsid w:val="00BD754A"/>
    <w:rsid w:val="00BF30A4"/>
    <w:rsid w:val="00BF796B"/>
    <w:rsid w:val="00BF7B0C"/>
    <w:rsid w:val="00C04A95"/>
    <w:rsid w:val="00C067AC"/>
    <w:rsid w:val="00C127E9"/>
    <w:rsid w:val="00C1439A"/>
    <w:rsid w:val="00C202DE"/>
    <w:rsid w:val="00C2646B"/>
    <w:rsid w:val="00C268B6"/>
    <w:rsid w:val="00C353D6"/>
    <w:rsid w:val="00C42B43"/>
    <w:rsid w:val="00C43A21"/>
    <w:rsid w:val="00C53F46"/>
    <w:rsid w:val="00C569AB"/>
    <w:rsid w:val="00C63855"/>
    <w:rsid w:val="00C653D1"/>
    <w:rsid w:val="00C66A18"/>
    <w:rsid w:val="00C66E3F"/>
    <w:rsid w:val="00C729D2"/>
    <w:rsid w:val="00C805D8"/>
    <w:rsid w:val="00C80B79"/>
    <w:rsid w:val="00C83A6C"/>
    <w:rsid w:val="00C917B4"/>
    <w:rsid w:val="00CA5601"/>
    <w:rsid w:val="00CA6DDB"/>
    <w:rsid w:val="00CB0D22"/>
    <w:rsid w:val="00CB6B4F"/>
    <w:rsid w:val="00CE19D2"/>
    <w:rsid w:val="00CE497E"/>
    <w:rsid w:val="00CE6783"/>
    <w:rsid w:val="00CE6C02"/>
    <w:rsid w:val="00CF0260"/>
    <w:rsid w:val="00CF13AB"/>
    <w:rsid w:val="00CF5DF7"/>
    <w:rsid w:val="00D06DD8"/>
    <w:rsid w:val="00D07B14"/>
    <w:rsid w:val="00D110C4"/>
    <w:rsid w:val="00D111EF"/>
    <w:rsid w:val="00D2142C"/>
    <w:rsid w:val="00D4231B"/>
    <w:rsid w:val="00D46C02"/>
    <w:rsid w:val="00D474A2"/>
    <w:rsid w:val="00D5141E"/>
    <w:rsid w:val="00D52388"/>
    <w:rsid w:val="00D6530D"/>
    <w:rsid w:val="00D67774"/>
    <w:rsid w:val="00D70F4D"/>
    <w:rsid w:val="00D73B75"/>
    <w:rsid w:val="00D74FDF"/>
    <w:rsid w:val="00D7666F"/>
    <w:rsid w:val="00D86540"/>
    <w:rsid w:val="00D95BE6"/>
    <w:rsid w:val="00D95F18"/>
    <w:rsid w:val="00DA19D3"/>
    <w:rsid w:val="00DA374D"/>
    <w:rsid w:val="00DA3E9A"/>
    <w:rsid w:val="00DB4605"/>
    <w:rsid w:val="00DC0640"/>
    <w:rsid w:val="00DC4478"/>
    <w:rsid w:val="00DC4D49"/>
    <w:rsid w:val="00DD0556"/>
    <w:rsid w:val="00DD5647"/>
    <w:rsid w:val="00DD5AE2"/>
    <w:rsid w:val="00DD6D92"/>
    <w:rsid w:val="00DD701C"/>
    <w:rsid w:val="00DE2C14"/>
    <w:rsid w:val="00DE42E9"/>
    <w:rsid w:val="00DE59EF"/>
    <w:rsid w:val="00DF150B"/>
    <w:rsid w:val="00DF2C6B"/>
    <w:rsid w:val="00DF45FD"/>
    <w:rsid w:val="00DF5713"/>
    <w:rsid w:val="00DF5AE9"/>
    <w:rsid w:val="00DF7FAD"/>
    <w:rsid w:val="00E031B9"/>
    <w:rsid w:val="00E04C64"/>
    <w:rsid w:val="00E14BE0"/>
    <w:rsid w:val="00E15EDD"/>
    <w:rsid w:val="00E20A77"/>
    <w:rsid w:val="00E237F0"/>
    <w:rsid w:val="00E24424"/>
    <w:rsid w:val="00E255E4"/>
    <w:rsid w:val="00E27705"/>
    <w:rsid w:val="00E3130F"/>
    <w:rsid w:val="00E33558"/>
    <w:rsid w:val="00E35425"/>
    <w:rsid w:val="00E42313"/>
    <w:rsid w:val="00E52AA3"/>
    <w:rsid w:val="00E546E2"/>
    <w:rsid w:val="00E62BE3"/>
    <w:rsid w:val="00E700B0"/>
    <w:rsid w:val="00E709A1"/>
    <w:rsid w:val="00E752CB"/>
    <w:rsid w:val="00E829C7"/>
    <w:rsid w:val="00E86A18"/>
    <w:rsid w:val="00E91FBA"/>
    <w:rsid w:val="00E92AB9"/>
    <w:rsid w:val="00E92DD4"/>
    <w:rsid w:val="00E94376"/>
    <w:rsid w:val="00E95C85"/>
    <w:rsid w:val="00E9718A"/>
    <w:rsid w:val="00EA00D1"/>
    <w:rsid w:val="00EA1013"/>
    <w:rsid w:val="00EA126C"/>
    <w:rsid w:val="00EB38F7"/>
    <w:rsid w:val="00EC7FC3"/>
    <w:rsid w:val="00ED1D3D"/>
    <w:rsid w:val="00ED3F99"/>
    <w:rsid w:val="00EE3892"/>
    <w:rsid w:val="00EE7661"/>
    <w:rsid w:val="00EF60D6"/>
    <w:rsid w:val="00EF6D81"/>
    <w:rsid w:val="00F06348"/>
    <w:rsid w:val="00F202B1"/>
    <w:rsid w:val="00F22895"/>
    <w:rsid w:val="00F26CAA"/>
    <w:rsid w:val="00F270FF"/>
    <w:rsid w:val="00F340B8"/>
    <w:rsid w:val="00F3442F"/>
    <w:rsid w:val="00F5654D"/>
    <w:rsid w:val="00F63B60"/>
    <w:rsid w:val="00F653FB"/>
    <w:rsid w:val="00F65780"/>
    <w:rsid w:val="00F700E3"/>
    <w:rsid w:val="00F70B95"/>
    <w:rsid w:val="00F8009E"/>
    <w:rsid w:val="00F838BC"/>
    <w:rsid w:val="00F877EA"/>
    <w:rsid w:val="00F92CF0"/>
    <w:rsid w:val="00F94620"/>
    <w:rsid w:val="00F978E9"/>
    <w:rsid w:val="00FA23EF"/>
    <w:rsid w:val="00FA41B4"/>
    <w:rsid w:val="00FA45D5"/>
    <w:rsid w:val="00FB4656"/>
    <w:rsid w:val="00FC0B04"/>
    <w:rsid w:val="00FC647E"/>
    <w:rsid w:val="00FD0EBD"/>
    <w:rsid w:val="00FD1239"/>
    <w:rsid w:val="00FE355A"/>
    <w:rsid w:val="00FE5DEF"/>
    <w:rsid w:val="00FF0DDE"/>
    <w:rsid w:val="00FF2F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394727"/>
    <w:pPr>
      <w:keepNext/>
      <w:keepLines/>
      <w:numPr>
        <w:numId w:val="8"/>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D7405"/>
    <w:pPr>
      <w:numPr>
        <w:ilvl w:val="1"/>
        <w:numId w:val="8"/>
      </w:numPr>
      <w:spacing w:before="120" w:after="120" w:line="240" w:lineRule="auto"/>
      <w:ind w:left="568"/>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D7405"/>
    <w:pPr>
      <w:numPr>
        <w:ilvl w:val="2"/>
        <w:numId w:val="8"/>
      </w:numPr>
      <w:tabs>
        <w:tab w:val="left" w:pos="426"/>
      </w:tabs>
      <w:spacing w:before="24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394727"/>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D740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D7405"/>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15179446">
      <w:bodyDiv w:val="1"/>
      <w:marLeft w:val="0"/>
      <w:marRight w:val="0"/>
      <w:marTop w:val="0"/>
      <w:marBottom w:val="0"/>
      <w:divBdr>
        <w:top w:val="none" w:sz="0" w:space="0" w:color="auto"/>
        <w:left w:val="none" w:sz="0" w:space="0" w:color="auto"/>
        <w:bottom w:val="none" w:sz="0" w:space="0" w:color="auto"/>
        <w:right w:val="none" w:sz="0" w:space="0" w:color="auto"/>
      </w:divBdr>
      <w:divsChild>
        <w:div w:id="7709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812630">
      <w:bodyDiv w:val="1"/>
      <w:marLeft w:val="0"/>
      <w:marRight w:val="0"/>
      <w:marTop w:val="0"/>
      <w:marBottom w:val="0"/>
      <w:divBdr>
        <w:top w:val="none" w:sz="0" w:space="0" w:color="auto"/>
        <w:left w:val="none" w:sz="0" w:space="0" w:color="auto"/>
        <w:bottom w:val="none" w:sz="0" w:space="0" w:color="auto"/>
        <w:right w:val="none" w:sz="0" w:space="0" w:color="auto"/>
      </w:divBdr>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1710511">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00885504">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7094457">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3719894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8937297">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26658759">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08369319">
      <w:bodyDiv w:val="1"/>
      <w:marLeft w:val="0"/>
      <w:marRight w:val="0"/>
      <w:marTop w:val="0"/>
      <w:marBottom w:val="0"/>
      <w:divBdr>
        <w:top w:val="none" w:sz="0" w:space="0" w:color="auto"/>
        <w:left w:val="none" w:sz="0" w:space="0" w:color="auto"/>
        <w:bottom w:val="none" w:sz="0" w:space="0" w:color="auto"/>
        <w:right w:val="none" w:sz="0" w:space="0" w:color="auto"/>
      </w:divBdr>
      <w:divsChild>
        <w:div w:id="79941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659724">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598030059">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018131">
      <w:bodyDiv w:val="1"/>
      <w:marLeft w:val="0"/>
      <w:marRight w:val="0"/>
      <w:marTop w:val="0"/>
      <w:marBottom w:val="0"/>
      <w:divBdr>
        <w:top w:val="none" w:sz="0" w:space="0" w:color="auto"/>
        <w:left w:val="none" w:sz="0" w:space="0" w:color="auto"/>
        <w:bottom w:val="none" w:sz="0" w:space="0" w:color="auto"/>
        <w:right w:val="none" w:sz="0" w:space="0" w:color="auto"/>
      </w:divBdr>
    </w:div>
    <w:div w:id="909118558">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0793320">
      <w:bodyDiv w:val="1"/>
      <w:marLeft w:val="0"/>
      <w:marRight w:val="0"/>
      <w:marTop w:val="0"/>
      <w:marBottom w:val="0"/>
      <w:divBdr>
        <w:top w:val="none" w:sz="0" w:space="0" w:color="auto"/>
        <w:left w:val="none" w:sz="0" w:space="0" w:color="auto"/>
        <w:bottom w:val="none" w:sz="0" w:space="0" w:color="auto"/>
        <w:right w:val="none" w:sz="0" w:space="0" w:color="auto"/>
      </w:divBdr>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1981562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9305133">
      <w:bodyDiv w:val="1"/>
      <w:marLeft w:val="0"/>
      <w:marRight w:val="0"/>
      <w:marTop w:val="0"/>
      <w:marBottom w:val="0"/>
      <w:divBdr>
        <w:top w:val="none" w:sz="0" w:space="0" w:color="auto"/>
        <w:left w:val="none" w:sz="0" w:space="0" w:color="auto"/>
        <w:bottom w:val="none" w:sz="0" w:space="0" w:color="auto"/>
        <w:right w:val="none" w:sz="0" w:space="0" w:color="auto"/>
      </w:divBdr>
    </w:div>
    <w:div w:id="1114865494">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0960629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249007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595612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0153312">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34230491">
      <w:bodyDiv w:val="1"/>
      <w:marLeft w:val="0"/>
      <w:marRight w:val="0"/>
      <w:marTop w:val="0"/>
      <w:marBottom w:val="0"/>
      <w:divBdr>
        <w:top w:val="none" w:sz="0" w:space="0" w:color="auto"/>
        <w:left w:val="none" w:sz="0" w:space="0" w:color="auto"/>
        <w:bottom w:val="none" w:sz="0" w:space="0" w:color="auto"/>
        <w:right w:val="none" w:sz="0" w:space="0" w:color="auto"/>
      </w:divBdr>
    </w:div>
    <w:div w:id="1555119994">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3199155">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36181687">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46935514">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7246243">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797219051">
      <w:bodyDiv w:val="1"/>
      <w:marLeft w:val="0"/>
      <w:marRight w:val="0"/>
      <w:marTop w:val="0"/>
      <w:marBottom w:val="0"/>
      <w:divBdr>
        <w:top w:val="none" w:sz="0" w:space="0" w:color="auto"/>
        <w:left w:val="none" w:sz="0" w:space="0" w:color="auto"/>
        <w:bottom w:val="none" w:sz="0" w:space="0" w:color="auto"/>
        <w:right w:val="none" w:sz="0" w:space="0" w:color="auto"/>
      </w:divBdr>
    </w:div>
    <w:div w:id="1847011581">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1954095246">
      <w:bodyDiv w:val="1"/>
      <w:marLeft w:val="0"/>
      <w:marRight w:val="0"/>
      <w:marTop w:val="0"/>
      <w:marBottom w:val="0"/>
      <w:divBdr>
        <w:top w:val="none" w:sz="0" w:space="0" w:color="auto"/>
        <w:left w:val="none" w:sz="0" w:space="0" w:color="auto"/>
        <w:bottom w:val="none" w:sz="0" w:space="0" w:color="auto"/>
        <w:right w:val="none" w:sz="0" w:space="0" w:color="auto"/>
      </w:divBdr>
    </w:div>
    <w:div w:id="200107911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4592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ffe.ta-cayenne@juradm.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9CF55-8C63-48E2-9170-6D2D11DD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2203</Words>
  <Characters>12121</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2025-06-23T20:56:00Z</dcterms:created>
  <dcterms:modified xsi:type="dcterms:W3CDTF">2025-06-23T20:56:00Z</dcterms:modified>
</cp:coreProperties>
</file>