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5AA2A175" w:rsidR="00F700E3" w:rsidRDefault="006774A2" w:rsidP="00930FE0">
      <w:pPr>
        <w:pStyle w:val="Titre"/>
      </w:pPr>
      <w:r>
        <w:t xml:space="preserve"> </w:t>
      </w:r>
    </w:p>
    <w:p w14:paraId="513FFDAB" w14:textId="77777777" w:rsidR="00F700E3" w:rsidRDefault="00F700E3" w:rsidP="00930FE0">
      <w:pPr>
        <w:pStyle w:val="Titre"/>
      </w:pP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3C7C07">
        <w:trPr>
          <w:trHeight w:val="832"/>
        </w:trPr>
        <w:tc>
          <w:tcPr>
            <w:tcW w:w="9212" w:type="dxa"/>
            <w:shd w:val="clear" w:color="auto" w:fill="B8CCE4" w:themeFill="accent1" w:themeFillTint="66"/>
          </w:tcPr>
          <w:p w14:paraId="2C224B59" w14:textId="6CD26059" w:rsidR="00AA7022" w:rsidRDefault="00AA7022" w:rsidP="003C7C07">
            <w:pPr>
              <w:jc w:val="center"/>
            </w:pPr>
            <w:bookmarkStart w:id="0" w:name="_Hlk124941050"/>
            <w:r w:rsidRPr="00AA7022">
              <w:t xml:space="preserve">Cahier des Clauses Techniques </w:t>
            </w:r>
            <w:r w:rsidR="002C6C58">
              <w:t>Administratives Particulières</w:t>
            </w:r>
            <w:r w:rsidRPr="00AA7022">
              <w:t xml:space="preserve"> </w:t>
            </w:r>
          </w:p>
          <w:p w14:paraId="44AAFC32" w14:textId="41262DBA" w:rsidR="002C6C58" w:rsidRPr="0081719C" w:rsidRDefault="00F700E3" w:rsidP="002C6C58">
            <w:pPr>
              <w:jc w:val="center"/>
            </w:pPr>
            <w:r w:rsidRPr="0081719C">
              <w:t>(</w:t>
            </w:r>
            <w:r w:rsidR="00AA7022">
              <w:t>C</w:t>
            </w:r>
            <w:r w:rsidRPr="0081719C">
              <w:t>.</w:t>
            </w:r>
            <w:r w:rsidR="00AA7022">
              <w:t>C.</w:t>
            </w:r>
            <w:r w:rsidR="002C6C58">
              <w:t>A</w:t>
            </w:r>
            <w:r w:rsidR="00AA7022">
              <w:t>.P</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3C7C07">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6192C9B0" w14:textId="41A7BD7E" w:rsidR="002B4816" w:rsidRDefault="002B4816" w:rsidP="002B4816">
            <w:pPr>
              <w:pStyle w:val="En-tte"/>
              <w:ind w:left="22"/>
              <w:jc w:val="center"/>
              <w:rPr>
                <w:b/>
                <w:bCs/>
              </w:rPr>
            </w:pPr>
            <w:r w:rsidRPr="00707212">
              <w:rPr>
                <w:b/>
                <w:bCs/>
              </w:rPr>
              <w:t>Mise en place d'un Système d'Information des Ressources Humaines (SIRH) pour le Grand Port Maritime de Guyane</w:t>
            </w:r>
          </w:p>
          <w:p w14:paraId="25ACACCB" w14:textId="5750527B" w:rsidR="006912B1" w:rsidRPr="006912B1" w:rsidRDefault="006912B1" w:rsidP="006912B1">
            <w:pPr>
              <w:pStyle w:val="En-tte"/>
              <w:ind w:left="-1843"/>
              <w:jc w:val="center"/>
              <w:rPr>
                <w:b/>
                <w:bCs/>
              </w:rPr>
            </w:pPr>
          </w:p>
        </w:tc>
      </w:tr>
      <w:bookmarkEnd w:id="0"/>
    </w:tbl>
    <w:p w14:paraId="458698C2" w14:textId="77777777" w:rsidR="00F700E3" w:rsidRPr="0081719C" w:rsidRDefault="00F700E3" w:rsidP="00F700E3"/>
    <w:p w14:paraId="0C83A8A8" w14:textId="39363B21" w:rsidR="00F700E3" w:rsidRPr="00D67774" w:rsidRDefault="00B81017" w:rsidP="00F700E3">
      <w:pPr>
        <w:spacing w:after="200" w:line="276" w:lineRule="auto"/>
        <w:rPr>
          <w:lang w:val="en-ZA"/>
        </w:rPr>
      </w:pPr>
      <w:r w:rsidRPr="00D67774">
        <w:rPr>
          <w:i/>
          <w:iCs/>
          <w:smallCaps/>
          <w:lang w:val="en-ZA"/>
        </w:rPr>
        <w:t xml:space="preserve">CCAP GPM-G </w:t>
      </w:r>
      <w:r w:rsidR="00AF14F3">
        <w:rPr>
          <w:i/>
          <w:iCs/>
          <w:smallCaps/>
          <w:lang w:val="en-ZA"/>
        </w:rPr>
        <w:t xml:space="preserve">RX 25 17 </w:t>
      </w:r>
      <w:r w:rsidR="002B4816">
        <w:rPr>
          <w:i/>
          <w:iCs/>
          <w:smallCaps/>
          <w:lang w:val="en-ZA"/>
        </w:rPr>
        <w:t>SIRH</w:t>
      </w:r>
    </w:p>
    <w:p w14:paraId="13CC7214" w14:textId="45D057DF" w:rsidR="00AA7022" w:rsidRPr="00D67774" w:rsidRDefault="00F700E3" w:rsidP="007D52FC">
      <w:pPr>
        <w:spacing w:after="200" w:line="276" w:lineRule="auto"/>
        <w:rPr>
          <w:lang w:val="en-ZA"/>
        </w:rPr>
      </w:pPr>
      <w:r w:rsidRPr="00D67774">
        <w:rPr>
          <w:lang w:val="en-ZA"/>
        </w:rPr>
        <w:br w:type="page"/>
      </w:r>
      <w:bookmarkStart w:id="1"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74E62F57" w14:textId="77777777" w:rsidR="002B4816" w:rsidRDefault="002B4816" w:rsidP="00394727">
          <w:pPr>
            <w:pStyle w:val="En-ttedetabledesmatires"/>
            <w:numPr>
              <w:ilvl w:val="0"/>
              <w:numId w:val="0"/>
            </w:numPr>
            <w:rPr>
              <w:rFonts w:eastAsiaTheme="minorHAnsi"/>
            </w:rPr>
          </w:pPr>
        </w:p>
        <w:p w14:paraId="2EC31753" w14:textId="3DB3231A" w:rsidR="00AA7022" w:rsidRDefault="00AA7022" w:rsidP="00394727">
          <w:pPr>
            <w:pStyle w:val="En-ttedetabledesmatires"/>
            <w:numPr>
              <w:ilvl w:val="0"/>
              <w:numId w:val="0"/>
            </w:numPr>
          </w:pPr>
          <w:r>
            <w:t>Table des matières</w:t>
          </w:r>
        </w:p>
        <w:p w14:paraId="007E7F1A" w14:textId="0AE9767D" w:rsidR="00BA45A8"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8718140" w:history="1">
            <w:r w:rsidR="00BA45A8" w:rsidRPr="00152FD4">
              <w:rPr>
                <w:rStyle w:val="Lienhypertexte"/>
                <w:noProof/>
              </w:rPr>
              <w:t>Article I.</w:t>
            </w:r>
            <w:r w:rsidR="00BA45A8">
              <w:rPr>
                <w:rFonts w:asciiTheme="minorHAnsi" w:eastAsiaTheme="minorEastAsia" w:hAnsiTheme="minorHAnsi" w:cstheme="minorBidi"/>
                <w:b w:val="0"/>
                <w:bCs w:val="0"/>
                <w:i w:val="0"/>
                <w:iCs w:val="0"/>
                <w:noProof/>
                <w:kern w:val="2"/>
                <w:lang w:val="fr-BE" w:eastAsia="fr-BE"/>
                <w14:ligatures w14:val="standardContextual"/>
              </w:rPr>
              <w:tab/>
            </w:r>
            <w:r w:rsidR="00BA45A8" w:rsidRPr="00152FD4">
              <w:rPr>
                <w:rStyle w:val="Lienhypertexte"/>
                <w:noProof/>
              </w:rPr>
              <w:t>OBJET DU MARCHE</w:t>
            </w:r>
            <w:r w:rsidR="00BA45A8">
              <w:rPr>
                <w:noProof/>
                <w:webHidden/>
              </w:rPr>
              <w:tab/>
            </w:r>
            <w:r w:rsidR="00BA45A8">
              <w:rPr>
                <w:noProof/>
                <w:webHidden/>
              </w:rPr>
              <w:fldChar w:fldCharType="begin"/>
            </w:r>
            <w:r w:rsidR="00BA45A8">
              <w:rPr>
                <w:noProof/>
                <w:webHidden/>
              </w:rPr>
              <w:instrText xml:space="preserve"> PAGEREF _Toc198718140 \h </w:instrText>
            </w:r>
            <w:r w:rsidR="00BA45A8">
              <w:rPr>
                <w:noProof/>
                <w:webHidden/>
              </w:rPr>
            </w:r>
            <w:r w:rsidR="00BA45A8">
              <w:rPr>
                <w:noProof/>
                <w:webHidden/>
              </w:rPr>
              <w:fldChar w:fldCharType="separate"/>
            </w:r>
            <w:r w:rsidR="00BA45A8">
              <w:rPr>
                <w:noProof/>
                <w:webHidden/>
              </w:rPr>
              <w:t>4</w:t>
            </w:r>
            <w:r w:rsidR="00BA45A8">
              <w:rPr>
                <w:noProof/>
                <w:webHidden/>
              </w:rPr>
              <w:fldChar w:fldCharType="end"/>
            </w:r>
          </w:hyperlink>
        </w:p>
        <w:p w14:paraId="0FDEB435" w14:textId="7F470478"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1" w:history="1">
            <w:r w:rsidRPr="00152FD4">
              <w:rPr>
                <w:rStyle w:val="Lienhypertexte"/>
                <w:noProof/>
              </w:rPr>
              <w:t>Section 1.01</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Partie contractante</w:t>
            </w:r>
            <w:r>
              <w:rPr>
                <w:noProof/>
                <w:webHidden/>
              </w:rPr>
              <w:tab/>
            </w:r>
            <w:r>
              <w:rPr>
                <w:noProof/>
                <w:webHidden/>
              </w:rPr>
              <w:fldChar w:fldCharType="begin"/>
            </w:r>
            <w:r>
              <w:rPr>
                <w:noProof/>
                <w:webHidden/>
              </w:rPr>
              <w:instrText xml:space="preserve"> PAGEREF _Toc198718141 \h </w:instrText>
            </w:r>
            <w:r>
              <w:rPr>
                <w:noProof/>
                <w:webHidden/>
              </w:rPr>
            </w:r>
            <w:r>
              <w:rPr>
                <w:noProof/>
                <w:webHidden/>
              </w:rPr>
              <w:fldChar w:fldCharType="separate"/>
            </w:r>
            <w:r>
              <w:rPr>
                <w:noProof/>
                <w:webHidden/>
              </w:rPr>
              <w:t>4</w:t>
            </w:r>
            <w:r>
              <w:rPr>
                <w:noProof/>
                <w:webHidden/>
              </w:rPr>
              <w:fldChar w:fldCharType="end"/>
            </w:r>
          </w:hyperlink>
        </w:p>
        <w:p w14:paraId="6DB40BBA" w14:textId="1BBEEEE1"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2" w:history="1">
            <w:r w:rsidRPr="00152FD4">
              <w:rPr>
                <w:rStyle w:val="Lienhypertexte"/>
                <w:noProof/>
              </w:rPr>
              <w:t>Section 1.02</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Objet du marché</w:t>
            </w:r>
            <w:r>
              <w:rPr>
                <w:noProof/>
                <w:webHidden/>
              </w:rPr>
              <w:tab/>
            </w:r>
            <w:r>
              <w:rPr>
                <w:noProof/>
                <w:webHidden/>
              </w:rPr>
              <w:fldChar w:fldCharType="begin"/>
            </w:r>
            <w:r>
              <w:rPr>
                <w:noProof/>
                <w:webHidden/>
              </w:rPr>
              <w:instrText xml:space="preserve"> PAGEREF _Toc198718142 \h </w:instrText>
            </w:r>
            <w:r>
              <w:rPr>
                <w:noProof/>
                <w:webHidden/>
              </w:rPr>
            </w:r>
            <w:r>
              <w:rPr>
                <w:noProof/>
                <w:webHidden/>
              </w:rPr>
              <w:fldChar w:fldCharType="separate"/>
            </w:r>
            <w:r>
              <w:rPr>
                <w:noProof/>
                <w:webHidden/>
              </w:rPr>
              <w:t>4</w:t>
            </w:r>
            <w:r>
              <w:rPr>
                <w:noProof/>
                <w:webHidden/>
              </w:rPr>
              <w:fldChar w:fldCharType="end"/>
            </w:r>
          </w:hyperlink>
        </w:p>
        <w:p w14:paraId="2F32C5EF" w14:textId="1361D927"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3" w:history="1">
            <w:r w:rsidRPr="00152FD4">
              <w:rPr>
                <w:rStyle w:val="Lienhypertexte"/>
                <w:noProof/>
              </w:rPr>
              <w:t>Section 1.03</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Forme du marché</w:t>
            </w:r>
            <w:r>
              <w:rPr>
                <w:noProof/>
                <w:webHidden/>
              </w:rPr>
              <w:tab/>
            </w:r>
            <w:r>
              <w:rPr>
                <w:noProof/>
                <w:webHidden/>
              </w:rPr>
              <w:fldChar w:fldCharType="begin"/>
            </w:r>
            <w:r>
              <w:rPr>
                <w:noProof/>
                <w:webHidden/>
              </w:rPr>
              <w:instrText xml:space="preserve"> PAGEREF _Toc198718143 \h </w:instrText>
            </w:r>
            <w:r>
              <w:rPr>
                <w:noProof/>
                <w:webHidden/>
              </w:rPr>
            </w:r>
            <w:r>
              <w:rPr>
                <w:noProof/>
                <w:webHidden/>
              </w:rPr>
              <w:fldChar w:fldCharType="separate"/>
            </w:r>
            <w:r>
              <w:rPr>
                <w:noProof/>
                <w:webHidden/>
              </w:rPr>
              <w:t>4</w:t>
            </w:r>
            <w:r>
              <w:rPr>
                <w:noProof/>
                <w:webHidden/>
              </w:rPr>
              <w:fldChar w:fldCharType="end"/>
            </w:r>
          </w:hyperlink>
        </w:p>
        <w:p w14:paraId="49E03E83" w14:textId="1D7A3BDC"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4" w:history="1">
            <w:r w:rsidRPr="00152FD4">
              <w:rPr>
                <w:rStyle w:val="Lienhypertexte"/>
                <w:noProof/>
              </w:rPr>
              <w:t>Section 1.04</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Montant maximum</w:t>
            </w:r>
            <w:r>
              <w:rPr>
                <w:noProof/>
                <w:webHidden/>
              </w:rPr>
              <w:tab/>
            </w:r>
            <w:r>
              <w:rPr>
                <w:noProof/>
                <w:webHidden/>
              </w:rPr>
              <w:fldChar w:fldCharType="begin"/>
            </w:r>
            <w:r>
              <w:rPr>
                <w:noProof/>
                <w:webHidden/>
              </w:rPr>
              <w:instrText xml:space="preserve"> PAGEREF _Toc198718144 \h </w:instrText>
            </w:r>
            <w:r>
              <w:rPr>
                <w:noProof/>
                <w:webHidden/>
              </w:rPr>
            </w:r>
            <w:r>
              <w:rPr>
                <w:noProof/>
                <w:webHidden/>
              </w:rPr>
              <w:fldChar w:fldCharType="separate"/>
            </w:r>
            <w:r>
              <w:rPr>
                <w:noProof/>
                <w:webHidden/>
              </w:rPr>
              <w:t>4</w:t>
            </w:r>
            <w:r>
              <w:rPr>
                <w:noProof/>
                <w:webHidden/>
              </w:rPr>
              <w:fldChar w:fldCharType="end"/>
            </w:r>
          </w:hyperlink>
        </w:p>
        <w:p w14:paraId="3ACAF584" w14:textId="4FBAD62F"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5" w:history="1">
            <w:r w:rsidRPr="00152FD4">
              <w:rPr>
                <w:rStyle w:val="Lienhypertexte"/>
                <w:noProof/>
              </w:rPr>
              <w:t>Section 1.05</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Durée</w:t>
            </w:r>
            <w:r>
              <w:rPr>
                <w:noProof/>
                <w:webHidden/>
              </w:rPr>
              <w:tab/>
            </w:r>
            <w:r>
              <w:rPr>
                <w:noProof/>
                <w:webHidden/>
              </w:rPr>
              <w:fldChar w:fldCharType="begin"/>
            </w:r>
            <w:r>
              <w:rPr>
                <w:noProof/>
                <w:webHidden/>
              </w:rPr>
              <w:instrText xml:space="preserve"> PAGEREF _Toc198718145 \h </w:instrText>
            </w:r>
            <w:r>
              <w:rPr>
                <w:noProof/>
                <w:webHidden/>
              </w:rPr>
            </w:r>
            <w:r>
              <w:rPr>
                <w:noProof/>
                <w:webHidden/>
              </w:rPr>
              <w:fldChar w:fldCharType="separate"/>
            </w:r>
            <w:r>
              <w:rPr>
                <w:noProof/>
                <w:webHidden/>
              </w:rPr>
              <w:t>4</w:t>
            </w:r>
            <w:r>
              <w:rPr>
                <w:noProof/>
                <w:webHidden/>
              </w:rPr>
              <w:fldChar w:fldCharType="end"/>
            </w:r>
          </w:hyperlink>
        </w:p>
        <w:p w14:paraId="17399F33" w14:textId="0283F889"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6" w:history="1">
            <w:r w:rsidRPr="00152FD4">
              <w:rPr>
                <w:rStyle w:val="Lienhypertexte"/>
                <w:noProof/>
              </w:rPr>
              <w:t>Section 1.06</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Renouvellement</w:t>
            </w:r>
            <w:r>
              <w:rPr>
                <w:noProof/>
                <w:webHidden/>
              </w:rPr>
              <w:tab/>
            </w:r>
            <w:r>
              <w:rPr>
                <w:noProof/>
                <w:webHidden/>
              </w:rPr>
              <w:fldChar w:fldCharType="begin"/>
            </w:r>
            <w:r>
              <w:rPr>
                <w:noProof/>
                <w:webHidden/>
              </w:rPr>
              <w:instrText xml:space="preserve"> PAGEREF _Toc198718146 \h </w:instrText>
            </w:r>
            <w:r>
              <w:rPr>
                <w:noProof/>
                <w:webHidden/>
              </w:rPr>
            </w:r>
            <w:r>
              <w:rPr>
                <w:noProof/>
                <w:webHidden/>
              </w:rPr>
              <w:fldChar w:fldCharType="separate"/>
            </w:r>
            <w:r>
              <w:rPr>
                <w:noProof/>
                <w:webHidden/>
              </w:rPr>
              <w:t>4</w:t>
            </w:r>
            <w:r>
              <w:rPr>
                <w:noProof/>
                <w:webHidden/>
              </w:rPr>
              <w:fldChar w:fldCharType="end"/>
            </w:r>
          </w:hyperlink>
        </w:p>
        <w:p w14:paraId="189D1DA1" w14:textId="16E795EA" w:rsidR="00BA45A8" w:rsidRDefault="00BA45A8">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47" w:history="1">
            <w:r w:rsidRPr="00152FD4">
              <w:rPr>
                <w:rStyle w:val="Lienhypertexte"/>
                <w:noProof/>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PIECES CONSTITUTIVES DU MARCHE</w:t>
            </w:r>
            <w:r>
              <w:rPr>
                <w:noProof/>
                <w:webHidden/>
              </w:rPr>
              <w:tab/>
            </w:r>
            <w:r>
              <w:rPr>
                <w:noProof/>
                <w:webHidden/>
              </w:rPr>
              <w:fldChar w:fldCharType="begin"/>
            </w:r>
            <w:r>
              <w:rPr>
                <w:noProof/>
                <w:webHidden/>
              </w:rPr>
              <w:instrText xml:space="preserve"> PAGEREF _Toc198718147 \h </w:instrText>
            </w:r>
            <w:r>
              <w:rPr>
                <w:noProof/>
                <w:webHidden/>
              </w:rPr>
            </w:r>
            <w:r>
              <w:rPr>
                <w:noProof/>
                <w:webHidden/>
              </w:rPr>
              <w:fldChar w:fldCharType="separate"/>
            </w:r>
            <w:r>
              <w:rPr>
                <w:noProof/>
                <w:webHidden/>
              </w:rPr>
              <w:t>5</w:t>
            </w:r>
            <w:r>
              <w:rPr>
                <w:noProof/>
                <w:webHidden/>
              </w:rPr>
              <w:fldChar w:fldCharType="end"/>
            </w:r>
          </w:hyperlink>
        </w:p>
        <w:p w14:paraId="5E866282" w14:textId="59A6B23D"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8" w:history="1">
            <w:r w:rsidRPr="00152FD4">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Les Pièces particulières</w:t>
            </w:r>
            <w:r>
              <w:rPr>
                <w:noProof/>
                <w:webHidden/>
              </w:rPr>
              <w:tab/>
            </w:r>
            <w:r>
              <w:rPr>
                <w:noProof/>
                <w:webHidden/>
              </w:rPr>
              <w:fldChar w:fldCharType="begin"/>
            </w:r>
            <w:r>
              <w:rPr>
                <w:noProof/>
                <w:webHidden/>
              </w:rPr>
              <w:instrText xml:space="preserve"> PAGEREF _Toc198718148 \h </w:instrText>
            </w:r>
            <w:r>
              <w:rPr>
                <w:noProof/>
                <w:webHidden/>
              </w:rPr>
            </w:r>
            <w:r>
              <w:rPr>
                <w:noProof/>
                <w:webHidden/>
              </w:rPr>
              <w:fldChar w:fldCharType="separate"/>
            </w:r>
            <w:r>
              <w:rPr>
                <w:noProof/>
                <w:webHidden/>
              </w:rPr>
              <w:t>5</w:t>
            </w:r>
            <w:r>
              <w:rPr>
                <w:noProof/>
                <w:webHidden/>
              </w:rPr>
              <w:fldChar w:fldCharType="end"/>
            </w:r>
          </w:hyperlink>
        </w:p>
        <w:p w14:paraId="647DF7D5" w14:textId="4087A6EA"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49" w:history="1">
            <w:r w:rsidRPr="00152FD4">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Les pièces générales (*)</w:t>
            </w:r>
            <w:r>
              <w:rPr>
                <w:noProof/>
                <w:webHidden/>
              </w:rPr>
              <w:tab/>
            </w:r>
            <w:r>
              <w:rPr>
                <w:noProof/>
                <w:webHidden/>
              </w:rPr>
              <w:fldChar w:fldCharType="begin"/>
            </w:r>
            <w:r>
              <w:rPr>
                <w:noProof/>
                <w:webHidden/>
              </w:rPr>
              <w:instrText xml:space="preserve"> PAGEREF _Toc198718149 \h </w:instrText>
            </w:r>
            <w:r>
              <w:rPr>
                <w:noProof/>
                <w:webHidden/>
              </w:rPr>
            </w:r>
            <w:r>
              <w:rPr>
                <w:noProof/>
                <w:webHidden/>
              </w:rPr>
              <w:fldChar w:fldCharType="separate"/>
            </w:r>
            <w:r>
              <w:rPr>
                <w:noProof/>
                <w:webHidden/>
              </w:rPr>
              <w:t>5</w:t>
            </w:r>
            <w:r>
              <w:rPr>
                <w:noProof/>
                <w:webHidden/>
              </w:rPr>
              <w:fldChar w:fldCharType="end"/>
            </w:r>
          </w:hyperlink>
        </w:p>
        <w:p w14:paraId="4F9981B7" w14:textId="35C4CAB0" w:rsidR="00BA45A8" w:rsidRDefault="00BA45A8">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50" w:history="1">
            <w:r w:rsidRPr="00152FD4">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PRIX – REVISION DES PRIX</w:t>
            </w:r>
            <w:r>
              <w:rPr>
                <w:noProof/>
                <w:webHidden/>
              </w:rPr>
              <w:tab/>
            </w:r>
            <w:r>
              <w:rPr>
                <w:noProof/>
                <w:webHidden/>
              </w:rPr>
              <w:fldChar w:fldCharType="begin"/>
            </w:r>
            <w:r>
              <w:rPr>
                <w:noProof/>
                <w:webHidden/>
              </w:rPr>
              <w:instrText xml:space="preserve"> PAGEREF _Toc198718150 \h </w:instrText>
            </w:r>
            <w:r>
              <w:rPr>
                <w:noProof/>
                <w:webHidden/>
              </w:rPr>
            </w:r>
            <w:r>
              <w:rPr>
                <w:noProof/>
                <w:webHidden/>
              </w:rPr>
              <w:fldChar w:fldCharType="separate"/>
            </w:r>
            <w:r>
              <w:rPr>
                <w:noProof/>
                <w:webHidden/>
              </w:rPr>
              <w:t>5</w:t>
            </w:r>
            <w:r>
              <w:rPr>
                <w:noProof/>
                <w:webHidden/>
              </w:rPr>
              <w:fldChar w:fldCharType="end"/>
            </w:r>
          </w:hyperlink>
        </w:p>
        <w:p w14:paraId="4F12336E" w14:textId="5F12723F"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51" w:history="1">
            <w:r w:rsidRPr="00152FD4">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Formes des prix</w:t>
            </w:r>
            <w:r>
              <w:rPr>
                <w:noProof/>
                <w:webHidden/>
              </w:rPr>
              <w:tab/>
            </w:r>
            <w:r>
              <w:rPr>
                <w:noProof/>
                <w:webHidden/>
              </w:rPr>
              <w:fldChar w:fldCharType="begin"/>
            </w:r>
            <w:r>
              <w:rPr>
                <w:noProof/>
                <w:webHidden/>
              </w:rPr>
              <w:instrText xml:space="preserve"> PAGEREF _Toc198718151 \h </w:instrText>
            </w:r>
            <w:r>
              <w:rPr>
                <w:noProof/>
                <w:webHidden/>
              </w:rPr>
            </w:r>
            <w:r>
              <w:rPr>
                <w:noProof/>
                <w:webHidden/>
              </w:rPr>
              <w:fldChar w:fldCharType="separate"/>
            </w:r>
            <w:r>
              <w:rPr>
                <w:noProof/>
                <w:webHidden/>
              </w:rPr>
              <w:t>5</w:t>
            </w:r>
            <w:r>
              <w:rPr>
                <w:noProof/>
                <w:webHidden/>
              </w:rPr>
              <w:fldChar w:fldCharType="end"/>
            </w:r>
          </w:hyperlink>
        </w:p>
        <w:p w14:paraId="084BD6A9" w14:textId="5D37F35D"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52" w:history="1">
            <w:r w:rsidRPr="00152FD4">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Unités d’œuvre</w:t>
            </w:r>
            <w:r>
              <w:rPr>
                <w:noProof/>
                <w:webHidden/>
              </w:rPr>
              <w:tab/>
            </w:r>
            <w:r>
              <w:rPr>
                <w:noProof/>
                <w:webHidden/>
              </w:rPr>
              <w:fldChar w:fldCharType="begin"/>
            </w:r>
            <w:r>
              <w:rPr>
                <w:noProof/>
                <w:webHidden/>
              </w:rPr>
              <w:instrText xml:space="preserve"> PAGEREF _Toc198718152 \h </w:instrText>
            </w:r>
            <w:r>
              <w:rPr>
                <w:noProof/>
                <w:webHidden/>
              </w:rPr>
            </w:r>
            <w:r>
              <w:rPr>
                <w:noProof/>
                <w:webHidden/>
              </w:rPr>
              <w:fldChar w:fldCharType="separate"/>
            </w:r>
            <w:r>
              <w:rPr>
                <w:noProof/>
                <w:webHidden/>
              </w:rPr>
              <w:t>6</w:t>
            </w:r>
            <w:r>
              <w:rPr>
                <w:noProof/>
                <w:webHidden/>
              </w:rPr>
              <w:fldChar w:fldCharType="end"/>
            </w:r>
          </w:hyperlink>
        </w:p>
        <w:p w14:paraId="6076C0BF" w14:textId="4B842DA6"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53" w:history="1">
            <w:r w:rsidRPr="00152FD4">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Contenu des prix</w:t>
            </w:r>
            <w:r>
              <w:rPr>
                <w:noProof/>
                <w:webHidden/>
              </w:rPr>
              <w:tab/>
            </w:r>
            <w:r>
              <w:rPr>
                <w:noProof/>
                <w:webHidden/>
              </w:rPr>
              <w:fldChar w:fldCharType="begin"/>
            </w:r>
            <w:r>
              <w:rPr>
                <w:noProof/>
                <w:webHidden/>
              </w:rPr>
              <w:instrText xml:space="preserve"> PAGEREF _Toc198718153 \h </w:instrText>
            </w:r>
            <w:r>
              <w:rPr>
                <w:noProof/>
                <w:webHidden/>
              </w:rPr>
            </w:r>
            <w:r>
              <w:rPr>
                <w:noProof/>
                <w:webHidden/>
              </w:rPr>
              <w:fldChar w:fldCharType="separate"/>
            </w:r>
            <w:r>
              <w:rPr>
                <w:noProof/>
                <w:webHidden/>
              </w:rPr>
              <w:t>7</w:t>
            </w:r>
            <w:r>
              <w:rPr>
                <w:noProof/>
                <w:webHidden/>
              </w:rPr>
              <w:fldChar w:fldCharType="end"/>
            </w:r>
          </w:hyperlink>
        </w:p>
        <w:p w14:paraId="46CD57CC" w14:textId="365D7894"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54" w:history="1">
            <w:r w:rsidRPr="00152FD4">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Révision des prix</w:t>
            </w:r>
            <w:r>
              <w:rPr>
                <w:noProof/>
                <w:webHidden/>
              </w:rPr>
              <w:tab/>
            </w:r>
            <w:r>
              <w:rPr>
                <w:noProof/>
                <w:webHidden/>
              </w:rPr>
              <w:fldChar w:fldCharType="begin"/>
            </w:r>
            <w:r>
              <w:rPr>
                <w:noProof/>
                <w:webHidden/>
              </w:rPr>
              <w:instrText xml:space="preserve"> PAGEREF _Toc198718154 \h </w:instrText>
            </w:r>
            <w:r>
              <w:rPr>
                <w:noProof/>
                <w:webHidden/>
              </w:rPr>
            </w:r>
            <w:r>
              <w:rPr>
                <w:noProof/>
                <w:webHidden/>
              </w:rPr>
              <w:fldChar w:fldCharType="separate"/>
            </w:r>
            <w:r>
              <w:rPr>
                <w:noProof/>
                <w:webHidden/>
              </w:rPr>
              <w:t>7</w:t>
            </w:r>
            <w:r>
              <w:rPr>
                <w:noProof/>
                <w:webHidden/>
              </w:rPr>
              <w:fldChar w:fldCharType="end"/>
            </w:r>
          </w:hyperlink>
        </w:p>
        <w:p w14:paraId="4EAE02FA" w14:textId="61864D17"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55" w:history="1">
            <w:r w:rsidRPr="00152FD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Prix fermes pendant la durée initiale du marché</w:t>
            </w:r>
            <w:r>
              <w:rPr>
                <w:noProof/>
                <w:webHidden/>
              </w:rPr>
              <w:tab/>
            </w:r>
            <w:r>
              <w:rPr>
                <w:noProof/>
                <w:webHidden/>
              </w:rPr>
              <w:fldChar w:fldCharType="begin"/>
            </w:r>
            <w:r>
              <w:rPr>
                <w:noProof/>
                <w:webHidden/>
              </w:rPr>
              <w:instrText xml:space="preserve"> PAGEREF _Toc198718155 \h </w:instrText>
            </w:r>
            <w:r>
              <w:rPr>
                <w:noProof/>
                <w:webHidden/>
              </w:rPr>
            </w:r>
            <w:r>
              <w:rPr>
                <w:noProof/>
                <w:webHidden/>
              </w:rPr>
              <w:fldChar w:fldCharType="separate"/>
            </w:r>
            <w:r>
              <w:rPr>
                <w:noProof/>
                <w:webHidden/>
              </w:rPr>
              <w:t>7</w:t>
            </w:r>
            <w:r>
              <w:rPr>
                <w:noProof/>
                <w:webHidden/>
              </w:rPr>
              <w:fldChar w:fldCharType="end"/>
            </w:r>
          </w:hyperlink>
        </w:p>
        <w:p w14:paraId="04B510CF" w14:textId="43350424"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56" w:history="1">
            <w:r w:rsidRPr="00152FD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Révision en cas de reconduction</w:t>
            </w:r>
            <w:r>
              <w:rPr>
                <w:noProof/>
                <w:webHidden/>
              </w:rPr>
              <w:tab/>
            </w:r>
            <w:r>
              <w:rPr>
                <w:noProof/>
                <w:webHidden/>
              </w:rPr>
              <w:fldChar w:fldCharType="begin"/>
            </w:r>
            <w:r>
              <w:rPr>
                <w:noProof/>
                <w:webHidden/>
              </w:rPr>
              <w:instrText xml:space="preserve"> PAGEREF _Toc198718156 \h </w:instrText>
            </w:r>
            <w:r>
              <w:rPr>
                <w:noProof/>
                <w:webHidden/>
              </w:rPr>
            </w:r>
            <w:r>
              <w:rPr>
                <w:noProof/>
                <w:webHidden/>
              </w:rPr>
              <w:fldChar w:fldCharType="separate"/>
            </w:r>
            <w:r>
              <w:rPr>
                <w:noProof/>
                <w:webHidden/>
              </w:rPr>
              <w:t>7</w:t>
            </w:r>
            <w:r>
              <w:rPr>
                <w:noProof/>
                <w:webHidden/>
              </w:rPr>
              <w:fldChar w:fldCharType="end"/>
            </w:r>
          </w:hyperlink>
        </w:p>
        <w:p w14:paraId="31527C76" w14:textId="67C7A5C7"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57" w:history="1">
            <w:r w:rsidRPr="00152FD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Révision à la baisse</w:t>
            </w:r>
            <w:r>
              <w:rPr>
                <w:noProof/>
                <w:webHidden/>
              </w:rPr>
              <w:tab/>
            </w:r>
            <w:r>
              <w:rPr>
                <w:noProof/>
                <w:webHidden/>
              </w:rPr>
              <w:fldChar w:fldCharType="begin"/>
            </w:r>
            <w:r>
              <w:rPr>
                <w:noProof/>
                <w:webHidden/>
              </w:rPr>
              <w:instrText xml:space="preserve"> PAGEREF _Toc198718157 \h </w:instrText>
            </w:r>
            <w:r>
              <w:rPr>
                <w:noProof/>
                <w:webHidden/>
              </w:rPr>
            </w:r>
            <w:r>
              <w:rPr>
                <w:noProof/>
                <w:webHidden/>
              </w:rPr>
              <w:fldChar w:fldCharType="separate"/>
            </w:r>
            <w:r>
              <w:rPr>
                <w:noProof/>
                <w:webHidden/>
              </w:rPr>
              <w:t>8</w:t>
            </w:r>
            <w:r>
              <w:rPr>
                <w:noProof/>
                <w:webHidden/>
              </w:rPr>
              <w:fldChar w:fldCharType="end"/>
            </w:r>
          </w:hyperlink>
        </w:p>
        <w:p w14:paraId="447D9B9A" w14:textId="685B867C"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58" w:history="1">
            <w:r w:rsidRPr="00152FD4">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MODE DE FACTURATION</w:t>
            </w:r>
            <w:r>
              <w:rPr>
                <w:noProof/>
                <w:webHidden/>
              </w:rPr>
              <w:tab/>
            </w:r>
            <w:r>
              <w:rPr>
                <w:noProof/>
                <w:webHidden/>
              </w:rPr>
              <w:fldChar w:fldCharType="begin"/>
            </w:r>
            <w:r>
              <w:rPr>
                <w:noProof/>
                <w:webHidden/>
              </w:rPr>
              <w:instrText xml:space="preserve"> PAGEREF _Toc198718158 \h </w:instrText>
            </w:r>
            <w:r>
              <w:rPr>
                <w:noProof/>
                <w:webHidden/>
              </w:rPr>
            </w:r>
            <w:r>
              <w:rPr>
                <w:noProof/>
                <w:webHidden/>
              </w:rPr>
              <w:fldChar w:fldCharType="separate"/>
            </w:r>
            <w:r>
              <w:rPr>
                <w:noProof/>
                <w:webHidden/>
              </w:rPr>
              <w:t>8</w:t>
            </w:r>
            <w:r>
              <w:rPr>
                <w:noProof/>
                <w:webHidden/>
              </w:rPr>
              <w:fldChar w:fldCharType="end"/>
            </w:r>
          </w:hyperlink>
        </w:p>
        <w:p w14:paraId="21C72988" w14:textId="60C3A49B"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59" w:history="1">
            <w:r w:rsidRPr="00152FD4">
              <w:rPr>
                <w:rStyle w:val="Lienhypertexte"/>
                <w:rFonts w:eastAsiaTheme="minorHAnsi"/>
                <w:noProof/>
                <w:lang w:val="fr-BE"/>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rFonts w:eastAsiaTheme="minorHAnsi"/>
                <w:noProof/>
                <w:lang w:val="fr-BE"/>
              </w:rPr>
              <w:t>Clauses de réception et paiement associés</w:t>
            </w:r>
            <w:r>
              <w:rPr>
                <w:noProof/>
                <w:webHidden/>
              </w:rPr>
              <w:tab/>
            </w:r>
            <w:r>
              <w:rPr>
                <w:noProof/>
                <w:webHidden/>
              </w:rPr>
              <w:fldChar w:fldCharType="begin"/>
            </w:r>
            <w:r>
              <w:rPr>
                <w:noProof/>
                <w:webHidden/>
              </w:rPr>
              <w:instrText xml:space="preserve"> PAGEREF _Toc198718159 \h </w:instrText>
            </w:r>
            <w:r>
              <w:rPr>
                <w:noProof/>
                <w:webHidden/>
              </w:rPr>
            </w:r>
            <w:r>
              <w:rPr>
                <w:noProof/>
                <w:webHidden/>
              </w:rPr>
              <w:fldChar w:fldCharType="separate"/>
            </w:r>
            <w:r>
              <w:rPr>
                <w:noProof/>
                <w:webHidden/>
              </w:rPr>
              <w:t>8</w:t>
            </w:r>
            <w:r>
              <w:rPr>
                <w:noProof/>
                <w:webHidden/>
              </w:rPr>
              <w:fldChar w:fldCharType="end"/>
            </w:r>
          </w:hyperlink>
        </w:p>
        <w:p w14:paraId="7090FDED" w14:textId="70238017"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60" w:history="1">
            <w:r w:rsidRPr="00152FD4">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Réception provisoire :</w:t>
            </w:r>
            <w:r>
              <w:rPr>
                <w:noProof/>
                <w:webHidden/>
              </w:rPr>
              <w:tab/>
            </w:r>
            <w:r>
              <w:rPr>
                <w:noProof/>
                <w:webHidden/>
              </w:rPr>
              <w:fldChar w:fldCharType="begin"/>
            </w:r>
            <w:r>
              <w:rPr>
                <w:noProof/>
                <w:webHidden/>
              </w:rPr>
              <w:instrText xml:space="preserve"> PAGEREF _Toc198718160 \h </w:instrText>
            </w:r>
            <w:r>
              <w:rPr>
                <w:noProof/>
                <w:webHidden/>
              </w:rPr>
            </w:r>
            <w:r>
              <w:rPr>
                <w:noProof/>
                <w:webHidden/>
              </w:rPr>
              <w:fldChar w:fldCharType="separate"/>
            </w:r>
            <w:r>
              <w:rPr>
                <w:noProof/>
                <w:webHidden/>
              </w:rPr>
              <w:t>8</w:t>
            </w:r>
            <w:r>
              <w:rPr>
                <w:noProof/>
                <w:webHidden/>
              </w:rPr>
              <w:fldChar w:fldCharType="end"/>
            </w:r>
          </w:hyperlink>
        </w:p>
        <w:p w14:paraId="056A5DCB" w14:textId="6D7541F6"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61" w:history="1">
            <w:r w:rsidRPr="00152FD4">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Mise en service :</w:t>
            </w:r>
            <w:r>
              <w:rPr>
                <w:noProof/>
                <w:webHidden/>
              </w:rPr>
              <w:tab/>
            </w:r>
            <w:r>
              <w:rPr>
                <w:noProof/>
                <w:webHidden/>
              </w:rPr>
              <w:fldChar w:fldCharType="begin"/>
            </w:r>
            <w:r>
              <w:rPr>
                <w:noProof/>
                <w:webHidden/>
              </w:rPr>
              <w:instrText xml:space="preserve"> PAGEREF _Toc198718161 \h </w:instrText>
            </w:r>
            <w:r>
              <w:rPr>
                <w:noProof/>
                <w:webHidden/>
              </w:rPr>
            </w:r>
            <w:r>
              <w:rPr>
                <w:noProof/>
                <w:webHidden/>
              </w:rPr>
              <w:fldChar w:fldCharType="separate"/>
            </w:r>
            <w:r>
              <w:rPr>
                <w:noProof/>
                <w:webHidden/>
              </w:rPr>
              <w:t>8</w:t>
            </w:r>
            <w:r>
              <w:rPr>
                <w:noProof/>
                <w:webHidden/>
              </w:rPr>
              <w:fldChar w:fldCharType="end"/>
            </w:r>
          </w:hyperlink>
        </w:p>
        <w:p w14:paraId="5C9CEF6A" w14:textId="7803E576" w:rsidR="00BA45A8" w:rsidRDefault="00BA45A8">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8718162" w:history="1">
            <w:r w:rsidRPr="00152FD4">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152FD4">
              <w:rPr>
                <w:rStyle w:val="Lienhypertexte"/>
                <w:noProof/>
              </w:rPr>
              <w:t>Levée des dernières réserves :</w:t>
            </w:r>
            <w:r>
              <w:rPr>
                <w:noProof/>
                <w:webHidden/>
              </w:rPr>
              <w:tab/>
            </w:r>
            <w:r>
              <w:rPr>
                <w:noProof/>
                <w:webHidden/>
              </w:rPr>
              <w:fldChar w:fldCharType="begin"/>
            </w:r>
            <w:r>
              <w:rPr>
                <w:noProof/>
                <w:webHidden/>
              </w:rPr>
              <w:instrText xml:space="preserve"> PAGEREF _Toc198718162 \h </w:instrText>
            </w:r>
            <w:r>
              <w:rPr>
                <w:noProof/>
                <w:webHidden/>
              </w:rPr>
            </w:r>
            <w:r>
              <w:rPr>
                <w:noProof/>
                <w:webHidden/>
              </w:rPr>
              <w:fldChar w:fldCharType="separate"/>
            </w:r>
            <w:r>
              <w:rPr>
                <w:noProof/>
                <w:webHidden/>
              </w:rPr>
              <w:t>8</w:t>
            </w:r>
            <w:r>
              <w:rPr>
                <w:noProof/>
                <w:webHidden/>
              </w:rPr>
              <w:fldChar w:fldCharType="end"/>
            </w:r>
          </w:hyperlink>
        </w:p>
        <w:p w14:paraId="0B9997F8" w14:textId="74AF924E"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63" w:history="1">
            <w:r w:rsidRPr="00152FD4">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Termes de paiement</w:t>
            </w:r>
            <w:r>
              <w:rPr>
                <w:noProof/>
                <w:webHidden/>
              </w:rPr>
              <w:tab/>
            </w:r>
            <w:r>
              <w:rPr>
                <w:noProof/>
                <w:webHidden/>
              </w:rPr>
              <w:fldChar w:fldCharType="begin"/>
            </w:r>
            <w:r>
              <w:rPr>
                <w:noProof/>
                <w:webHidden/>
              </w:rPr>
              <w:instrText xml:space="preserve"> PAGEREF _Toc198718163 \h </w:instrText>
            </w:r>
            <w:r>
              <w:rPr>
                <w:noProof/>
                <w:webHidden/>
              </w:rPr>
            </w:r>
            <w:r>
              <w:rPr>
                <w:noProof/>
                <w:webHidden/>
              </w:rPr>
              <w:fldChar w:fldCharType="separate"/>
            </w:r>
            <w:r>
              <w:rPr>
                <w:noProof/>
                <w:webHidden/>
              </w:rPr>
              <w:t>8</w:t>
            </w:r>
            <w:r>
              <w:rPr>
                <w:noProof/>
                <w:webHidden/>
              </w:rPr>
              <w:fldChar w:fldCharType="end"/>
            </w:r>
          </w:hyperlink>
        </w:p>
        <w:p w14:paraId="1E67AC22" w14:textId="61E7EF07" w:rsidR="00BA45A8" w:rsidRDefault="00BA45A8">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8718164" w:history="1">
            <w:r w:rsidRPr="00152FD4">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152FD4">
              <w:rPr>
                <w:rStyle w:val="Lienhypertexte"/>
                <w:noProof/>
              </w:rPr>
              <w:t>Modalités de paiement</w:t>
            </w:r>
            <w:r>
              <w:rPr>
                <w:noProof/>
                <w:webHidden/>
              </w:rPr>
              <w:tab/>
            </w:r>
            <w:r>
              <w:rPr>
                <w:noProof/>
                <w:webHidden/>
              </w:rPr>
              <w:fldChar w:fldCharType="begin"/>
            </w:r>
            <w:r>
              <w:rPr>
                <w:noProof/>
                <w:webHidden/>
              </w:rPr>
              <w:instrText xml:space="preserve"> PAGEREF _Toc198718164 \h </w:instrText>
            </w:r>
            <w:r>
              <w:rPr>
                <w:noProof/>
                <w:webHidden/>
              </w:rPr>
            </w:r>
            <w:r>
              <w:rPr>
                <w:noProof/>
                <w:webHidden/>
              </w:rPr>
              <w:fldChar w:fldCharType="separate"/>
            </w:r>
            <w:r>
              <w:rPr>
                <w:noProof/>
                <w:webHidden/>
              </w:rPr>
              <w:t>9</w:t>
            </w:r>
            <w:r>
              <w:rPr>
                <w:noProof/>
                <w:webHidden/>
              </w:rPr>
              <w:fldChar w:fldCharType="end"/>
            </w:r>
          </w:hyperlink>
        </w:p>
        <w:p w14:paraId="0A43602F" w14:textId="278BF97A" w:rsidR="00BA45A8" w:rsidRDefault="00BA45A8">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65" w:history="1">
            <w:r w:rsidRPr="00152FD4">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PENALITES</w:t>
            </w:r>
            <w:r>
              <w:rPr>
                <w:noProof/>
                <w:webHidden/>
              </w:rPr>
              <w:tab/>
            </w:r>
            <w:r>
              <w:rPr>
                <w:noProof/>
                <w:webHidden/>
              </w:rPr>
              <w:fldChar w:fldCharType="begin"/>
            </w:r>
            <w:r>
              <w:rPr>
                <w:noProof/>
                <w:webHidden/>
              </w:rPr>
              <w:instrText xml:space="preserve"> PAGEREF _Toc198718165 \h </w:instrText>
            </w:r>
            <w:r>
              <w:rPr>
                <w:noProof/>
                <w:webHidden/>
              </w:rPr>
            </w:r>
            <w:r>
              <w:rPr>
                <w:noProof/>
                <w:webHidden/>
              </w:rPr>
              <w:fldChar w:fldCharType="separate"/>
            </w:r>
            <w:r>
              <w:rPr>
                <w:noProof/>
                <w:webHidden/>
              </w:rPr>
              <w:t>9</w:t>
            </w:r>
            <w:r>
              <w:rPr>
                <w:noProof/>
                <w:webHidden/>
              </w:rPr>
              <w:fldChar w:fldCharType="end"/>
            </w:r>
          </w:hyperlink>
        </w:p>
        <w:p w14:paraId="55CD97A8" w14:textId="7FBD652E"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66" w:history="1">
            <w:r w:rsidRPr="00152FD4">
              <w:rPr>
                <w:rStyle w:val="Lienhypertexte"/>
                <w:noProof/>
                <w:lang w:val="fr-BE"/>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lang w:val="fr-BE"/>
              </w:rPr>
              <w:t>NON-SUBSTITUTION DU PERSONNEL</w:t>
            </w:r>
            <w:r>
              <w:rPr>
                <w:noProof/>
                <w:webHidden/>
              </w:rPr>
              <w:tab/>
            </w:r>
            <w:r>
              <w:rPr>
                <w:noProof/>
                <w:webHidden/>
              </w:rPr>
              <w:fldChar w:fldCharType="begin"/>
            </w:r>
            <w:r>
              <w:rPr>
                <w:noProof/>
                <w:webHidden/>
              </w:rPr>
              <w:instrText xml:space="preserve"> PAGEREF _Toc198718166 \h </w:instrText>
            </w:r>
            <w:r>
              <w:rPr>
                <w:noProof/>
                <w:webHidden/>
              </w:rPr>
            </w:r>
            <w:r>
              <w:rPr>
                <w:noProof/>
                <w:webHidden/>
              </w:rPr>
              <w:fldChar w:fldCharType="separate"/>
            </w:r>
            <w:r>
              <w:rPr>
                <w:noProof/>
                <w:webHidden/>
              </w:rPr>
              <w:t>13</w:t>
            </w:r>
            <w:r>
              <w:rPr>
                <w:noProof/>
                <w:webHidden/>
              </w:rPr>
              <w:fldChar w:fldCharType="end"/>
            </w:r>
          </w:hyperlink>
        </w:p>
        <w:p w14:paraId="4B3FE4CB" w14:textId="619DEB2D"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67" w:history="1">
            <w:r w:rsidRPr="00152FD4">
              <w:rPr>
                <w:rStyle w:val="Lienhypertexte"/>
                <w:rFonts w:eastAsiaTheme="minorHAnsi"/>
                <w:noProof/>
                <w:lang w:val="fr-BE"/>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lang w:val="fr-BE"/>
              </w:rPr>
              <w:t>S</w:t>
            </w:r>
            <w:r w:rsidRPr="00152FD4">
              <w:rPr>
                <w:rStyle w:val="Lienhypertexte"/>
                <w:rFonts w:eastAsiaTheme="minorHAnsi"/>
                <w:noProof/>
                <w:lang w:val="fr-BE"/>
              </w:rPr>
              <w:t>OUS-TRAITANCE</w:t>
            </w:r>
            <w:r>
              <w:rPr>
                <w:noProof/>
                <w:webHidden/>
              </w:rPr>
              <w:tab/>
            </w:r>
            <w:r>
              <w:rPr>
                <w:noProof/>
                <w:webHidden/>
              </w:rPr>
              <w:fldChar w:fldCharType="begin"/>
            </w:r>
            <w:r>
              <w:rPr>
                <w:noProof/>
                <w:webHidden/>
              </w:rPr>
              <w:instrText xml:space="preserve"> PAGEREF _Toc198718167 \h </w:instrText>
            </w:r>
            <w:r>
              <w:rPr>
                <w:noProof/>
                <w:webHidden/>
              </w:rPr>
            </w:r>
            <w:r>
              <w:rPr>
                <w:noProof/>
                <w:webHidden/>
              </w:rPr>
              <w:fldChar w:fldCharType="separate"/>
            </w:r>
            <w:r>
              <w:rPr>
                <w:noProof/>
                <w:webHidden/>
              </w:rPr>
              <w:t>13</w:t>
            </w:r>
            <w:r>
              <w:rPr>
                <w:noProof/>
                <w:webHidden/>
              </w:rPr>
              <w:fldChar w:fldCharType="end"/>
            </w:r>
          </w:hyperlink>
        </w:p>
        <w:p w14:paraId="6D3914A3" w14:textId="741E4269"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68" w:history="1">
            <w:r w:rsidRPr="00152FD4">
              <w:rPr>
                <w:rStyle w:val="Lienhypertexte"/>
                <w:noProof/>
                <w:lang w:val="fr-BE"/>
              </w:rPr>
              <w:t>Article VIII.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CONFIDENTIALITE, PROTECTION DES DONNEES PERSONNELLES, MESURES DE SECURITE</w:t>
            </w:r>
            <w:r>
              <w:rPr>
                <w:noProof/>
                <w:webHidden/>
              </w:rPr>
              <w:tab/>
            </w:r>
            <w:r>
              <w:rPr>
                <w:noProof/>
                <w:webHidden/>
              </w:rPr>
              <w:fldChar w:fldCharType="begin"/>
            </w:r>
            <w:r>
              <w:rPr>
                <w:noProof/>
                <w:webHidden/>
              </w:rPr>
              <w:instrText xml:space="preserve"> PAGEREF _Toc198718168 \h </w:instrText>
            </w:r>
            <w:r>
              <w:rPr>
                <w:noProof/>
                <w:webHidden/>
              </w:rPr>
            </w:r>
            <w:r>
              <w:rPr>
                <w:noProof/>
                <w:webHidden/>
              </w:rPr>
              <w:fldChar w:fldCharType="separate"/>
            </w:r>
            <w:r>
              <w:rPr>
                <w:noProof/>
                <w:webHidden/>
              </w:rPr>
              <w:t>13</w:t>
            </w:r>
            <w:r>
              <w:rPr>
                <w:noProof/>
                <w:webHidden/>
              </w:rPr>
              <w:fldChar w:fldCharType="end"/>
            </w:r>
          </w:hyperlink>
        </w:p>
        <w:p w14:paraId="41D9A9B3" w14:textId="78719133"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69" w:history="1">
            <w:r w:rsidRPr="00152FD4">
              <w:rPr>
                <w:rStyle w:val="Lienhypertexte"/>
                <w:rFonts w:eastAsiaTheme="minorHAnsi"/>
                <w:noProof/>
                <w:lang w:val="fr-BE"/>
              </w:rPr>
              <w:t>Article IX.</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rFonts w:eastAsiaTheme="minorHAnsi"/>
                <w:noProof/>
                <w:lang w:val="fr-BE"/>
              </w:rPr>
              <w:t>DÉLAIS D’EXÉCUTION</w:t>
            </w:r>
            <w:r>
              <w:rPr>
                <w:noProof/>
                <w:webHidden/>
              </w:rPr>
              <w:tab/>
            </w:r>
            <w:r>
              <w:rPr>
                <w:noProof/>
                <w:webHidden/>
              </w:rPr>
              <w:fldChar w:fldCharType="begin"/>
            </w:r>
            <w:r>
              <w:rPr>
                <w:noProof/>
                <w:webHidden/>
              </w:rPr>
              <w:instrText xml:space="preserve"> PAGEREF _Toc198718169 \h </w:instrText>
            </w:r>
            <w:r>
              <w:rPr>
                <w:noProof/>
                <w:webHidden/>
              </w:rPr>
            </w:r>
            <w:r>
              <w:rPr>
                <w:noProof/>
                <w:webHidden/>
              </w:rPr>
              <w:fldChar w:fldCharType="separate"/>
            </w:r>
            <w:r>
              <w:rPr>
                <w:noProof/>
                <w:webHidden/>
              </w:rPr>
              <w:t>14</w:t>
            </w:r>
            <w:r>
              <w:rPr>
                <w:noProof/>
                <w:webHidden/>
              </w:rPr>
              <w:fldChar w:fldCharType="end"/>
            </w:r>
          </w:hyperlink>
        </w:p>
        <w:p w14:paraId="565014DD" w14:textId="0B633C83" w:rsidR="00BA45A8" w:rsidRDefault="00BA45A8">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70" w:history="1">
            <w:r w:rsidRPr="00152FD4">
              <w:rPr>
                <w:rStyle w:val="Lienhypertexte"/>
                <w:noProof/>
                <w:lang w:val="fr-BE"/>
              </w:rPr>
              <w:t>Article X.</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lang w:val="fr-BE"/>
              </w:rPr>
              <w:t>DESTRUCTION DES DONNÉES</w:t>
            </w:r>
            <w:r>
              <w:rPr>
                <w:noProof/>
                <w:webHidden/>
              </w:rPr>
              <w:tab/>
            </w:r>
            <w:r>
              <w:rPr>
                <w:noProof/>
                <w:webHidden/>
              </w:rPr>
              <w:fldChar w:fldCharType="begin"/>
            </w:r>
            <w:r>
              <w:rPr>
                <w:noProof/>
                <w:webHidden/>
              </w:rPr>
              <w:instrText xml:space="preserve"> PAGEREF _Toc198718170 \h </w:instrText>
            </w:r>
            <w:r>
              <w:rPr>
                <w:noProof/>
                <w:webHidden/>
              </w:rPr>
            </w:r>
            <w:r>
              <w:rPr>
                <w:noProof/>
                <w:webHidden/>
              </w:rPr>
              <w:fldChar w:fldCharType="separate"/>
            </w:r>
            <w:r>
              <w:rPr>
                <w:noProof/>
                <w:webHidden/>
              </w:rPr>
              <w:t>14</w:t>
            </w:r>
            <w:r>
              <w:rPr>
                <w:noProof/>
                <w:webHidden/>
              </w:rPr>
              <w:fldChar w:fldCharType="end"/>
            </w:r>
          </w:hyperlink>
        </w:p>
        <w:p w14:paraId="593D3E25" w14:textId="5A431BE0"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71" w:history="1">
            <w:r w:rsidRPr="00152FD4">
              <w:rPr>
                <w:rStyle w:val="Lienhypertexte"/>
                <w:noProof/>
                <w:lang w:val="fr-BE"/>
              </w:rPr>
              <w:t>Article XI.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lang w:val="fr-BE"/>
              </w:rPr>
              <w:t>REMISE DES PRESTATIONS ET DES MOYENS MATÉRIELS</w:t>
            </w:r>
            <w:r>
              <w:rPr>
                <w:noProof/>
                <w:webHidden/>
              </w:rPr>
              <w:tab/>
            </w:r>
            <w:r>
              <w:rPr>
                <w:noProof/>
                <w:webHidden/>
              </w:rPr>
              <w:fldChar w:fldCharType="begin"/>
            </w:r>
            <w:r>
              <w:rPr>
                <w:noProof/>
                <w:webHidden/>
              </w:rPr>
              <w:instrText xml:space="preserve"> PAGEREF _Toc198718171 \h </w:instrText>
            </w:r>
            <w:r>
              <w:rPr>
                <w:noProof/>
                <w:webHidden/>
              </w:rPr>
            </w:r>
            <w:r>
              <w:rPr>
                <w:noProof/>
                <w:webHidden/>
              </w:rPr>
              <w:fldChar w:fldCharType="separate"/>
            </w:r>
            <w:r>
              <w:rPr>
                <w:noProof/>
                <w:webHidden/>
              </w:rPr>
              <w:t>14</w:t>
            </w:r>
            <w:r>
              <w:rPr>
                <w:noProof/>
                <w:webHidden/>
              </w:rPr>
              <w:fldChar w:fldCharType="end"/>
            </w:r>
          </w:hyperlink>
        </w:p>
        <w:p w14:paraId="1D8605CF" w14:textId="78CBC24A"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72" w:history="1">
            <w:r w:rsidRPr="00152FD4">
              <w:rPr>
                <w:rStyle w:val="Lienhypertexte"/>
                <w:noProof/>
              </w:rPr>
              <w:t>Article XII.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rPr>
              <w:t>DIFFERENDS ET LITIGES</w:t>
            </w:r>
            <w:r>
              <w:rPr>
                <w:noProof/>
                <w:webHidden/>
              </w:rPr>
              <w:tab/>
            </w:r>
            <w:r>
              <w:rPr>
                <w:noProof/>
                <w:webHidden/>
              </w:rPr>
              <w:fldChar w:fldCharType="begin"/>
            </w:r>
            <w:r>
              <w:rPr>
                <w:noProof/>
                <w:webHidden/>
              </w:rPr>
              <w:instrText xml:space="preserve"> PAGEREF _Toc198718172 \h </w:instrText>
            </w:r>
            <w:r>
              <w:rPr>
                <w:noProof/>
                <w:webHidden/>
              </w:rPr>
            </w:r>
            <w:r>
              <w:rPr>
                <w:noProof/>
                <w:webHidden/>
              </w:rPr>
              <w:fldChar w:fldCharType="separate"/>
            </w:r>
            <w:r>
              <w:rPr>
                <w:noProof/>
                <w:webHidden/>
              </w:rPr>
              <w:t>14</w:t>
            </w:r>
            <w:r>
              <w:rPr>
                <w:noProof/>
                <w:webHidden/>
              </w:rPr>
              <w:fldChar w:fldCharType="end"/>
            </w:r>
          </w:hyperlink>
        </w:p>
        <w:p w14:paraId="39998D0C" w14:textId="4CBFF223" w:rsidR="00BA45A8" w:rsidRDefault="00BA45A8">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8718173" w:history="1">
            <w:r w:rsidRPr="00152FD4">
              <w:rPr>
                <w:rStyle w:val="Lienhypertexte"/>
                <w:noProof/>
                <w:lang w:val="fr-BE"/>
              </w:rPr>
              <w:t>Article XIII.</w:t>
            </w:r>
            <w:r>
              <w:rPr>
                <w:rFonts w:asciiTheme="minorHAnsi" w:eastAsiaTheme="minorEastAsia" w:hAnsiTheme="minorHAnsi" w:cstheme="minorBidi"/>
                <w:b w:val="0"/>
                <w:bCs w:val="0"/>
                <w:i w:val="0"/>
                <w:iCs w:val="0"/>
                <w:noProof/>
                <w:kern w:val="2"/>
                <w:lang w:val="fr-BE" w:eastAsia="fr-BE"/>
                <w14:ligatures w14:val="standardContextual"/>
              </w:rPr>
              <w:tab/>
            </w:r>
            <w:r w:rsidRPr="00152FD4">
              <w:rPr>
                <w:rStyle w:val="Lienhypertexte"/>
                <w:noProof/>
                <w:lang w:val="fr-BE"/>
              </w:rPr>
              <w:t>Dérogations au CCAG</w:t>
            </w:r>
            <w:r>
              <w:rPr>
                <w:noProof/>
                <w:webHidden/>
              </w:rPr>
              <w:tab/>
            </w:r>
            <w:r>
              <w:rPr>
                <w:noProof/>
                <w:webHidden/>
              </w:rPr>
              <w:fldChar w:fldCharType="begin"/>
            </w:r>
            <w:r>
              <w:rPr>
                <w:noProof/>
                <w:webHidden/>
              </w:rPr>
              <w:instrText xml:space="preserve"> PAGEREF _Toc198718173 \h </w:instrText>
            </w:r>
            <w:r>
              <w:rPr>
                <w:noProof/>
                <w:webHidden/>
              </w:rPr>
            </w:r>
            <w:r>
              <w:rPr>
                <w:noProof/>
                <w:webHidden/>
              </w:rPr>
              <w:fldChar w:fldCharType="separate"/>
            </w:r>
            <w:r>
              <w:rPr>
                <w:noProof/>
                <w:webHidden/>
              </w:rPr>
              <w:t>15</w:t>
            </w:r>
            <w:r>
              <w:rPr>
                <w:noProof/>
                <w:webHidden/>
              </w:rPr>
              <w:fldChar w:fldCharType="end"/>
            </w:r>
          </w:hyperlink>
        </w:p>
        <w:p w14:paraId="0D629C3A" w14:textId="52C4DDB3" w:rsidR="00AA7022" w:rsidRDefault="00AA7022">
          <w:r>
            <w:rPr>
              <w:b/>
              <w:bCs/>
            </w:rPr>
            <w:fldChar w:fldCharType="end"/>
          </w:r>
        </w:p>
      </w:sdtContent>
    </w:sdt>
    <w:p w14:paraId="4F54470C" w14:textId="77777777" w:rsidR="00AA7022" w:rsidRDefault="00AA7022" w:rsidP="00993119"/>
    <w:p w14:paraId="57DD0DF7" w14:textId="77777777" w:rsidR="003C65E8" w:rsidRDefault="003C65E8" w:rsidP="00993119"/>
    <w:p w14:paraId="17EA5ADE" w14:textId="77777777" w:rsidR="00E3130F" w:rsidRDefault="00E3130F" w:rsidP="00993119"/>
    <w:p w14:paraId="7EA4C5CB" w14:textId="77777777" w:rsidR="00E3130F" w:rsidRDefault="00E3130F" w:rsidP="00993119"/>
    <w:p w14:paraId="7B470C6B" w14:textId="77777777" w:rsidR="00E3130F" w:rsidRDefault="00E3130F" w:rsidP="00993119"/>
    <w:p w14:paraId="7590C757" w14:textId="77777777" w:rsidR="00E3130F" w:rsidRDefault="00E3130F" w:rsidP="00993119"/>
    <w:p w14:paraId="7A356A76" w14:textId="77777777" w:rsidR="00E3130F" w:rsidRDefault="00E3130F" w:rsidP="00993119"/>
    <w:p w14:paraId="7CBA6D59" w14:textId="77777777" w:rsidR="00E3130F" w:rsidRDefault="00E3130F" w:rsidP="00993119"/>
    <w:p w14:paraId="4071AAF7" w14:textId="77777777" w:rsidR="00E3130F" w:rsidRDefault="00E3130F" w:rsidP="00993119"/>
    <w:p w14:paraId="3C1F1D9A" w14:textId="77777777" w:rsidR="00E3130F" w:rsidRDefault="00E3130F" w:rsidP="00993119"/>
    <w:p w14:paraId="19994D16" w14:textId="77777777" w:rsidR="00E3130F" w:rsidRDefault="00E3130F" w:rsidP="00993119"/>
    <w:p w14:paraId="0B54F5E1" w14:textId="77777777" w:rsidR="00E3130F" w:rsidRDefault="00E3130F" w:rsidP="00993119"/>
    <w:p w14:paraId="49971E13" w14:textId="77777777" w:rsidR="00E3130F" w:rsidRDefault="00E3130F" w:rsidP="00993119"/>
    <w:p w14:paraId="7D6935F6" w14:textId="77777777" w:rsidR="00E3130F" w:rsidRDefault="00E3130F" w:rsidP="00993119"/>
    <w:p w14:paraId="11C0F91A" w14:textId="77777777" w:rsidR="00E3130F" w:rsidRDefault="00E3130F" w:rsidP="00993119"/>
    <w:p w14:paraId="17E8F3D9" w14:textId="77777777" w:rsidR="00E3130F" w:rsidRDefault="00E3130F" w:rsidP="00993119"/>
    <w:p w14:paraId="3E9CB173" w14:textId="77777777" w:rsidR="00E3130F" w:rsidRDefault="00E3130F" w:rsidP="00993119"/>
    <w:p w14:paraId="531AB69D" w14:textId="77777777" w:rsidR="00E3130F" w:rsidRDefault="00E3130F" w:rsidP="00993119"/>
    <w:p w14:paraId="1FAE8C8A" w14:textId="77777777" w:rsidR="00E3130F" w:rsidRDefault="00E3130F" w:rsidP="00993119"/>
    <w:p w14:paraId="212E4081" w14:textId="77777777" w:rsidR="00E3130F" w:rsidRDefault="00E3130F" w:rsidP="00993119"/>
    <w:p w14:paraId="2A20DBE8" w14:textId="77777777" w:rsidR="00E3130F" w:rsidRDefault="00E3130F" w:rsidP="00993119"/>
    <w:p w14:paraId="468678DB" w14:textId="77777777" w:rsidR="00E3130F" w:rsidRDefault="00E3130F" w:rsidP="00993119"/>
    <w:p w14:paraId="728EB736" w14:textId="77777777" w:rsidR="00E3130F" w:rsidRDefault="00E3130F" w:rsidP="00993119"/>
    <w:p w14:paraId="6B37764F" w14:textId="77777777" w:rsidR="00E3130F" w:rsidRDefault="00E3130F" w:rsidP="00993119"/>
    <w:p w14:paraId="48E8AA30" w14:textId="77777777" w:rsidR="00E3130F" w:rsidRDefault="00E3130F" w:rsidP="00993119"/>
    <w:p w14:paraId="42C12A87" w14:textId="77777777" w:rsidR="00E3130F" w:rsidRDefault="00E3130F" w:rsidP="00993119"/>
    <w:p w14:paraId="3C8EB9FD" w14:textId="77777777" w:rsidR="00E3130F" w:rsidRDefault="00E3130F" w:rsidP="00993119"/>
    <w:p w14:paraId="7272DB8C" w14:textId="77777777" w:rsidR="00C83A6C" w:rsidRDefault="00C83A6C" w:rsidP="00993119"/>
    <w:p w14:paraId="56CC727E" w14:textId="1188A9CD" w:rsidR="002C6C58" w:rsidRPr="00394727" w:rsidRDefault="002C6C58" w:rsidP="00394727">
      <w:pPr>
        <w:pStyle w:val="Titre1"/>
      </w:pPr>
      <w:bookmarkStart w:id="2" w:name="_Toc198718140"/>
      <w:r w:rsidRPr="00394727">
        <w:lastRenderedPageBreak/>
        <w:t>OBJET DU MARCHE</w:t>
      </w:r>
      <w:bookmarkEnd w:id="2"/>
    </w:p>
    <w:p w14:paraId="42E526CF" w14:textId="77777777" w:rsidR="002C6C58" w:rsidRPr="009D7405" w:rsidRDefault="002C6C58" w:rsidP="009D7405">
      <w:pPr>
        <w:pStyle w:val="Titre2"/>
      </w:pPr>
      <w:bookmarkStart w:id="3" w:name="_Toc161406916"/>
      <w:bookmarkStart w:id="4" w:name="_Toc198718141"/>
      <w:r w:rsidRPr="009D7405">
        <w:t>Partie contractante</w:t>
      </w:r>
      <w:bookmarkEnd w:id="3"/>
      <w:bookmarkEnd w:id="4"/>
    </w:p>
    <w:p w14:paraId="6C0EAF22" w14:textId="0AB720B0" w:rsidR="002C6C58" w:rsidRDefault="002C6C58" w:rsidP="00C83A6C">
      <w:pPr>
        <w:ind w:left="-1134"/>
        <w:jc w:val="both"/>
      </w:pPr>
      <w:r>
        <w:t xml:space="preserve">Le marché est passé pour le compte du </w:t>
      </w:r>
      <w:r w:rsidRPr="002C6C58">
        <w:rPr>
          <w:b/>
          <w:bCs/>
        </w:rPr>
        <w:t>Grand Port Maritime</w:t>
      </w:r>
      <w:r w:rsidRPr="002C6C58">
        <w:t> de la </w:t>
      </w:r>
      <w:r w:rsidRPr="002C6C58">
        <w:rPr>
          <w:b/>
          <w:bCs/>
        </w:rPr>
        <w:t>Guyane</w:t>
      </w:r>
      <w:r>
        <w:rPr>
          <w:b/>
          <w:bCs/>
        </w:rPr>
        <w:t xml:space="preserve"> (</w:t>
      </w:r>
      <w:r w:rsidR="00433D73" w:rsidRPr="00433D73">
        <w:rPr>
          <w:b/>
          <w:bCs/>
        </w:rPr>
        <w:t>GPM-Guyane</w:t>
      </w:r>
      <w:r>
        <w:rPr>
          <w:b/>
          <w:bCs/>
        </w:rPr>
        <w:t>)</w:t>
      </w:r>
      <w:r>
        <w:t xml:space="preserve">, représenté par son directeur général. Le </w:t>
      </w:r>
      <w:r w:rsidR="00433D73" w:rsidRPr="00433D73">
        <w:t>GPM-Guyane</w:t>
      </w:r>
      <w:r>
        <w:t xml:space="preserve"> est un établissement public à caractère industriel et commercial (EPIC) dont le siège est situé à :</w:t>
      </w:r>
    </w:p>
    <w:p w14:paraId="70BF4182" w14:textId="5D73EF8C" w:rsidR="002C6C58" w:rsidRDefault="002C6C58" w:rsidP="002C6C58">
      <w:pPr>
        <w:spacing w:before="120" w:after="120"/>
        <w:ind w:left="-1418"/>
        <w:jc w:val="center"/>
      </w:pPr>
      <w:r w:rsidRPr="002C6C58">
        <w:t>Zone de Dégrad des cannes 97354 Rémire- Montjol</w:t>
      </w:r>
      <w:r w:rsidR="00717480">
        <w:t>y</w:t>
      </w:r>
    </w:p>
    <w:p w14:paraId="7DAF8405" w14:textId="433B55D9" w:rsidR="002C6C58" w:rsidRDefault="002C6C58" w:rsidP="002C6C58">
      <w:pPr>
        <w:spacing w:before="120" w:after="120"/>
        <w:ind w:left="-1418"/>
        <w:jc w:val="center"/>
      </w:pPr>
      <w:r w:rsidRPr="002C6C58">
        <w:t>Guyane française</w:t>
      </w:r>
    </w:p>
    <w:p w14:paraId="6C52FBF9" w14:textId="1AC41DFD" w:rsidR="002C6C58" w:rsidRDefault="002C6C58" w:rsidP="002C6C58">
      <w:pPr>
        <w:spacing w:before="120" w:after="120"/>
        <w:ind w:left="-1418"/>
        <w:jc w:val="center"/>
      </w:pPr>
      <w:r>
        <w:t>France</w:t>
      </w:r>
    </w:p>
    <w:p w14:paraId="399EB324" w14:textId="486205CA" w:rsidR="002C6C58" w:rsidRDefault="002C6C58" w:rsidP="009D7405">
      <w:pPr>
        <w:pStyle w:val="Titre2"/>
      </w:pPr>
      <w:bookmarkStart w:id="5" w:name="_Toc198718142"/>
      <w:bookmarkStart w:id="6" w:name="_Toc161406917"/>
      <w:r w:rsidRPr="00BD48F4">
        <w:t>Objet du marché</w:t>
      </w:r>
      <w:bookmarkEnd w:id="5"/>
      <w:r w:rsidRPr="00BD48F4">
        <w:t xml:space="preserve"> </w:t>
      </w:r>
      <w:bookmarkEnd w:id="6"/>
    </w:p>
    <w:p w14:paraId="253EC604" w14:textId="77777777" w:rsidR="00BB794F" w:rsidRDefault="00BB794F" w:rsidP="00BB794F">
      <w:pPr>
        <w:spacing w:after="0"/>
        <w:ind w:left="-1134"/>
        <w:jc w:val="both"/>
      </w:pPr>
      <w:bookmarkStart w:id="7" w:name="_Hlk146823193"/>
      <w:r w:rsidRPr="00573E9D">
        <w:t xml:space="preserve">Le présent marché a pour objet la fourniture, l’intégration, le déploiement, la maintenance et le support d’un Système d’Information des Ressources Humaines (SIRH) pour le Grand Port Maritime de Guyane. La solution recherchée devra couvrir l’ensemble des besoins fonctionnels en matière de gestion RH, tout en assurant l’interopérabilité avec les outils existants et la conformité aux exigences réglementaires en vigueur. </w:t>
      </w:r>
    </w:p>
    <w:p w14:paraId="743F529A" w14:textId="7A4D46C7" w:rsidR="00BB794F" w:rsidRDefault="00BB794F" w:rsidP="00BB794F">
      <w:pPr>
        <w:spacing w:after="0"/>
        <w:ind w:left="-1134"/>
        <w:jc w:val="both"/>
        <w:rPr>
          <w:lang w:eastAsia="fr-FR"/>
        </w:rPr>
      </w:pPr>
      <w:r w:rsidRPr="00573E9D">
        <w:t xml:space="preserve">Le titulaire devra accompagner le </w:t>
      </w:r>
      <w:r w:rsidR="00433D73" w:rsidRPr="00433D73">
        <w:t>GPM-Guyane</w:t>
      </w:r>
      <w:r w:rsidRPr="00573E9D">
        <w:t xml:space="preserve"> tout au long du projet, depuis la phase de cadrage jusqu’au déploiement opérationnel, en garantissant un haut niveau de qualité de service, de sécurité des données et d’appropriation par les utilisateurs.</w:t>
      </w:r>
    </w:p>
    <w:bookmarkEnd w:id="7"/>
    <w:p w14:paraId="122A1FA4" w14:textId="057F9735" w:rsidR="00CE6783" w:rsidRDefault="002C6C58" w:rsidP="00CE6783">
      <w:pPr>
        <w:spacing w:before="240"/>
        <w:ind w:left="-1134"/>
      </w:pPr>
      <w:r w:rsidRPr="00BD48F4">
        <w:t>La description des prestations figure au C.C.T.P.</w:t>
      </w:r>
    </w:p>
    <w:p w14:paraId="66573CDE" w14:textId="77777777" w:rsidR="004523D4" w:rsidRPr="004523D4" w:rsidRDefault="004523D4" w:rsidP="004523D4">
      <w:pPr>
        <w:pStyle w:val="Titre2"/>
      </w:pPr>
      <w:bookmarkStart w:id="8" w:name="_Toc465243675"/>
      <w:bookmarkStart w:id="9" w:name="_Toc193806275"/>
      <w:bookmarkStart w:id="10" w:name="_Toc198037071"/>
      <w:bookmarkStart w:id="11" w:name="_Toc198718143"/>
      <w:r w:rsidRPr="004523D4">
        <w:t>Forme du march</w:t>
      </w:r>
      <w:bookmarkEnd w:id="8"/>
      <w:r w:rsidRPr="004523D4">
        <w:t>é</w:t>
      </w:r>
      <w:bookmarkEnd w:id="9"/>
      <w:bookmarkEnd w:id="10"/>
      <w:bookmarkEnd w:id="11"/>
      <w:r w:rsidRPr="004523D4">
        <w:tab/>
      </w:r>
    </w:p>
    <w:p w14:paraId="3BC6FA73" w14:textId="77777777" w:rsidR="004523D4" w:rsidRDefault="004523D4" w:rsidP="004523D4">
      <w:pPr>
        <w:ind w:left="-1134"/>
      </w:pPr>
      <w:r w:rsidRPr="00657E06">
        <w:t xml:space="preserve">Ce marché </w:t>
      </w:r>
      <w:r>
        <w:t xml:space="preserve">est un </w:t>
      </w:r>
      <w:r w:rsidRPr="00657E06">
        <w:t xml:space="preserve">accord-cadre </w:t>
      </w:r>
      <w:proofErr w:type="spellStart"/>
      <w:r w:rsidRPr="00657E06">
        <w:t>monoattributaire</w:t>
      </w:r>
      <w:proofErr w:type="spellEnd"/>
      <w:r w:rsidRPr="00657E06">
        <w:t xml:space="preserve"> à bons de command</w:t>
      </w:r>
      <w:r>
        <w:t>e.</w:t>
      </w:r>
    </w:p>
    <w:p w14:paraId="4E95DD4A" w14:textId="47DFCFFE" w:rsidR="004523D4" w:rsidRDefault="004523D4" w:rsidP="004523D4">
      <w:pPr>
        <w:ind w:left="-1134"/>
      </w:pPr>
      <w:r w:rsidRPr="00A03A89">
        <w:t xml:space="preserve">Le présent marché est un </w:t>
      </w:r>
      <w:r w:rsidRPr="00657E06">
        <w:t>marché unique</w:t>
      </w:r>
      <w:r w:rsidRPr="00A03A89">
        <w:t xml:space="preserve"> pluriannuel de type accord cadre régit par les articles R 2125-1 et suivants du code de la commande publique.</w:t>
      </w:r>
    </w:p>
    <w:p w14:paraId="78B2CC8C" w14:textId="5183E27B" w:rsidR="000C358F" w:rsidRDefault="000C358F" w:rsidP="009D7405">
      <w:pPr>
        <w:pStyle w:val="Titre2"/>
      </w:pPr>
      <w:bookmarkStart w:id="12" w:name="_Toc146825031"/>
      <w:bookmarkStart w:id="13" w:name="_Toc198718144"/>
      <w:r w:rsidRPr="000C358F">
        <w:t>Montant maximum</w:t>
      </w:r>
      <w:bookmarkEnd w:id="12"/>
      <w:bookmarkEnd w:id="13"/>
    </w:p>
    <w:p w14:paraId="1E1EBF17" w14:textId="44612C32" w:rsidR="00181BF8" w:rsidRPr="00181BF8" w:rsidRDefault="00181BF8" w:rsidP="00181BF8">
      <w:pPr>
        <w:ind w:left="-1134"/>
        <w:rPr>
          <w:lang w:val="fr-BE"/>
        </w:rPr>
      </w:pPr>
      <w:r w:rsidRPr="00181BF8">
        <w:rPr>
          <w:lang w:val="fr-BE"/>
        </w:rPr>
        <w:t>Le marché est conclu sans montant minimum.</w:t>
      </w:r>
      <w:r w:rsidRPr="00181BF8">
        <w:rPr>
          <w:lang w:val="fr-BE"/>
        </w:rPr>
        <w:br/>
        <w:t>Le montant maximum du marché, toutes périodes confondues, ne pourra pas excéder 200.000 € TTC sur une durée totale de 6 ans répartie entre deux phases :</w:t>
      </w:r>
    </w:p>
    <w:p w14:paraId="1C95A78E" w14:textId="77777777" w:rsidR="00181BF8" w:rsidRPr="00181BF8" w:rsidRDefault="00181BF8" w:rsidP="007546BF">
      <w:pPr>
        <w:numPr>
          <w:ilvl w:val="0"/>
          <w:numId w:val="17"/>
        </w:numPr>
        <w:rPr>
          <w:lang w:val="fr-BE"/>
        </w:rPr>
      </w:pPr>
      <w:r w:rsidRPr="00181BF8">
        <w:rPr>
          <w:b/>
          <w:bCs/>
          <w:lang w:val="fr-BE"/>
        </w:rPr>
        <w:t>Phase 1</w:t>
      </w:r>
      <w:r w:rsidRPr="00181BF8">
        <w:rPr>
          <w:lang w:val="fr-BE"/>
        </w:rPr>
        <w:t xml:space="preserve"> : Déploiement du SIRH,</w:t>
      </w:r>
    </w:p>
    <w:p w14:paraId="7D7874B0" w14:textId="65153911" w:rsidR="000C358F" w:rsidRPr="00CE6783" w:rsidRDefault="00181BF8" w:rsidP="007546BF">
      <w:pPr>
        <w:numPr>
          <w:ilvl w:val="0"/>
          <w:numId w:val="17"/>
        </w:numPr>
        <w:spacing w:after="0"/>
        <w:rPr>
          <w:lang w:val="fr-BE"/>
        </w:rPr>
      </w:pPr>
      <w:r w:rsidRPr="00181BF8">
        <w:rPr>
          <w:b/>
          <w:bCs/>
          <w:lang w:val="fr-BE"/>
        </w:rPr>
        <w:t>Phase 2</w:t>
      </w:r>
      <w:r w:rsidRPr="00181BF8">
        <w:rPr>
          <w:lang w:val="fr-BE"/>
        </w:rPr>
        <w:t xml:space="preserve"> : Exploitation et maintenance pendant une durée de six ans à compter de la mise en œuvre du système.</w:t>
      </w:r>
    </w:p>
    <w:p w14:paraId="195F063A" w14:textId="24E5743E" w:rsidR="00181BF8" w:rsidRDefault="000C358F" w:rsidP="009D7405">
      <w:pPr>
        <w:pStyle w:val="Titre2"/>
      </w:pPr>
      <w:bookmarkStart w:id="14" w:name="_Toc146825032"/>
      <w:bookmarkStart w:id="15" w:name="_Toc198718145"/>
      <w:r w:rsidRPr="000C358F">
        <w:t>Durée</w:t>
      </w:r>
      <w:bookmarkEnd w:id="14"/>
      <w:bookmarkEnd w:id="15"/>
    </w:p>
    <w:p w14:paraId="3E2149BD" w14:textId="77777777" w:rsidR="00CE6783" w:rsidRDefault="00CE6783" w:rsidP="00CE6783">
      <w:pPr>
        <w:ind w:left="-1134"/>
        <w:jc w:val="both"/>
        <w:rPr>
          <w:lang w:eastAsia="fr-FR"/>
        </w:rPr>
      </w:pPr>
      <w:r w:rsidRPr="00181BF8">
        <w:rPr>
          <w:lang w:eastAsia="fr-FR"/>
        </w:rPr>
        <w:t>Le marché prend effet à compter de sa notification.</w:t>
      </w:r>
      <w:r>
        <w:rPr>
          <w:lang w:eastAsia="fr-FR"/>
        </w:rPr>
        <w:t xml:space="preserve"> </w:t>
      </w:r>
    </w:p>
    <w:p w14:paraId="1E16B300" w14:textId="77777777" w:rsidR="00CE6783" w:rsidRDefault="00CE6783" w:rsidP="00CE6783">
      <w:pPr>
        <w:ind w:left="-1134"/>
        <w:jc w:val="both"/>
        <w:rPr>
          <w:lang w:eastAsia="fr-FR"/>
        </w:rPr>
      </w:pPr>
      <w:r w:rsidRPr="00181BF8">
        <w:rPr>
          <w:lang w:eastAsia="fr-FR"/>
        </w:rPr>
        <w:t xml:space="preserve">Il est conclu pour une durée initiale d’un an pour la Phase 1 (déploiement). </w:t>
      </w:r>
    </w:p>
    <w:p w14:paraId="0545426F" w14:textId="63A1E278" w:rsidR="00CE6783" w:rsidRPr="00CE6783" w:rsidRDefault="00CE6783" w:rsidP="00CE6783">
      <w:pPr>
        <w:ind w:left="-1134"/>
        <w:jc w:val="both"/>
        <w:rPr>
          <w:lang w:eastAsia="fr-FR"/>
        </w:rPr>
      </w:pPr>
      <w:r w:rsidRPr="00181BF8">
        <w:rPr>
          <w:lang w:eastAsia="fr-FR"/>
        </w:rPr>
        <w:t>La Phase 2 (exploitation) débute immédiatement après la mise en service, pour une durée de 6 ans à compter de la mise en œuvre du SIRH, conformément à la durée dérogatoire prévue par l'Article L2125-1 du Code de la commande publique, au regard de l’importance de l’investissement et de sa durée d’amortissement.</w:t>
      </w:r>
    </w:p>
    <w:p w14:paraId="65D7FC0E" w14:textId="0AD2666F" w:rsidR="000C358F" w:rsidRPr="000C358F" w:rsidRDefault="000C358F" w:rsidP="009D7405">
      <w:pPr>
        <w:pStyle w:val="Titre2"/>
      </w:pPr>
      <w:bookmarkStart w:id="16" w:name="_Toc198718146"/>
      <w:r w:rsidRPr="000C358F">
        <w:t>Renouvellement</w:t>
      </w:r>
      <w:bookmarkEnd w:id="16"/>
      <w:r w:rsidRPr="000C358F">
        <w:t xml:space="preserve"> </w:t>
      </w:r>
    </w:p>
    <w:p w14:paraId="77A2BAD5" w14:textId="5DC75828" w:rsidR="00181BF8" w:rsidRDefault="00181BF8" w:rsidP="00CB6B4F">
      <w:pPr>
        <w:ind w:left="-1134"/>
        <w:jc w:val="both"/>
      </w:pPr>
      <w:r w:rsidRPr="00181BF8">
        <w:t xml:space="preserve">Le marché est reconductible tacitement </w:t>
      </w:r>
      <w:r w:rsidR="008D7BB1">
        <w:t xml:space="preserve">cinq </w:t>
      </w:r>
      <w:r w:rsidRPr="00181BF8">
        <w:t>fois, par période de</w:t>
      </w:r>
      <w:r>
        <w:t xml:space="preserve"> </w:t>
      </w:r>
      <w:r w:rsidRPr="00181BF8">
        <w:t xml:space="preserve">12 mois, pour une période supplémentaire de maintenance et de suivi des services associés à l’exploitation du SIRH, sans que sa </w:t>
      </w:r>
      <w:r w:rsidRPr="00181BF8">
        <w:lastRenderedPageBreak/>
        <w:t>durée totale ne puisse excéder 48 mois. Chaque reconduction est notifiée au plus tard trois mois avant la fin de la période en cours, sauf dénonciation par le pouvoir adjudicateur.</w:t>
      </w:r>
    </w:p>
    <w:p w14:paraId="46D70E04" w14:textId="7EA6D334" w:rsidR="00DD701C" w:rsidRPr="00DD701C" w:rsidRDefault="00DD701C" w:rsidP="00394727">
      <w:pPr>
        <w:pStyle w:val="Titre1"/>
      </w:pPr>
      <w:bookmarkStart w:id="17" w:name="_Toc161406922"/>
      <w:bookmarkStart w:id="18" w:name="_Toc198718147"/>
      <w:r w:rsidRPr="00BD48F4">
        <w:t>PIECES CONSTITUTIVES DU MARCHE</w:t>
      </w:r>
      <w:bookmarkEnd w:id="17"/>
      <w:bookmarkEnd w:id="18"/>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1BFA23E3" w14:textId="1EC053C5" w:rsidR="00E14BE0" w:rsidRPr="00E14BE0" w:rsidRDefault="00DD701C" w:rsidP="009D7405">
      <w:pPr>
        <w:pStyle w:val="Titre2"/>
      </w:pPr>
      <w:bookmarkStart w:id="19" w:name="_Toc161406923"/>
      <w:bookmarkStart w:id="20" w:name="_Toc198718148"/>
      <w:r w:rsidRPr="00DD701C">
        <w:t>Les Pièces particulières</w:t>
      </w:r>
      <w:bookmarkEnd w:id="19"/>
      <w:bookmarkEnd w:id="20"/>
    </w:p>
    <w:p w14:paraId="4B941B3D" w14:textId="7DB8A054" w:rsidR="00DD701C" w:rsidRDefault="00DD701C" w:rsidP="009A073E">
      <w:pPr>
        <w:pStyle w:val="Paragraphedeliste"/>
        <w:ind w:left="-284"/>
      </w:pPr>
      <w:r w:rsidRPr="00994776">
        <w:t>Pièce N°1 : L'acte d'engagement « AE</w:t>
      </w:r>
      <w:r>
        <w:t xml:space="preserve"> </w:t>
      </w:r>
      <w:r w:rsidR="00805097">
        <w:rPr>
          <w:i/>
          <w:iCs/>
          <w:smallCaps/>
        </w:rPr>
        <w:t xml:space="preserve">GPM-G </w:t>
      </w:r>
      <w:r w:rsidR="00AF14F3">
        <w:rPr>
          <w:i/>
          <w:iCs/>
          <w:smallCaps/>
        </w:rPr>
        <w:t xml:space="preserve">RX 25 17 </w:t>
      </w:r>
      <w:r w:rsidR="002B4816">
        <w:rPr>
          <w:i/>
          <w:iCs/>
          <w:smallCaps/>
        </w:rPr>
        <w:t>SIRH</w:t>
      </w:r>
      <w:r w:rsidR="00805097">
        <w:rPr>
          <w:i/>
          <w:iCs/>
          <w:smallCaps/>
        </w:rPr>
        <w:t xml:space="preserve"> </w:t>
      </w:r>
      <w:r w:rsidRPr="002A25F1">
        <w:t>» et toutes les annexes :</w:t>
      </w:r>
    </w:p>
    <w:p w14:paraId="1BE7B4EE" w14:textId="77777777" w:rsidR="00E33558" w:rsidRPr="002A25F1" w:rsidRDefault="00E33558" w:rsidP="00E33558">
      <w:pPr>
        <w:pStyle w:val="Paragraphedeliste"/>
        <w:numPr>
          <w:ilvl w:val="0"/>
          <w:numId w:val="0"/>
        </w:numPr>
        <w:ind w:left="-284"/>
      </w:pPr>
    </w:p>
    <w:p w14:paraId="0BE5C416" w14:textId="7E044BC1" w:rsidR="00DD701C" w:rsidRPr="004657BA" w:rsidRDefault="00DD701C" w:rsidP="007546BF">
      <w:pPr>
        <w:pStyle w:val="Paragraphedeliste"/>
        <w:numPr>
          <w:ilvl w:val="1"/>
          <w:numId w:val="5"/>
        </w:numPr>
        <w:spacing w:after="108" w:line="248" w:lineRule="auto"/>
      </w:pPr>
      <w:r w:rsidRPr="004657BA">
        <w:t xml:space="preserve">Annexe </w:t>
      </w:r>
      <w:r w:rsidR="00D7666F" w:rsidRPr="004657BA">
        <w:t>conformité</w:t>
      </w:r>
      <w:r w:rsidRPr="004657BA">
        <w:t xml:space="preserve"> : bordereau des différences de valeur à la charge du </w:t>
      </w:r>
      <w:r w:rsidR="00433D73" w:rsidRPr="00433D73">
        <w:t>GPM-Guyane</w:t>
      </w:r>
      <w:r w:rsidR="009B355E" w:rsidRPr="004657BA">
        <w:t> ;</w:t>
      </w:r>
    </w:p>
    <w:p w14:paraId="08A03A11" w14:textId="015DBD11" w:rsidR="00DD701C" w:rsidRPr="004657BA" w:rsidRDefault="00DD701C" w:rsidP="007546BF">
      <w:pPr>
        <w:pStyle w:val="Paragraphedeliste"/>
        <w:numPr>
          <w:ilvl w:val="1"/>
          <w:numId w:val="5"/>
        </w:numPr>
        <w:spacing w:after="108" w:line="248" w:lineRule="auto"/>
      </w:pPr>
      <w:r w:rsidRPr="004657BA">
        <w:t xml:space="preserve">Annexe </w:t>
      </w:r>
      <w:r w:rsidR="00D7666F" w:rsidRPr="004657BA">
        <w:t>prix</w:t>
      </w:r>
      <w:r w:rsidRPr="004657BA">
        <w:t> : Bordereau des Prix</w:t>
      </w:r>
      <w:r w:rsidR="00002A66">
        <w:t xml:space="preserve"> </w:t>
      </w:r>
      <w:r w:rsidR="009B355E" w:rsidRPr="004657BA">
        <w:t>;</w:t>
      </w:r>
    </w:p>
    <w:p w14:paraId="5184BE00" w14:textId="77777777" w:rsidR="00772C55" w:rsidRDefault="00DD701C" w:rsidP="007546BF">
      <w:pPr>
        <w:pStyle w:val="Paragraphedeliste"/>
        <w:numPr>
          <w:ilvl w:val="1"/>
          <w:numId w:val="5"/>
        </w:numPr>
        <w:spacing w:after="108" w:line="248" w:lineRule="auto"/>
      </w:pPr>
      <w:r w:rsidRPr="004657BA">
        <w:t xml:space="preserve">Annexe </w:t>
      </w:r>
      <w:r w:rsidR="00D7666F" w:rsidRPr="004657BA">
        <w:t xml:space="preserve">valeur </w:t>
      </w:r>
      <w:r w:rsidR="00191A59" w:rsidRPr="004657BA">
        <w:t>technique :</w:t>
      </w:r>
      <w:r w:rsidRPr="004657BA">
        <w:t xml:space="preserve"> Bordereau de réponse au critère « Valeurs techniques de l’offre »</w:t>
      </w:r>
      <w:r w:rsidR="009B355E" w:rsidRPr="004657BA">
        <w:t> ;</w:t>
      </w:r>
    </w:p>
    <w:p w14:paraId="22E8559F" w14:textId="77777777" w:rsidR="00772C55" w:rsidRPr="00772C55" w:rsidRDefault="00772C55" w:rsidP="007546BF">
      <w:pPr>
        <w:pStyle w:val="Paragraphedeliste"/>
        <w:numPr>
          <w:ilvl w:val="1"/>
          <w:numId w:val="5"/>
        </w:numPr>
        <w:spacing w:after="108" w:line="248" w:lineRule="auto"/>
      </w:pPr>
      <w:r>
        <w:t xml:space="preserve">Annexe sécurité et conformité RGPD : </w:t>
      </w:r>
      <w:r w:rsidRPr="00772C55">
        <w:rPr>
          <w:i/>
          <w:iCs/>
        </w:rPr>
        <w:t xml:space="preserve">Bordereau de réponse au critère « Sécurité </w:t>
      </w:r>
      <w:r>
        <w:rPr>
          <w:i/>
          <w:iCs/>
        </w:rPr>
        <w:t>et</w:t>
      </w:r>
      <w:r w:rsidRPr="00772C55">
        <w:rPr>
          <w:i/>
          <w:iCs/>
        </w:rPr>
        <w:t xml:space="preserve"> conformité RGPD »</w:t>
      </w:r>
    </w:p>
    <w:p w14:paraId="52B2C407" w14:textId="1D8482EA" w:rsidR="00772C55" w:rsidRPr="004657BA" w:rsidRDefault="00772C55" w:rsidP="007546BF">
      <w:pPr>
        <w:pStyle w:val="Paragraphedeliste"/>
        <w:numPr>
          <w:ilvl w:val="1"/>
          <w:numId w:val="5"/>
        </w:numPr>
        <w:spacing w:after="108" w:line="248" w:lineRule="auto"/>
      </w:pPr>
      <w:r>
        <w:rPr>
          <w:i/>
          <w:iCs/>
        </w:rPr>
        <w:t xml:space="preserve">Annexe aspects RSE du projet : </w:t>
      </w:r>
      <w:r w:rsidRPr="00772C55">
        <w:rPr>
          <w:i/>
          <w:iCs/>
        </w:rPr>
        <w:t>Bordereau de réponse au critère « Aspects RSE du projet »</w:t>
      </w:r>
    </w:p>
    <w:p w14:paraId="2652FC07" w14:textId="17BD9479" w:rsidR="00DD701C" w:rsidRPr="004657BA" w:rsidRDefault="00DD701C" w:rsidP="007546BF">
      <w:pPr>
        <w:pStyle w:val="Titre"/>
        <w:numPr>
          <w:ilvl w:val="1"/>
          <w:numId w:val="5"/>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64B4E208" w14:textId="33BDCB60" w:rsidR="002E22B3" w:rsidRDefault="00DD701C" w:rsidP="009D7405">
      <w:pPr>
        <w:pStyle w:val="Paragraphedeliste"/>
        <w:spacing w:before="240"/>
        <w:ind w:left="-284"/>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 xml:space="preserve">(CCAP </w:t>
      </w:r>
      <w:r w:rsidR="00B81017">
        <w:rPr>
          <w:i/>
          <w:iCs/>
          <w:smallCaps/>
        </w:rPr>
        <w:t xml:space="preserve">GPM-G </w:t>
      </w:r>
      <w:r w:rsidR="00AF14F3">
        <w:rPr>
          <w:i/>
          <w:iCs/>
          <w:smallCaps/>
        </w:rPr>
        <w:t xml:space="preserve">RX 25 17 </w:t>
      </w:r>
      <w:r w:rsidR="002B4816">
        <w:rPr>
          <w:i/>
          <w:iCs/>
          <w:smallCaps/>
        </w:rPr>
        <w:t>SIRH</w:t>
      </w:r>
      <w:r w:rsidR="002E22B3" w:rsidRPr="002A25F1">
        <w:t>)</w:t>
      </w:r>
      <w:r w:rsidR="009B355E">
        <w:t>.</w:t>
      </w:r>
    </w:p>
    <w:p w14:paraId="12D5EF64" w14:textId="0A504445" w:rsidR="00E33558" w:rsidRDefault="00DD701C" w:rsidP="009D7405">
      <w:pPr>
        <w:pStyle w:val="Paragraphedeliste"/>
        <w:numPr>
          <w:ilvl w:val="0"/>
          <w:numId w:val="0"/>
        </w:numPr>
        <w:spacing w:before="240"/>
        <w:ind w:left="-284"/>
      </w:pPr>
      <w:r w:rsidRPr="002A25F1">
        <w:t xml:space="preserve"> </w:t>
      </w:r>
    </w:p>
    <w:p w14:paraId="4C175C2F" w14:textId="77777777" w:rsidR="00E33558" w:rsidRDefault="00E33558" w:rsidP="009D7405">
      <w:pPr>
        <w:pStyle w:val="Paragraphedeliste"/>
        <w:numPr>
          <w:ilvl w:val="0"/>
          <w:numId w:val="0"/>
        </w:numPr>
        <w:spacing w:before="240"/>
        <w:ind w:left="-284"/>
      </w:pPr>
    </w:p>
    <w:p w14:paraId="5AAAE8F4" w14:textId="46EF15E0" w:rsidR="00E33558" w:rsidRDefault="00DD701C" w:rsidP="009D7405">
      <w:pPr>
        <w:pStyle w:val="Paragraphedeliste"/>
        <w:spacing w:before="240"/>
        <w:ind w:left="-284"/>
      </w:pPr>
      <w:r w:rsidRPr="002A25F1">
        <w:t>Pièce N°3 : Le cahier des clauses techniques particulières (CCTP</w:t>
      </w:r>
      <w:r w:rsidRPr="006C2D61">
        <w:t xml:space="preserve"> </w:t>
      </w:r>
      <w:r w:rsidR="00B81017">
        <w:rPr>
          <w:i/>
          <w:iCs/>
          <w:smallCaps/>
        </w:rPr>
        <w:t xml:space="preserve">GPM-G </w:t>
      </w:r>
      <w:r w:rsidR="00AF14F3">
        <w:rPr>
          <w:i/>
          <w:iCs/>
          <w:smallCaps/>
        </w:rPr>
        <w:t xml:space="preserve">RX 25 17 </w:t>
      </w:r>
      <w:r w:rsidR="002B4816">
        <w:rPr>
          <w:i/>
          <w:iCs/>
          <w:smallCaps/>
        </w:rPr>
        <w:t>SIRH</w:t>
      </w:r>
      <w:r w:rsidRPr="002A25F1">
        <w:t>)</w:t>
      </w:r>
      <w:r w:rsidR="009B355E">
        <w:t>.</w:t>
      </w:r>
    </w:p>
    <w:p w14:paraId="3475E075" w14:textId="77777777" w:rsidR="00E33558" w:rsidRDefault="00E33558" w:rsidP="009D7405">
      <w:pPr>
        <w:pStyle w:val="Paragraphedeliste"/>
        <w:numPr>
          <w:ilvl w:val="0"/>
          <w:numId w:val="0"/>
        </w:numPr>
        <w:spacing w:after="108" w:line="248" w:lineRule="auto"/>
        <w:ind w:left="-284"/>
      </w:pPr>
    </w:p>
    <w:p w14:paraId="01FB3160" w14:textId="4FC215D7" w:rsidR="00E33558" w:rsidRDefault="00E33558" w:rsidP="009D7405">
      <w:pPr>
        <w:pStyle w:val="Paragraphedeliste"/>
        <w:spacing w:after="108" w:line="248" w:lineRule="auto"/>
        <w:ind w:left="-284"/>
      </w:pPr>
      <w:r w:rsidRPr="00E33558">
        <w:t xml:space="preserve">Pièce N°4 : </w:t>
      </w:r>
      <w:r>
        <w:t xml:space="preserve">L’annexe au dossier de candidature </w:t>
      </w:r>
      <w:r w:rsidR="00E52AA3">
        <w:t>(</w:t>
      </w:r>
      <w:r w:rsidR="00C83A6C">
        <w:t>ADC</w:t>
      </w:r>
      <w:r w:rsidR="00E52AA3">
        <w:t xml:space="preserve"> </w:t>
      </w:r>
      <w:r w:rsidR="00B81017">
        <w:rPr>
          <w:i/>
          <w:iCs/>
          <w:smallCaps/>
        </w:rPr>
        <w:t xml:space="preserve">GPM-G </w:t>
      </w:r>
      <w:r w:rsidR="00AF14F3">
        <w:rPr>
          <w:i/>
          <w:iCs/>
          <w:smallCaps/>
        </w:rPr>
        <w:t xml:space="preserve">RX 25 17 </w:t>
      </w:r>
      <w:r w:rsidR="002B4816">
        <w:rPr>
          <w:i/>
          <w:iCs/>
          <w:smallCaps/>
        </w:rPr>
        <w:t>SIRH</w:t>
      </w:r>
      <w:r w:rsidR="00E52AA3">
        <w:t>)</w:t>
      </w:r>
      <w:r w:rsidR="009B355E">
        <w:t>.</w:t>
      </w:r>
    </w:p>
    <w:p w14:paraId="59C39C8E" w14:textId="1CA1DF28" w:rsidR="00DD701C" w:rsidRPr="00BD48F4" w:rsidRDefault="00DD701C" w:rsidP="003C7C07">
      <w:pPr>
        <w:pStyle w:val="Paragraphedeliste"/>
        <w:numPr>
          <w:ilvl w:val="0"/>
          <w:numId w:val="0"/>
        </w:numPr>
        <w:spacing w:after="108" w:line="248" w:lineRule="auto"/>
        <w:ind w:left="720"/>
      </w:pPr>
    </w:p>
    <w:p w14:paraId="4E7E6B22" w14:textId="22137D25" w:rsidR="00DD701C" w:rsidRPr="00DD701C" w:rsidRDefault="00DD701C" w:rsidP="00DD701C">
      <w:pPr>
        <w:pStyle w:val="Titre2"/>
      </w:pPr>
      <w:bookmarkStart w:id="21" w:name="_Toc161406924"/>
      <w:bookmarkStart w:id="22" w:name="_Toc198718149"/>
      <w:r w:rsidRPr="00BD48F4">
        <w:t xml:space="preserve">Les </w:t>
      </w:r>
      <w:r>
        <w:t>p</w:t>
      </w:r>
      <w:r w:rsidRPr="00BD48F4">
        <w:t>ièces générales (</w:t>
      </w:r>
      <w:r w:rsidR="00F65780">
        <w:t>*</w:t>
      </w:r>
      <w:r w:rsidRPr="00BD48F4">
        <w:t>)</w:t>
      </w:r>
      <w:bookmarkEnd w:id="21"/>
      <w:bookmarkEnd w:id="22"/>
    </w:p>
    <w:p w14:paraId="52DF611A" w14:textId="60531A8B" w:rsidR="00DD701C" w:rsidRDefault="00DD701C" w:rsidP="009D7405">
      <w:pPr>
        <w:pStyle w:val="Paragraphedeliste"/>
        <w:spacing w:after="108" w:line="248" w:lineRule="auto"/>
        <w:ind w:left="-284"/>
      </w:pPr>
      <w:r w:rsidRPr="00BD48F4">
        <w:t>Pièce N°5 : Le code des marchés publics</w:t>
      </w:r>
      <w:r w:rsidR="009B355E">
        <w:t>.</w:t>
      </w:r>
    </w:p>
    <w:p w14:paraId="3AF308D0" w14:textId="77777777" w:rsidR="00DD701C" w:rsidRPr="00BD48F4" w:rsidRDefault="00DD701C" w:rsidP="009D7405">
      <w:pPr>
        <w:pStyle w:val="Paragraphedeliste"/>
        <w:numPr>
          <w:ilvl w:val="0"/>
          <w:numId w:val="0"/>
        </w:numPr>
        <w:spacing w:after="108" w:line="248" w:lineRule="auto"/>
        <w:ind w:left="-284"/>
      </w:pPr>
    </w:p>
    <w:p w14:paraId="5E9D001B" w14:textId="6F2E365D" w:rsidR="00DD701C" w:rsidRPr="00BD48F4" w:rsidRDefault="00DD701C" w:rsidP="009D7405">
      <w:pPr>
        <w:pStyle w:val="Paragraphedeliste"/>
        <w:spacing w:after="108" w:line="248" w:lineRule="auto"/>
        <w:ind w:left="-284"/>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1C5B9692" w14:textId="5EE24C7C" w:rsidR="00DD701C" w:rsidRDefault="00DD701C" w:rsidP="009D7405">
      <w:r w:rsidRPr="00BD48F4">
        <w:t>Seuls les exemplaires conservés dans les locaux d</w:t>
      </w:r>
      <w:r w:rsidR="00F65780">
        <w:t xml:space="preserve">u </w:t>
      </w:r>
      <w:r w:rsidR="00433D73" w:rsidRPr="00433D73">
        <w:t>GPM-Guyane</w:t>
      </w:r>
      <w:r w:rsidR="00433D73">
        <w:t xml:space="preserve"> </w:t>
      </w:r>
      <w:r w:rsidRPr="00BD48F4">
        <w:t>font foi.</w:t>
      </w:r>
    </w:p>
    <w:p w14:paraId="31817D31" w14:textId="1AA9444C" w:rsidR="000C358F" w:rsidRPr="000C358F" w:rsidRDefault="000C358F" w:rsidP="00394727">
      <w:pPr>
        <w:pStyle w:val="Titre1"/>
      </w:pPr>
      <w:bookmarkStart w:id="23" w:name="_Toc161406941"/>
      <w:r>
        <w:t xml:space="preserve"> </w:t>
      </w:r>
      <w:bookmarkStart w:id="24" w:name="_Toc198718150"/>
      <w:r w:rsidRPr="00BD48F4">
        <w:t xml:space="preserve">PRIX </w:t>
      </w:r>
      <w:r w:rsidR="002D7ACA">
        <w:t>–</w:t>
      </w:r>
      <w:r w:rsidRPr="00BD48F4">
        <w:t xml:space="preserve"> </w:t>
      </w:r>
      <w:bookmarkEnd w:id="23"/>
      <w:r w:rsidR="002D7ACA">
        <w:t>REVISION DES PRIX</w:t>
      </w:r>
      <w:bookmarkEnd w:id="24"/>
    </w:p>
    <w:p w14:paraId="5A43D7B7" w14:textId="6D0AE44C" w:rsidR="000C358F" w:rsidRPr="00BD48F4" w:rsidRDefault="000C358F" w:rsidP="007546BF">
      <w:pPr>
        <w:pStyle w:val="Titre2"/>
      </w:pPr>
      <w:bookmarkStart w:id="25" w:name="_Toc161406942"/>
      <w:bookmarkStart w:id="26" w:name="_Toc198718151"/>
      <w:r w:rsidRPr="000C358F">
        <w:t>Formes des prix</w:t>
      </w:r>
      <w:bookmarkEnd w:id="25"/>
      <w:bookmarkEnd w:id="26"/>
      <w:r w:rsidRPr="000C358F">
        <w:t xml:space="preserve"> </w:t>
      </w:r>
    </w:p>
    <w:p w14:paraId="4C0F873B" w14:textId="01B9CAC3" w:rsidR="00002A66" w:rsidRPr="00002A66" w:rsidRDefault="00002A66" w:rsidP="00002A66">
      <w:pPr>
        <w:spacing w:before="240" w:after="0" w:line="240" w:lineRule="auto"/>
        <w:ind w:left="-1134"/>
        <w:jc w:val="both"/>
      </w:pPr>
      <w:bookmarkStart w:id="27" w:name="_Toc161406943"/>
      <w:r w:rsidRPr="00002A66">
        <w:t xml:space="preserve">Les prix sont fermes et non révisables pendant la </w:t>
      </w:r>
      <w:r w:rsidR="00CA5090">
        <w:t xml:space="preserve">première année </w:t>
      </w:r>
      <w:r w:rsidRPr="00002A66">
        <w:t>du marché.</w:t>
      </w:r>
    </w:p>
    <w:p w14:paraId="0AC3D00F" w14:textId="77777777" w:rsidR="00002A66" w:rsidRPr="00002A66" w:rsidRDefault="00002A66" w:rsidP="00002A66">
      <w:pPr>
        <w:spacing w:before="240" w:line="240" w:lineRule="auto"/>
        <w:ind w:left="-1134"/>
        <w:jc w:val="both"/>
      </w:pPr>
      <w:r w:rsidRPr="00002A66">
        <w:t>À l’issue de cette période initiale, et en cas de reconduction expresse du marché, les prix pourront faire l’objet d’une renégociation entre les parties, sur la base des conditions du marché et des évolutions techniques ou fonctionnelles de la solution.</w:t>
      </w:r>
    </w:p>
    <w:p w14:paraId="31C02FA5" w14:textId="2531E2AF" w:rsidR="00002A66" w:rsidRPr="00002A66" w:rsidRDefault="00002A66" w:rsidP="009D7405">
      <w:pPr>
        <w:spacing w:after="0" w:line="240" w:lineRule="auto"/>
        <w:ind w:left="-1134"/>
        <w:jc w:val="both"/>
      </w:pPr>
      <w:r w:rsidRPr="00002A66">
        <w:lastRenderedPageBreak/>
        <w:t>Cette renégociation ne pourra entraîner de modification rétroactive des prix appliqués pendant la période initiale.</w:t>
      </w:r>
    </w:p>
    <w:p w14:paraId="698D43D9" w14:textId="77777777" w:rsidR="000C358F" w:rsidRDefault="000C358F" w:rsidP="009D7405">
      <w:pPr>
        <w:pStyle w:val="Titre2"/>
      </w:pPr>
      <w:bookmarkStart w:id="28" w:name="_Toc198718152"/>
      <w:r w:rsidRPr="000C358F">
        <w:t>Unités d’œuvre</w:t>
      </w:r>
      <w:bookmarkEnd w:id="27"/>
      <w:bookmarkEnd w:id="28"/>
    </w:p>
    <w:p w14:paraId="134352CB" w14:textId="28A272F1" w:rsidR="00303C91" w:rsidRPr="00303C91" w:rsidRDefault="006A79CD" w:rsidP="00303C91">
      <w:pPr>
        <w:spacing w:before="240"/>
        <w:ind w:left="-1134"/>
        <w:jc w:val="both"/>
        <w:rPr>
          <w:lang w:val="fr-BE"/>
        </w:rPr>
      </w:pPr>
      <w:r w:rsidRPr="004A1961">
        <w:rPr>
          <w:b/>
          <w:bCs/>
          <w:lang w:val="fr-BE" w:eastAsia="fr-FR"/>
        </w:rPr>
        <w:t xml:space="preserve">UO </w:t>
      </w:r>
      <w:r>
        <w:rPr>
          <w:b/>
          <w:bCs/>
          <w:lang w:val="fr-BE" w:eastAsia="fr-FR"/>
        </w:rPr>
        <w:t>1</w:t>
      </w:r>
      <w:r w:rsidRPr="004A1961">
        <w:rPr>
          <w:b/>
          <w:bCs/>
          <w:lang w:val="fr-BE" w:eastAsia="fr-FR"/>
        </w:rPr>
        <w:t xml:space="preserve"> – Coût d’implémentation de la solution (forfait global)</w:t>
      </w:r>
      <w:r>
        <w:rPr>
          <w:lang w:val="fr-BE" w:eastAsia="fr-FR"/>
        </w:rPr>
        <w:t> :</w:t>
      </w:r>
      <w:r w:rsidR="00303C91">
        <w:rPr>
          <w:lang w:val="fr-BE"/>
        </w:rPr>
        <w:t xml:space="preserve"> </w:t>
      </w:r>
      <w:r w:rsidR="00303C91" w:rsidRPr="00303C91">
        <w:rPr>
          <w:lang w:val="fr-BE"/>
        </w:rPr>
        <w:t>Cette unité d’œuvre couvre l’ensemble des prestations nécessaires au déploiement initial de la solution. Elle inclut notamment :</w:t>
      </w:r>
    </w:p>
    <w:p w14:paraId="18CBF942" w14:textId="77777777" w:rsidR="00303C91" w:rsidRPr="00303C91" w:rsidRDefault="00303C91" w:rsidP="007546BF">
      <w:pPr>
        <w:numPr>
          <w:ilvl w:val="0"/>
          <w:numId w:val="19"/>
        </w:numPr>
        <w:spacing w:before="240"/>
        <w:jc w:val="both"/>
        <w:rPr>
          <w:lang w:val="fr-BE" w:eastAsia="fr-FR"/>
        </w:rPr>
      </w:pPr>
      <w:r w:rsidRPr="00303C91">
        <w:rPr>
          <w:lang w:val="fr-BE" w:eastAsia="fr-FR"/>
        </w:rPr>
        <w:t>La phase de cadrage et l’analyse des besoins,</w:t>
      </w:r>
    </w:p>
    <w:p w14:paraId="642625B4" w14:textId="77777777" w:rsidR="00303C91" w:rsidRPr="00303C91" w:rsidRDefault="00303C91" w:rsidP="007546BF">
      <w:pPr>
        <w:numPr>
          <w:ilvl w:val="0"/>
          <w:numId w:val="19"/>
        </w:numPr>
        <w:spacing w:before="240"/>
        <w:jc w:val="both"/>
        <w:rPr>
          <w:lang w:val="fr-BE" w:eastAsia="fr-FR"/>
        </w:rPr>
      </w:pPr>
      <w:r w:rsidRPr="00303C91">
        <w:rPr>
          <w:lang w:val="fr-BE" w:eastAsia="fr-FR"/>
        </w:rPr>
        <w:t>Le paramétrage et la personnalisation de la solution,</w:t>
      </w:r>
    </w:p>
    <w:p w14:paraId="2681443B" w14:textId="77777777" w:rsidR="00303C91" w:rsidRPr="00303C91" w:rsidRDefault="00303C91" w:rsidP="007546BF">
      <w:pPr>
        <w:numPr>
          <w:ilvl w:val="0"/>
          <w:numId w:val="19"/>
        </w:numPr>
        <w:spacing w:before="240"/>
        <w:jc w:val="both"/>
        <w:rPr>
          <w:lang w:val="fr-BE" w:eastAsia="fr-FR"/>
        </w:rPr>
      </w:pPr>
      <w:r w:rsidRPr="00303C91">
        <w:rPr>
          <w:lang w:val="fr-BE" w:eastAsia="fr-FR"/>
        </w:rPr>
        <w:t>La migration et la reprise des données,</w:t>
      </w:r>
    </w:p>
    <w:p w14:paraId="48235D1B" w14:textId="77777777" w:rsidR="00303C91" w:rsidRPr="00303C91" w:rsidRDefault="00303C91" w:rsidP="007546BF">
      <w:pPr>
        <w:numPr>
          <w:ilvl w:val="0"/>
          <w:numId w:val="19"/>
        </w:numPr>
        <w:spacing w:before="240"/>
        <w:jc w:val="both"/>
        <w:rPr>
          <w:lang w:val="fr-BE" w:eastAsia="fr-FR"/>
        </w:rPr>
      </w:pPr>
      <w:r w:rsidRPr="00303C91">
        <w:rPr>
          <w:lang w:val="fr-BE" w:eastAsia="fr-FR"/>
        </w:rPr>
        <w:t>La recette fonctionnelle et la validation,</w:t>
      </w:r>
    </w:p>
    <w:p w14:paraId="0FB7AE34" w14:textId="77777777" w:rsidR="00303C91" w:rsidRPr="00303C91" w:rsidRDefault="00303C91" w:rsidP="007546BF">
      <w:pPr>
        <w:numPr>
          <w:ilvl w:val="0"/>
          <w:numId w:val="19"/>
        </w:numPr>
        <w:spacing w:before="240"/>
        <w:jc w:val="both"/>
        <w:rPr>
          <w:lang w:val="fr-BE" w:eastAsia="fr-FR"/>
        </w:rPr>
      </w:pPr>
      <w:r w:rsidRPr="00303C91">
        <w:rPr>
          <w:lang w:val="fr-BE" w:eastAsia="fr-FR"/>
        </w:rPr>
        <w:t>Le déploiement en production,</w:t>
      </w:r>
    </w:p>
    <w:p w14:paraId="14A2A8C1" w14:textId="77777777" w:rsidR="00303C91" w:rsidRPr="00303C91" w:rsidRDefault="00303C91" w:rsidP="007546BF">
      <w:pPr>
        <w:numPr>
          <w:ilvl w:val="0"/>
          <w:numId w:val="19"/>
        </w:numPr>
        <w:spacing w:before="240"/>
        <w:jc w:val="both"/>
        <w:rPr>
          <w:lang w:val="fr-BE" w:eastAsia="fr-FR"/>
        </w:rPr>
      </w:pPr>
      <w:r w:rsidRPr="00303C91">
        <w:rPr>
          <w:lang w:val="fr-BE" w:eastAsia="fr-FR"/>
        </w:rPr>
        <w:t>La phase d’</w:t>
      </w:r>
      <w:proofErr w:type="spellStart"/>
      <w:r w:rsidRPr="00303C91">
        <w:rPr>
          <w:lang w:val="fr-BE" w:eastAsia="fr-FR"/>
        </w:rPr>
        <w:t>hypercare</w:t>
      </w:r>
      <w:proofErr w:type="spellEnd"/>
      <w:r w:rsidRPr="00303C91">
        <w:rPr>
          <w:lang w:val="fr-BE" w:eastAsia="fr-FR"/>
        </w:rPr>
        <w:t xml:space="preserve"> (assistance renforcée post-déploiement).</w:t>
      </w:r>
    </w:p>
    <w:p w14:paraId="3F30BFDE" w14:textId="27E9276D" w:rsidR="00303C91" w:rsidRPr="00303C91" w:rsidRDefault="00303C91" w:rsidP="00303C91">
      <w:pPr>
        <w:spacing w:before="240"/>
        <w:ind w:left="-1134"/>
        <w:jc w:val="both"/>
        <w:rPr>
          <w:lang w:val="fr-BE" w:eastAsia="fr-FR"/>
        </w:rPr>
      </w:pPr>
      <w:r w:rsidRPr="00303C91">
        <w:rPr>
          <w:lang w:val="fr-BE" w:eastAsia="fr-FR"/>
        </w:rPr>
        <w:t xml:space="preserve">Cette unité d’œuvre est décomposée dans </w:t>
      </w:r>
      <w:r w:rsidR="008D7BB1">
        <w:rPr>
          <w:lang w:val="fr-BE" w:eastAsia="fr-FR"/>
        </w:rPr>
        <w:t>le</w:t>
      </w:r>
      <w:r w:rsidRPr="00303C91">
        <w:rPr>
          <w:lang w:val="fr-BE" w:eastAsia="fr-FR"/>
        </w:rPr>
        <w:t xml:space="preserve"> DPGF comme suit :</w:t>
      </w:r>
    </w:p>
    <w:p w14:paraId="4C3D73A0" w14:textId="36C088F7" w:rsidR="00303C91" w:rsidRPr="00303C91" w:rsidRDefault="00303C91" w:rsidP="00303C91">
      <w:pPr>
        <w:spacing w:before="240"/>
        <w:ind w:left="-1134"/>
        <w:jc w:val="both"/>
        <w:rPr>
          <w:lang w:val="fr-BE" w:eastAsia="fr-FR"/>
        </w:rPr>
      </w:pPr>
      <w:r w:rsidRPr="00303C91">
        <w:rPr>
          <w:i/>
          <w:iCs/>
          <w:lang w:val="fr-BE" w:eastAsia="fr-FR"/>
        </w:rPr>
        <w:t>Phase 1 – Cadrage et analyse des besoins :</w:t>
      </w:r>
      <w:r w:rsidRPr="00303C91">
        <w:rPr>
          <w:lang w:val="fr-BE" w:eastAsia="fr-FR"/>
        </w:rPr>
        <w:t xml:space="preserve"> Recueil des besoins, organisation d’ateliers avec les parties prenantes, et validation du périmètre fonctionnel.</w:t>
      </w:r>
    </w:p>
    <w:p w14:paraId="6C89A201" w14:textId="6C15B9AC" w:rsidR="00303C91" w:rsidRPr="00303C91" w:rsidRDefault="00303C91" w:rsidP="00303C91">
      <w:pPr>
        <w:spacing w:before="240"/>
        <w:ind w:left="-1134"/>
        <w:jc w:val="both"/>
        <w:rPr>
          <w:lang w:val="fr-BE" w:eastAsia="fr-FR"/>
        </w:rPr>
      </w:pPr>
      <w:r w:rsidRPr="00303C91">
        <w:rPr>
          <w:i/>
          <w:iCs/>
          <w:lang w:val="fr-BE" w:eastAsia="fr-FR"/>
        </w:rPr>
        <w:t>Phase 2 – Paramétrage et personnalisation :</w:t>
      </w:r>
      <w:r w:rsidRPr="00303C91">
        <w:rPr>
          <w:lang w:val="fr-BE" w:eastAsia="fr-FR"/>
        </w:rPr>
        <w:t xml:space="preserve"> Configuration des modules, personnalisation des écrans, des workflows et des référentiels.</w:t>
      </w:r>
    </w:p>
    <w:p w14:paraId="7718FB3E" w14:textId="657F0F53" w:rsidR="00303C91" w:rsidRPr="00303C91" w:rsidRDefault="00303C91" w:rsidP="00303C91">
      <w:pPr>
        <w:spacing w:before="240"/>
        <w:ind w:left="-1134"/>
        <w:jc w:val="both"/>
        <w:rPr>
          <w:lang w:val="fr-BE" w:eastAsia="fr-FR"/>
        </w:rPr>
      </w:pPr>
      <w:r w:rsidRPr="00303C91">
        <w:rPr>
          <w:i/>
          <w:iCs/>
          <w:lang w:val="fr-BE" w:eastAsia="fr-FR"/>
        </w:rPr>
        <w:t>Phase 3 – Migration et reprise des données :</w:t>
      </w:r>
      <w:r w:rsidRPr="00303C91">
        <w:rPr>
          <w:lang w:val="fr-BE" w:eastAsia="fr-FR"/>
        </w:rPr>
        <w:t xml:space="preserve"> Extraction, nettoyage, transformation et intégration des données existantes dans la nouvelle solution.</w:t>
      </w:r>
    </w:p>
    <w:p w14:paraId="146B7588" w14:textId="5294824C" w:rsidR="00303C91" w:rsidRPr="00303C91" w:rsidRDefault="00303C91" w:rsidP="00303C91">
      <w:pPr>
        <w:spacing w:before="240"/>
        <w:ind w:left="-1134"/>
        <w:jc w:val="both"/>
        <w:rPr>
          <w:lang w:val="fr-BE" w:eastAsia="fr-FR"/>
        </w:rPr>
      </w:pPr>
      <w:r w:rsidRPr="00303C91">
        <w:rPr>
          <w:i/>
          <w:iCs/>
          <w:lang w:val="fr-BE" w:eastAsia="fr-FR"/>
        </w:rPr>
        <w:t>Phase 4 – Recette fonctionnelle et validation :</w:t>
      </w:r>
      <w:r w:rsidRPr="00303C91">
        <w:rPr>
          <w:lang w:val="fr-BE" w:eastAsia="fr-FR"/>
        </w:rPr>
        <w:t xml:space="preserve"> Conception et exécution des scénarios de test, validation par les utilisateurs, et corrections éventuelles.</w:t>
      </w:r>
    </w:p>
    <w:p w14:paraId="7988AD8E" w14:textId="54B872F5" w:rsidR="00303C91" w:rsidRPr="00303C91" w:rsidRDefault="00303C91" w:rsidP="00303C91">
      <w:pPr>
        <w:spacing w:before="240"/>
        <w:ind w:left="-1134"/>
        <w:jc w:val="both"/>
        <w:rPr>
          <w:lang w:val="fr-BE" w:eastAsia="fr-FR"/>
        </w:rPr>
      </w:pPr>
      <w:r w:rsidRPr="00303C91">
        <w:rPr>
          <w:i/>
          <w:iCs/>
          <w:lang w:val="fr-BE" w:eastAsia="fr-FR"/>
        </w:rPr>
        <w:t>Phase 5 – Déploiement en production :</w:t>
      </w:r>
      <w:r w:rsidRPr="00303C91">
        <w:rPr>
          <w:lang w:val="fr-BE" w:eastAsia="fr-FR"/>
        </w:rPr>
        <w:t xml:space="preserve"> Mise en ligne de la solution, réalisation de la bascule technique et fonctionnelle, exécution des tests finaux.</w:t>
      </w:r>
    </w:p>
    <w:p w14:paraId="341AEA18" w14:textId="1F23661B" w:rsidR="00362823" w:rsidRPr="00644F84" w:rsidRDefault="00303C91" w:rsidP="00303C91">
      <w:pPr>
        <w:spacing w:before="240"/>
        <w:ind w:left="-1134"/>
        <w:jc w:val="both"/>
        <w:rPr>
          <w:lang w:val="fr-BE" w:eastAsia="fr-FR"/>
        </w:rPr>
      </w:pPr>
      <w:r w:rsidRPr="00303C91">
        <w:rPr>
          <w:i/>
          <w:iCs/>
          <w:lang w:val="fr-BE" w:eastAsia="fr-FR"/>
        </w:rPr>
        <w:t xml:space="preserve">Phase 6 – </w:t>
      </w:r>
      <w:proofErr w:type="spellStart"/>
      <w:r w:rsidRPr="00303C91">
        <w:rPr>
          <w:i/>
          <w:iCs/>
          <w:lang w:val="fr-BE" w:eastAsia="fr-FR"/>
        </w:rPr>
        <w:t>Hypercare</w:t>
      </w:r>
      <w:proofErr w:type="spellEnd"/>
      <w:r w:rsidRPr="00303C91">
        <w:rPr>
          <w:i/>
          <w:iCs/>
          <w:lang w:val="fr-BE" w:eastAsia="fr-FR"/>
        </w:rPr>
        <w:t xml:space="preserve"> (assistance post-déploiement)</w:t>
      </w:r>
      <w:r>
        <w:rPr>
          <w:lang w:val="fr-BE" w:eastAsia="fr-FR"/>
        </w:rPr>
        <w:t xml:space="preserve"> : </w:t>
      </w:r>
      <w:r w:rsidRPr="00303C91">
        <w:rPr>
          <w:lang w:val="fr-BE" w:eastAsia="fr-FR"/>
        </w:rPr>
        <w:t>Accompagnement renforcé après la mise en production et gestion des premiers incidents.</w:t>
      </w:r>
    </w:p>
    <w:p w14:paraId="447CAFC5" w14:textId="0CE0D409" w:rsidR="004A1961" w:rsidRPr="004A1961" w:rsidRDefault="004A1961" w:rsidP="00160267">
      <w:pPr>
        <w:spacing w:before="240"/>
        <w:ind w:left="-1134"/>
        <w:jc w:val="both"/>
        <w:rPr>
          <w:lang w:val="fr-BE" w:eastAsia="fr-FR"/>
        </w:rPr>
      </w:pPr>
      <w:r w:rsidRPr="004A1961">
        <w:rPr>
          <w:b/>
          <w:bCs/>
          <w:lang w:val="fr-BE" w:eastAsia="fr-FR"/>
        </w:rPr>
        <w:t xml:space="preserve">UO </w:t>
      </w:r>
      <w:r w:rsidR="006A79CD">
        <w:rPr>
          <w:b/>
          <w:bCs/>
          <w:lang w:val="fr-BE" w:eastAsia="fr-FR"/>
        </w:rPr>
        <w:t>2</w:t>
      </w:r>
      <w:r w:rsidRPr="004A1961">
        <w:rPr>
          <w:b/>
          <w:bCs/>
          <w:lang w:val="fr-BE" w:eastAsia="fr-FR"/>
        </w:rPr>
        <w:t xml:space="preserve"> – Coût de la licence (forfait annuel)</w:t>
      </w:r>
      <w:r>
        <w:rPr>
          <w:lang w:val="fr-BE" w:eastAsia="fr-FR"/>
        </w:rPr>
        <w:t xml:space="preserve"> : </w:t>
      </w:r>
      <w:r w:rsidRPr="004A1961">
        <w:rPr>
          <w:lang w:val="fr-BE" w:eastAsia="fr-FR"/>
        </w:rPr>
        <w:t>Cette unité d’œuvre correspond à la rémunération des droits d’usage de la solution pour une période d’un an.</w:t>
      </w:r>
      <w:r>
        <w:rPr>
          <w:lang w:val="fr-BE" w:eastAsia="fr-FR"/>
        </w:rPr>
        <w:t xml:space="preserve"> </w:t>
      </w:r>
      <w:r w:rsidRPr="004A1961">
        <w:rPr>
          <w:lang w:val="fr-BE" w:eastAsia="fr-FR"/>
        </w:rPr>
        <w:t>Elle couvre</w:t>
      </w:r>
      <w:r w:rsidR="00085AC9">
        <w:rPr>
          <w:lang w:val="fr-BE" w:eastAsia="fr-FR"/>
        </w:rPr>
        <w:t> :</w:t>
      </w:r>
    </w:p>
    <w:p w14:paraId="7E700343" w14:textId="77777777" w:rsidR="004A1961" w:rsidRPr="004A1961" w:rsidRDefault="004A1961" w:rsidP="007546BF">
      <w:pPr>
        <w:numPr>
          <w:ilvl w:val="0"/>
          <w:numId w:val="10"/>
        </w:numPr>
        <w:ind w:left="-567" w:hanging="284"/>
        <w:jc w:val="both"/>
        <w:rPr>
          <w:lang w:val="fr-BE" w:eastAsia="fr-FR"/>
        </w:rPr>
      </w:pPr>
      <w:r w:rsidRPr="004A1961">
        <w:rPr>
          <w:lang w:val="fr-BE" w:eastAsia="fr-FR"/>
        </w:rPr>
        <w:t>Le nombre d’utilisateurs défini contractuellement,</w:t>
      </w:r>
    </w:p>
    <w:p w14:paraId="2A3A145B" w14:textId="77777777" w:rsidR="004A1961" w:rsidRPr="004A1961" w:rsidRDefault="004A1961" w:rsidP="007546BF">
      <w:pPr>
        <w:numPr>
          <w:ilvl w:val="0"/>
          <w:numId w:val="10"/>
        </w:numPr>
        <w:ind w:left="-567" w:hanging="284"/>
        <w:jc w:val="both"/>
        <w:rPr>
          <w:lang w:val="fr-BE" w:eastAsia="fr-FR"/>
        </w:rPr>
      </w:pPr>
      <w:r w:rsidRPr="004A1961">
        <w:rPr>
          <w:lang w:val="fr-BE" w:eastAsia="fr-FR"/>
        </w:rPr>
        <w:t>Les modules inclus dans le périmètre,</w:t>
      </w:r>
    </w:p>
    <w:p w14:paraId="112BBA02" w14:textId="77777777" w:rsidR="004A1961" w:rsidRPr="004A1961" w:rsidRDefault="004A1961" w:rsidP="007546BF">
      <w:pPr>
        <w:numPr>
          <w:ilvl w:val="0"/>
          <w:numId w:val="10"/>
        </w:numPr>
        <w:ind w:left="-567" w:hanging="284"/>
        <w:jc w:val="both"/>
        <w:rPr>
          <w:lang w:val="fr-BE" w:eastAsia="fr-FR"/>
        </w:rPr>
      </w:pPr>
      <w:r w:rsidRPr="004A1961">
        <w:rPr>
          <w:lang w:val="fr-BE" w:eastAsia="fr-FR"/>
        </w:rPr>
        <w:t>L’architecture technique de la solution,</w:t>
      </w:r>
    </w:p>
    <w:p w14:paraId="558B9520" w14:textId="77777777" w:rsidR="004A1961" w:rsidRPr="004A1961" w:rsidRDefault="004A1961" w:rsidP="007546BF">
      <w:pPr>
        <w:numPr>
          <w:ilvl w:val="0"/>
          <w:numId w:val="10"/>
        </w:numPr>
        <w:ind w:left="-567" w:hanging="284"/>
        <w:jc w:val="both"/>
        <w:rPr>
          <w:lang w:val="fr-BE" w:eastAsia="fr-FR"/>
        </w:rPr>
      </w:pPr>
      <w:r w:rsidRPr="004A1961">
        <w:rPr>
          <w:lang w:val="fr-BE" w:eastAsia="fr-FR"/>
        </w:rPr>
        <w:t>Une partie de la maintenance standard, incluant :</w:t>
      </w:r>
    </w:p>
    <w:p w14:paraId="66E4C184" w14:textId="77777777" w:rsidR="004A1961" w:rsidRPr="004A1961" w:rsidRDefault="004A1961" w:rsidP="007546BF">
      <w:pPr>
        <w:numPr>
          <w:ilvl w:val="1"/>
          <w:numId w:val="10"/>
        </w:numPr>
        <w:ind w:left="-142"/>
        <w:jc w:val="both"/>
        <w:rPr>
          <w:lang w:val="fr-BE" w:eastAsia="fr-FR"/>
        </w:rPr>
      </w:pPr>
      <w:r w:rsidRPr="004A1961">
        <w:rPr>
          <w:lang w:val="fr-BE" w:eastAsia="fr-FR"/>
        </w:rPr>
        <w:t>Maintenance corrective : traitement des anomalies et dysfonctionnements,</w:t>
      </w:r>
    </w:p>
    <w:p w14:paraId="70E0DD6F" w14:textId="77777777" w:rsidR="004A1961" w:rsidRPr="004A1961" w:rsidRDefault="004A1961" w:rsidP="007546BF">
      <w:pPr>
        <w:numPr>
          <w:ilvl w:val="1"/>
          <w:numId w:val="10"/>
        </w:numPr>
        <w:ind w:left="-142"/>
        <w:jc w:val="both"/>
        <w:rPr>
          <w:lang w:val="fr-BE" w:eastAsia="fr-FR"/>
        </w:rPr>
      </w:pPr>
      <w:r w:rsidRPr="004A1961">
        <w:rPr>
          <w:lang w:val="fr-BE" w:eastAsia="fr-FR"/>
        </w:rPr>
        <w:t>Maintenance adaptative : mises à jour techniques liées à l’évolution de l’environnement (navigateurs, systèmes d’exploitation, etc.),</w:t>
      </w:r>
    </w:p>
    <w:p w14:paraId="7D9BEE85" w14:textId="77777777" w:rsidR="004A1961" w:rsidRPr="004A1961" w:rsidRDefault="004A1961" w:rsidP="007546BF">
      <w:pPr>
        <w:numPr>
          <w:ilvl w:val="1"/>
          <w:numId w:val="10"/>
        </w:numPr>
        <w:ind w:left="-142"/>
        <w:jc w:val="both"/>
        <w:rPr>
          <w:lang w:val="fr-BE" w:eastAsia="fr-FR"/>
        </w:rPr>
      </w:pPr>
      <w:r w:rsidRPr="004A1961">
        <w:rPr>
          <w:lang w:val="fr-BE" w:eastAsia="fr-FR"/>
        </w:rPr>
        <w:lastRenderedPageBreak/>
        <w:t>Mises à jour réglementaires, notamment liées aux obligations RH (ex. : DSN, PPCR),</w:t>
      </w:r>
    </w:p>
    <w:p w14:paraId="1B7049B9" w14:textId="4F0770DE" w:rsidR="004A1961" w:rsidRPr="009D7405" w:rsidRDefault="004A1961" w:rsidP="007546BF">
      <w:pPr>
        <w:numPr>
          <w:ilvl w:val="1"/>
          <w:numId w:val="10"/>
        </w:numPr>
        <w:ind w:left="-142"/>
        <w:jc w:val="both"/>
        <w:rPr>
          <w:lang w:val="fr-BE" w:eastAsia="fr-FR"/>
        </w:rPr>
      </w:pPr>
      <w:r w:rsidRPr="004A1961">
        <w:rPr>
          <w:lang w:val="fr-BE" w:eastAsia="fr-FR"/>
        </w:rPr>
        <w:t xml:space="preserve">Support utilisateur de niveau 1 et 2 : via mail, </w:t>
      </w:r>
      <w:proofErr w:type="spellStart"/>
      <w:r w:rsidRPr="004A1961">
        <w:rPr>
          <w:lang w:val="fr-BE" w:eastAsia="fr-FR"/>
        </w:rPr>
        <w:t>ticketing</w:t>
      </w:r>
      <w:proofErr w:type="spellEnd"/>
      <w:r w:rsidRPr="004A1961">
        <w:rPr>
          <w:lang w:val="fr-BE" w:eastAsia="fr-FR"/>
        </w:rPr>
        <w:t xml:space="preserve"> ou assistance téléphonique.</w:t>
      </w:r>
    </w:p>
    <w:p w14:paraId="3DC8FF18" w14:textId="66C70F99" w:rsidR="004A1961" w:rsidRPr="004A1961" w:rsidRDefault="004A1961" w:rsidP="004A1961">
      <w:pPr>
        <w:ind w:left="-1134"/>
        <w:jc w:val="both"/>
        <w:rPr>
          <w:lang w:val="fr-BE" w:eastAsia="fr-FR"/>
        </w:rPr>
      </w:pPr>
      <w:r w:rsidRPr="004A1961">
        <w:rPr>
          <w:b/>
          <w:bCs/>
          <w:lang w:val="fr-BE" w:eastAsia="fr-FR"/>
        </w:rPr>
        <w:t>UO 3 – Coût du support fonctionnel post-livraison (prix journalier)</w:t>
      </w:r>
      <w:r>
        <w:rPr>
          <w:lang w:val="fr-BE" w:eastAsia="fr-FR"/>
        </w:rPr>
        <w:t xml:space="preserve"> : </w:t>
      </w:r>
      <w:r w:rsidRPr="004A1961">
        <w:rPr>
          <w:lang w:val="fr-BE" w:eastAsia="fr-FR"/>
        </w:rPr>
        <w:t>Facturée à la journée, cette unité couvre les prestations liées à :</w:t>
      </w:r>
    </w:p>
    <w:p w14:paraId="62EF2118" w14:textId="77777777" w:rsidR="004A1961" w:rsidRPr="004A1961" w:rsidRDefault="004A1961" w:rsidP="007546BF">
      <w:pPr>
        <w:numPr>
          <w:ilvl w:val="0"/>
          <w:numId w:val="11"/>
        </w:numPr>
        <w:ind w:left="-426"/>
        <w:jc w:val="both"/>
        <w:rPr>
          <w:lang w:val="fr-BE" w:eastAsia="fr-FR"/>
        </w:rPr>
      </w:pPr>
      <w:r w:rsidRPr="004A1961">
        <w:rPr>
          <w:lang w:val="fr-BE" w:eastAsia="fr-FR"/>
        </w:rPr>
        <w:t>L’évolution fonctionnelle de la solution (modifications, améliorations),</w:t>
      </w:r>
    </w:p>
    <w:p w14:paraId="0AD58CB5" w14:textId="77777777" w:rsidR="004A1961" w:rsidRPr="004A1961" w:rsidRDefault="004A1961" w:rsidP="007546BF">
      <w:pPr>
        <w:numPr>
          <w:ilvl w:val="0"/>
          <w:numId w:val="11"/>
        </w:numPr>
        <w:ind w:left="-426"/>
        <w:jc w:val="both"/>
        <w:rPr>
          <w:lang w:val="fr-BE" w:eastAsia="fr-FR"/>
        </w:rPr>
      </w:pPr>
      <w:r w:rsidRPr="004A1961">
        <w:rPr>
          <w:lang w:val="fr-BE" w:eastAsia="fr-FR"/>
        </w:rPr>
        <w:t>L’accompagnement ponctuel des utilisateurs,</w:t>
      </w:r>
    </w:p>
    <w:p w14:paraId="02759EA0" w14:textId="5F831E46" w:rsidR="004A1961" w:rsidRPr="009D7405" w:rsidRDefault="004A1961" w:rsidP="007546BF">
      <w:pPr>
        <w:numPr>
          <w:ilvl w:val="0"/>
          <w:numId w:val="11"/>
        </w:numPr>
        <w:ind w:left="-426"/>
        <w:jc w:val="both"/>
        <w:rPr>
          <w:lang w:val="fr-BE" w:eastAsia="fr-FR"/>
        </w:rPr>
      </w:pPr>
      <w:r w:rsidRPr="004A1961">
        <w:rPr>
          <w:lang w:val="fr-BE" w:eastAsia="fr-FR"/>
        </w:rPr>
        <w:t>La gestion de demandes spécifiques hors maintenance standard.</w:t>
      </w:r>
    </w:p>
    <w:p w14:paraId="75530044" w14:textId="66DB68DA" w:rsidR="004A1961" w:rsidRPr="004A1961" w:rsidRDefault="004A1961" w:rsidP="004A1961">
      <w:pPr>
        <w:ind w:left="-1134"/>
        <w:jc w:val="both"/>
        <w:rPr>
          <w:lang w:val="fr-BE" w:eastAsia="fr-FR"/>
        </w:rPr>
      </w:pPr>
      <w:r w:rsidRPr="004A1961">
        <w:rPr>
          <w:b/>
          <w:bCs/>
          <w:lang w:val="fr-BE" w:eastAsia="fr-FR"/>
        </w:rPr>
        <w:t>UO 4 – Coût des formations complémentaires (prix journalier)</w:t>
      </w:r>
      <w:r>
        <w:rPr>
          <w:lang w:val="fr-BE" w:eastAsia="fr-FR"/>
        </w:rPr>
        <w:t xml:space="preserve"> : </w:t>
      </w:r>
      <w:r w:rsidRPr="004A1961">
        <w:rPr>
          <w:lang w:val="fr-BE" w:eastAsia="fr-FR"/>
        </w:rPr>
        <w:t>Cette unité est mobilisée uniquement à la demande de l’acheteur. Elle concerne :</w:t>
      </w:r>
    </w:p>
    <w:p w14:paraId="0C3E2DFD" w14:textId="77777777" w:rsidR="004A1961" w:rsidRPr="004A1961" w:rsidRDefault="004A1961" w:rsidP="007546BF">
      <w:pPr>
        <w:numPr>
          <w:ilvl w:val="0"/>
          <w:numId w:val="12"/>
        </w:numPr>
        <w:ind w:left="-426"/>
        <w:jc w:val="both"/>
        <w:rPr>
          <w:lang w:val="fr-BE" w:eastAsia="fr-FR"/>
        </w:rPr>
      </w:pPr>
      <w:r w:rsidRPr="004A1961">
        <w:rPr>
          <w:lang w:val="fr-BE" w:eastAsia="fr-FR"/>
        </w:rPr>
        <w:t>L’animation de sessions de formation supplémentaires,</w:t>
      </w:r>
    </w:p>
    <w:p w14:paraId="48770213" w14:textId="77777777" w:rsidR="004A1961" w:rsidRPr="004A1961" w:rsidRDefault="004A1961" w:rsidP="007546BF">
      <w:pPr>
        <w:numPr>
          <w:ilvl w:val="0"/>
          <w:numId w:val="12"/>
        </w:numPr>
        <w:ind w:left="-426"/>
        <w:jc w:val="both"/>
        <w:rPr>
          <w:lang w:val="fr-BE" w:eastAsia="fr-FR"/>
        </w:rPr>
      </w:pPr>
      <w:r w:rsidRPr="004A1961">
        <w:rPr>
          <w:lang w:val="fr-BE" w:eastAsia="fr-FR"/>
        </w:rPr>
        <w:t>L’adaptation des supports si nécessaire,</w:t>
      </w:r>
    </w:p>
    <w:p w14:paraId="684C27B8" w14:textId="36572DC2" w:rsidR="00644F84" w:rsidRPr="009D7405" w:rsidRDefault="004A1961" w:rsidP="007546BF">
      <w:pPr>
        <w:numPr>
          <w:ilvl w:val="0"/>
          <w:numId w:val="12"/>
        </w:numPr>
        <w:ind w:left="-426"/>
        <w:jc w:val="both"/>
        <w:rPr>
          <w:lang w:val="fr-BE" w:eastAsia="fr-FR"/>
        </w:rPr>
      </w:pPr>
      <w:r w:rsidRPr="004A1961">
        <w:rPr>
          <w:lang w:val="fr-BE" w:eastAsia="fr-FR"/>
        </w:rPr>
        <w:t>La formation de nouveaux utilisateurs ou dans le cadre d’une évolution interne.</w:t>
      </w:r>
    </w:p>
    <w:p w14:paraId="4918A054" w14:textId="49832CD0" w:rsidR="002D7ACA" w:rsidRPr="009E09AE" w:rsidRDefault="00644F84" w:rsidP="009D7405">
      <w:pPr>
        <w:ind w:left="-1134"/>
        <w:jc w:val="both"/>
        <w:rPr>
          <w:lang w:val="fr-BE" w:eastAsia="fr-FR"/>
        </w:rPr>
      </w:pPr>
      <w:r w:rsidRPr="00644F84">
        <w:rPr>
          <w:b/>
          <w:bCs/>
          <w:lang w:val="fr-BE" w:eastAsia="fr-FR"/>
        </w:rPr>
        <w:t xml:space="preserve">UO 5 : </w:t>
      </w:r>
      <w:r>
        <w:rPr>
          <w:b/>
          <w:bCs/>
          <w:lang w:val="fr-BE" w:eastAsia="fr-FR"/>
        </w:rPr>
        <w:t>C</w:t>
      </w:r>
      <w:r w:rsidRPr="00644F84">
        <w:rPr>
          <w:b/>
          <w:bCs/>
          <w:lang w:val="fr-BE" w:eastAsia="fr-FR"/>
        </w:rPr>
        <w:t xml:space="preserve">oût </w:t>
      </w:r>
      <w:r>
        <w:rPr>
          <w:b/>
          <w:bCs/>
          <w:lang w:val="fr-BE" w:eastAsia="fr-FR"/>
        </w:rPr>
        <w:t xml:space="preserve">de la </w:t>
      </w:r>
      <w:r w:rsidRPr="00644F84">
        <w:rPr>
          <w:b/>
          <w:bCs/>
          <w:lang w:eastAsia="fr-FR"/>
        </w:rPr>
        <w:t>Réversibilité (forfait en fin de contrat)</w:t>
      </w:r>
      <w:r>
        <w:rPr>
          <w:b/>
          <w:bCs/>
          <w:lang w:eastAsia="fr-FR"/>
        </w:rPr>
        <w:t xml:space="preserve"> : </w:t>
      </w:r>
      <w:r w:rsidRPr="00644F84">
        <w:rPr>
          <w:lang w:eastAsia="fr-FR"/>
        </w:rPr>
        <w:t>il s’agit d’une prestation forfaitaire déclenchée en fin de contrat, couvrant la restitution complète, sécurisée et documentée des données, l’assistance à la migration vers une nouvelle solution et la transmission des éléments nécessaires à la continuité de service.</w:t>
      </w:r>
    </w:p>
    <w:p w14:paraId="441EB5EF" w14:textId="2492FA33" w:rsidR="002D7ACA" w:rsidRPr="002D7ACA" w:rsidRDefault="00F06348" w:rsidP="009D7405">
      <w:pPr>
        <w:pStyle w:val="Titre2"/>
      </w:pPr>
      <w:bookmarkStart w:id="29" w:name="_Toc161406944"/>
      <w:r>
        <w:t xml:space="preserve"> </w:t>
      </w:r>
      <w:bookmarkStart w:id="30" w:name="_Toc198718153"/>
      <w:r w:rsidR="000C358F" w:rsidRPr="002D7ACA">
        <w:t>Contenu des prix</w:t>
      </w:r>
      <w:bookmarkEnd w:id="30"/>
      <w:r w:rsidR="000C358F" w:rsidRPr="002D7ACA">
        <w:t xml:space="preserve"> </w:t>
      </w:r>
      <w:bookmarkEnd w:id="29"/>
    </w:p>
    <w:p w14:paraId="31C07721" w14:textId="60BA1F10" w:rsidR="000C358F" w:rsidRPr="00BD48F4" w:rsidRDefault="000C358F" w:rsidP="0061446C">
      <w:pPr>
        <w:spacing w:line="276" w:lineRule="auto"/>
        <w:ind w:left="-1134"/>
        <w:jc w:val="both"/>
      </w:pPr>
      <w:r w:rsidRPr="00BD48F4">
        <w:t>Le prix forfaitaire comprend l’accomplissement de l’ensemble des prestations décrites dans les pièces contractuelles</w:t>
      </w:r>
      <w:r w:rsidR="008376D0">
        <w:t>.</w:t>
      </w:r>
    </w:p>
    <w:p w14:paraId="79A38CEA" w14:textId="77777777" w:rsidR="001817C1" w:rsidRDefault="00674513" w:rsidP="0061446C">
      <w:pPr>
        <w:spacing w:line="276" w:lineRule="auto"/>
        <w:ind w:left="-1134"/>
        <w:jc w:val="both"/>
        <w:rPr>
          <w:lang w:val="fr-BE"/>
        </w:rPr>
      </w:pPr>
      <w:r w:rsidRPr="00674513">
        <w:rPr>
          <w:lang w:val="fr-BE"/>
        </w:rPr>
        <w:t xml:space="preserve">Les prix, exprimés en euros, comprennent notamment l'ensemble des vacations, les dépenses de main-d'œuvre, les fournitures, ainsi que tous les frais généraux, les bénéfices, les charges sociales, fiscales et parafiscales, et les diverses taxes. Ils incluent également la prise en charge des risques d'accidents, qu'ils concernent les personnes ou les tiers, susceptibles de survenir lors de l'exécution des prestations. Ainsi, aucun supplément de quelque nature que ce soit ne pourra être ajouté. </w:t>
      </w:r>
    </w:p>
    <w:p w14:paraId="23E76EBC" w14:textId="3845B1CE" w:rsidR="00674513" w:rsidRPr="00674513" w:rsidRDefault="00674513" w:rsidP="0061446C">
      <w:pPr>
        <w:spacing w:line="276" w:lineRule="auto"/>
        <w:ind w:left="-1134"/>
        <w:jc w:val="both"/>
        <w:rPr>
          <w:lang w:val="fr-BE"/>
        </w:rPr>
      </w:pPr>
      <w:r w:rsidRPr="00674513">
        <w:rPr>
          <w:lang w:val="fr-BE"/>
        </w:rPr>
        <w:t>De plus, tous les frais de déplacement nécessaires sont intégralement</w:t>
      </w:r>
      <w:r w:rsidR="009F0371">
        <w:rPr>
          <w:lang w:val="fr-BE"/>
        </w:rPr>
        <w:t xml:space="preserve"> inclus.</w:t>
      </w:r>
    </w:p>
    <w:p w14:paraId="167B304A" w14:textId="3ABAF425" w:rsidR="007546BF" w:rsidRPr="007546BF" w:rsidRDefault="00CA5090" w:rsidP="007546BF">
      <w:pPr>
        <w:ind w:left="-1134"/>
        <w:rPr>
          <w:lang w:eastAsia="fr-FR"/>
        </w:rPr>
      </w:pPr>
      <w:r>
        <w:t>Il n’y a pas de TVA en Guyane.</w:t>
      </w:r>
    </w:p>
    <w:p w14:paraId="72988EB1" w14:textId="3004B4E6" w:rsidR="004A1961" w:rsidRDefault="002D7ACA" w:rsidP="004A1961">
      <w:pPr>
        <w:pStyle w:val="Titre2"/>
      </w:pPr>
      <w:bookmarkStart w:id="31" w:name="_Toc198718154"/>
      <w:r w:rsidRPr="002D7ACA">
        <w:t>Révision des prix</w:t>
      </w:r>
      <w:bookmarkEnd w:id="31"/>
      <w:r w:rsidRPr="002D7ACA">
        <w:t xml:space="preserve"> </w:t>
      </w:r>
    </w:p>
    <w:p w14:paraId="292CCC9A" w14:textId="0FD5B25B" w:rsidR="004A1961" w:rsidRPr="009D7405" w:rsidRDefault="004A1961" w:rsidP="004A1961">
      <w:pPr>
        <w:pStyle w:val="Titre3"/>
        <w:rPr>
          <w:b w:val="0"/>
          <w:bCs/>
          <w:i w:val="0"/>
        </w:rPr>
      </w:pPr>
      <w:r w:rsidRPr="004A1961">
        <w:t xml:space="preserve"> </w:t>
      </w:r>
      <w:bookmarkStart w:id="32" w:name="_Toc198718155"/>
      <w:r w:rsidRPr="00002A66">
        <w:t>Prix fermes pendant la durée initiale du marché</w:t>
      </w:r>
      <w:bookmarkEnd w:id="32"/>
    </w:p>
    <w:p w14:paraId="66979B0E" w14:textId="6AA283B0" w:rsidR="004A1961" w:rsidRPr="004A1961" w:rsidRDefault="004A1961" w:rsidP="004A1961">
      <w:pPr>
        <w:ind w:left="-1134"/>
        <w:rPr>
          <w:lang w:val="fr-BE" w:eastAsia="fr-FR"/>
        </w:rPr>
      </w:pPr>
      <w:bookmarkStart w:id="33" w:name="_Hlk197983738"/>
      <w:r w:rsidRPr="004A1961">
        <w:rPr>
          <w:lang w:val="fr-BE" w:eastAsia="fr-FR"/>
        </w:rPr>
        <w:t xml:space="preserve">Les prix indiqués au bordereau des prix unitaires sont </w:t>
      </w:r>
      <w:r w:rsidRPr="004A1961">
        <w:rPr>
          <w:b/>
          <w:bCs/>
          <w:lang w:val="fr-BE" w:eastAsia="fr-FR"/>
        </w:rPr>
        <w:t>fermes et non révisables</w:t>
      </w:r>
      <w:r w:rsidRPr="004A1961">
        <w:rPr>
          <w:lang w:val="fr-BE" w:eastAsia="fr-FR"/>
        </w:rPr>
        <w:t xml:space="preserve"> pendant </w:t>
      </w:r>
      <w:r w:rsidR="00CA5090">
        <w:rPr>
          <w:lang w:val="fr-BE" w:eastAsia="fr-FR"/>
        </w:rPr>
        <w:t>la première année</w:t>
      </w:r>
      <w:r w:rsidR="00CA5090" w:rsidRPr="004A1961">
        <w:rPr>
          <w:lang w:val="fr-BE" w:eastAsia="fr-FR"/>
        </w:rPr>
        <w:t xml:space="preserve"> </w:t>
      </w:r>
      <w:r w:rsidRPr="004A1961">
        <w:rPr>
          <w:lang w:val="fr-BE" w:eastAsia="fr-FR"/>
        </w:rPr>
        <w:t>du marché</w:t>
      </w:r>
      <w:r w:rsidR="008D7BB1">
        <w:rPr>
          <w:lang w:val="fr-BE" w:eastAsia="fr-FR"/>
        </w:rPr>
        <w:t xml:space="preserve"> et pour la première occurrence de l’exploitation</w:t>
      </w:r>
      <w:r w:rsidRPr="004A1961">
        <w:rPr>
          <w:lang w:val="fr-BE" w:eastAsia="fr-FR"/>
        </w:rPr>
        <w:t>.</w:t>
      </w:r>
    </w:p>
    <w:bookmarkEnd w:id="33"/>
    <w:p w14:paraId="67EF0B61" w14:textId="77777777" w:rsidR="004A1961" w:rsidRDefault="004A1961" w:rsidP="004A1961">
      <w:pPr>
        <w:ind w:left="-1134"/>
        <w:rPr>
          <w:lang w:val="fr-BE" w:eastAsia="fr-FR"/>
        </w:rPr>
      </w:pPr>
      <w:r w:rsidRPr="004A1961">
        <w:rPr>
          <w:lang w:val="fr-BE" w:eastAsia="fr-FR"/>
        </w:rPr>
        <w:t>Aucune révision ne sera appliquée au cours de cette période, quelle que soit l’évolution des indices économiques ou réglementaires.</w:t>
      </w:r>
    </w:p>
    <w:p w14:paraId="6104964C" w14:textId="0E5D0610" w:rsidR="008F445F" w:rsidRPr="009D7405" w:rsidRDefault="004A1961" w:rsidP="008F445F">
      <w:pPr>
        <w:pStyle w:val="Titre3"/>
      </w:pPr>
      <w:bookmarkStart w:id="34" w:name="_Toc198718156"/>
      <w:r w:rsidRPr="004A1961">
        <w:t>Révision en cas de reconduction</w:t>
      </w:r>
      <w:bookmarkEnd w:id="34"/>
    </w:p>
    <w:p w14:paraId="6DD1D5C0" w14:textId="784098AE" w:rsidR="004A1961" w:rsidRPr="004A1961" w:rsidRDefault="004A1961" w:rsidP="008F445F">
      <w:pPr>
        <w:ind w:left="-1134"/>
        <w:rPr>
          <w:lang w:val="fr-BE" w:eastAsia="fr-FR"/>
        </w:rPr>
      </w:pPr>
      <w:bookmarkStart w:id="35" w:name="_Hlk197983745"/>
      <w:r w:rsidRPr="004A1961">
        <w:rPr>
          <w:lang w:val="fr-BE" w:eastAsia="fr-FR"/>
        </w:rPr>
        <w:t>En cas de reconduction du marché</w:t>
      </w:r>
      <w:r w:rsidR="008D7BB1">
        <w:rPr>
          <w:lang w:val="fr-BE" w:eastAsia="fr-FR"/>
        </w:rPr>
        <w:t xml:space="preserve"> au-delà de la première année d’exploitation</w:t>
      </w:r>
      <w:r w:rsidRPr="004A1961">
        <w:rPr>
          <w:lang w:val="fr-BE" w:eastAsia="fr-FR"/>
        </w:rPr>
        <w:t xml:space="preserve">, les prix pourront faire l’objet d’une </w:t>
      </w:r>
      <w:r w:rsidRPr="004A1961">
        <w:rPr>
          <w:b/>
          <w:bCs/>
          <w:lang w:val="fr-BE" w:eastAsia="fr-FR"/>
        </w:rPr>
        <w:t>révision annuelle</w:t>
      </w:r>
      <w:r w:rsidRPr="004A1961">
        <w:rPr>
          <w:lang w:val="fr-BE" w:eastAsia="fr-FR"/>
        </w:rPr>
        <w:t xml:space="preserve">, selon l’évolution de l’indice </w:t>
      </w:r>
      <w:r w:rsidRPr="004A1961">
        <w:rPr>
          <w:b/>
          <w:bCs/>
          <w:lang w:val="fr-BE" w:eastAsia="fr-FR"/>
        </w:rPr>
        <w:t>Syntec</w:t>
      </w:r>
      <w:r w:rsidRPr="004A1961">
        <w:rPr>
          <w:lang w:val="fr-BE" w:eastAsia="fr-FR"/>
        </w:rPr>
        <w:t>, selon la formule suivante :</w:t>
      </w:r>
    </w:p>
    <w:bookmarkEnd w:id="35"/>
    <w:p w14:paraId="26021F76" w14:textId="77777777" w:rsidR="004A1961" w:rsidRPr="004A1961" w:rsidRDefault="004A1961" w:rsidP="004A1961">
      <w:pPr>
        <w:rPr>
          <w:lang w:val="fr-BE" w:eastAsia="fr-FR"/>
        </w:rPr>
      </w:pPr>
      <w:r w:rsidRPr="004A1961">
        <w:rPr>
          <w:b/>
          <w:bCs/>
          <w:lang w:val="fr-BE" w:eastAsia="fr-FR"/>
        </w:rPr>
        <w:t>P = P</w:t>
      </w:r>
      <w:r w:rsidRPr="004A1961">
        <w:rPr>
          <w:rFonts w:ascii="Cambria Math" w:hAnsi="Cambria Math" w:cs="Cambria Math"/>
          <w:b/>
          <w:bCs/>
          <w:lang w:val="fr-BE" w:eastAsia="fr-FR"/>
        </w:rPr>
        <w:t>₀</w:t>
      </w:r>
      <w:r w:rsidRPr="004A1961">
        <w:rPr>
          <w:b/>
          <w:bCs/>
          <w:lang w:val="fr-BE" w:eastAsia="fr-FR"/>
        </w:rPr>
        <w:t xml:space="preserve"> </w:t>
      </w:r>
      <w:r w:rsidRPr="004A1961">
        <w:rPr>
          <w:rFonts w:cs="Arial"/>
          <w:b/>
          <w:bCs/>
          <w:lang w:val="fr-BE" w:eastAsia="fr-FR"/>
        </w:rPr>
        <w:t>×</w:t>
      </w:r>
      <w:r w:rsidRPr="004A1961">
        <w:rPr>
          <w:b/>
          <w:bCs/>
          <w:lang w:val="fr-BE" w:eastAsia="fr-FR"/>
        </w:rPr>
        <w:t xml:space="preserve"> (S / S</w:t>
      </w:r>
      <w:r w:rsidRPr="004A1961">
        <w:rPr>
          <w:rFonts w:ascii="Cambria Math" w:hAnsi="Cambria Math" w:cs="Cambria Math"/>
          <w:b/>
          <w:bCs/>
          <w:lang w:val="fr-BE" w:eastAsia="fr-FR"/>
        </w:rPr>
        <w:t>₀</w:t>
      </w:r>
      <w:r w:rsidRPr="004A1961">
        <w:rPr>
          <w:b/>
          <w:bCs/>
          <w:lang w:val="fr-BE" w:eastAsia="fr-FR"/>
        </w:rPr>
        <w:t>)</w:t>
      </w:r>
    </w:p>
    <w:p w14:paraId="3A7DBD52" w14:textId="77777777" w:rsidR="004A1961" w:rsidRPr="004A1961" w:rsidRDefault="004A1961" w:rsidP="004A1961">
      <w:pPr>
        <w:rPr>
          <w:lang w:val="fr-BE" w:eastAsia="fr-FR"/>
        </w:rPr>
      </w:pPr>
      <w:r w:rsidRPr="004A1961">
        <w:rPr>
          <w:lang w:val="fr-BE" w:eastAsia="fr-FR"/>
        </w:rPr>
        <w:t>Où :</w:t>
      </w:r>
    </w:p>
    <w:p w14:paraId="04D4C943" w14:textId="77777777" w:rsidR="004A1961" w:rsidRPr="004A1961" w:rsidRDefault="004A1961" w:rsidP="007546BF">
      <w:pPr>
        <w:numPr>
          <w:ilvl w:val="0"/>
          <w:numId w:val="13"/>
        </w:numPr>
        <w:rPr>
          <w:lang w:val="fr-BE" w:eastAsia="fr-FR"/>
        </w:rPr>
      </w:pPr>
      <w:r w:rsidRPr="004A1961">
        <w:rPr>
          <w:b/>
          <w:bCs/>
          <w:lang w:val="fr-BE" w:eastAsia="fr-FR"/>
        </w:rPr>
        <w:lastRenderedPageBreak/>
        <w:t>P</w:t>
      </w:r>
      <w:r w:rsidRPr="004A1961">
        <w:rPr>
          <w:lang w:val="fr-BE" w:eastAsia="fr-FR"/>
        </w:rPr>
        <w:t xml:space="preserve"> : prix révisé applicable à la période reconduite,</w:t>
      </w:r>
    </w:p>
    <w:p w14:paraId="7239B3FA" w14:textId="77777777" w:rsidR="004A1961" w:rsidRPr="004A1961" w:rsidRDefault="004A1961" w:rsidP="007546BF">
      <w:pPr>
        <w:numPr>
          <w:ilvl w:val="0"/>
          <w:numId w:val="13"/>
        </w:numPr>
        <w:rPr>
          <w:lang w:val="fr-BE" w:eastAsia="fr-FR"/>
        </w:rPr>
      </w:pPr>
      <w:r w:rsidRPr="004A1961">
        <w:rPr>
          <w:b/>
          <w:bCs/>
          <w:lang w:val="fr-BE" w:eastAsia="fr-FR"/>
        </w:rPr>
        <w:t>P</w:t>
      </w:r>
      <w:r w:rsidRPr="004A1961">
        <w:rPr>
          <w:rFonts w:ascii="Cambria Math" w:hAnsi="Cambria Math" w:cs="Cambria Math"/>
          <w:b/>
          <w:bCs/>
          <w:lang w:val="fr-BE" w:eastAsia="fr-FR"/>
        </w:rPr>
        <w:t>₀</w:t>
      </w:r>
      <w:r w:rsidRPr="004A1961">
        <w:rPr>
          <w:lang w:val="fr-BE" w:eastAsia="fr-FR"/>
        </w:rPr>
        <w:t xml:space="preserve"> : prix initial ou dernier prix appliqué,</w:t>
      </w:r>
    </w:p>
    <w:p w14:paraId="2ABA7735" w14:textId="77777777" w:rsidR="004A1961" w:rsidRPr="004A1961" w:rsidRDefault="004A1961" w:rsidP="007546BF">
      <w:pPr>
        <w:numPr>
          <w:ilvl w:val="0"/>
          <w:numId w:val="13"/>
        </w:numPr>
        <w:rPr>
          <w:lang w:val="fr-BE" w:eastAsia="fr-FR"/>
        </w:rPr>
      </w:pPr>
      <w:r w:rsidRPr="004A1961">
        <w:rPr>
          <w:b/>
          <w:bCs/>
          <w:lang w:val="fr-BE" w:eastAsia="fr-FR"/>
        </w:rPr>
        <w:t>S</w:t>
      </w:r>
      <w:r w:rsidRPr="004A1961">
        <w:rPr>
          <w:rFonts w:ascii="Cambria Math" w:hAnsi="Cambria Math" w:cs="Cambria Math"/>
          <w:b/>
          <w:bCs/>
          <w:lang w:val="fr-BE" w:eastAsia="fr-FR"/>
        </w:rPr>
        <w:t>₀</w:t>
      </w:r>
      <w:r w:rsidRPr="004A1961">
        <w:rPr>
          <w:lang w:val="fr-BE" w:eastAsia="fr-FR"/>
        </w:rPr>
        <w:t xml:space="preserve"> : indice Syntec publié à la date de notification du marché initial,</w:t>
      </w:r>
    </w:p>
    <w:p w14:paraId="5DE04F5D" w14:textId="77777777" w:rsidR="008F445F" w:rsidRDefault="004A1961" w:rsidP="007546BF">
      <w:pPr>
        <w:numPr>
          <w:ilvl w:val="0"/>
          <w:numId w:val="13"/>
        </w:numPr>
        <w:rPr>
          <w:lang w:val="fr-BE" w:eastAsia="fr-FR"/>
        </w:rPr>
      </w:pPr>
      <w:r w:rsidRPr="004A1961">
        <w:rPr>
          <w:b/>
          <w:bCs/>
          <w:lang w:val="fr-BE" w:eastAsia="fr-FR"/>
        </w:rPr>
        <w:t>S</w:t>
      </w:r>
      <w:r w:rsidRPr="004A1961">
        <w:rPr>
          <w:lang w:val="fr-BE" w:eastAsia="fr-FR"/>
        </w:rPr>
        <w:t xml:space="preserve"> : indice Syntec publié au moment de la reconduction.</w:t>
      </w:r>
    </w:p>
    <w:p w14:paraId="39BC2E00" w14:textId="7DD7C38D" w:rsidR="008F445F" w:rsidRPr="006051E0" w:rsidRDefault="004A1961" w:rsidP="008F445F">
      <w:pPr>
        <w:pStyle w:val="Titre3"/>
      </w:pPr>
      <w:bookmarkStart w:id="36" w:name="_Toc198718157"/>
      <w:r w:rsidRPr="004A1961">
        <w:t>Révision à la baisse</w:t>
      </w:r>
      <w:bookmarkEnd w:id="36"/>
    </w:p>
    <w:p w14:paraId="56BF2D26" w14:textId="32136487" w:rsidR="00385D2E" w:rsidRPr="009431F5" w:rsidRDefault="004A1961" w:rsidP="009431F5">
      <w:pPr>
        <w:ind w:left="-1134"/>
        <w:rPr>
          <w:lang w:val="fr-BE" w:eastAsia="fr-FR"/>
        </w:rPr>
      </w:pPr>
      <w:r w:rsidRPr="004A1961">
        <w:rPr>
          <w:lang w:val="fr-BE" w:eastAsia="fr-FR"/>
        </w:rPr>
        <w:t>La révision pourra s’appliquer à la hausse comme à la baisse.</w:t>
      </w:r>
    </w:p>
    <w:p w14:paraId="0601B5F2" w14:textId="776F25E6" w:rsidR="004657BA" w:rsidRDefault="00A070F6" w:rsidP="00394727">
      <w:pPr>
        <w:pStyle w:val="Titre1"/>
      </w:pPr>
      <w:bookmarkStart w:id="37" w:name="_Toc161406945"/>
      <w:bookmarkStart w:id="38" w:name="_Toc198718158"/>
      <w:r>
        <w:t xml:space="preserve">MODE DE </w:t>
      </w:r>
      <w:r w:rsidRPr="00A070F6">
        <w:t>F</w:t>
      </w:r>
      <w:bookmarkEnd w:id="37"/>
      <w:r>
        <w:t>ACTURATION</w:t>
      </w:r>
      <w:bookmarkEnd w:id="38"/>
    </w:p>
    <w:p w14:paraId="5D83CE20" w14:textId="50EBDB32" w:rsidR="000B09C5" w:rsidRDefault="000B09C5" w:rsidP="000B09C5">
      <w:pPr>
        <w:pStyle w:val="Titre2"/>
        <w:rPr>
          <w:rFonts w:eastAsiaTheme="minorHAnsi"/>
          <w:lang w:val="fr-BE"/>
        </w:rPr>
      </w:pPr>
      <w:bookmarkStart w:id="39" w:name="_Toc198718159"/>
      <w:r w:rsidRPr="00181BF8">
        <w:rPr>
          <w:rFonts w:eastAsiaTheme="minorHAnsi"/>
          <w:lang w:val="fr-BE"/>
        </w:rPr>
        <w:t>Clauses de réception et paiement associés</w:t>
      </w:r>
      <w:bookmarkEnd w:id="39"/>
    </w:p>
    <w:p w14:paraId="7EF11ADF" w14:textId="77777777" w:rsidR="000B09C5" w:rsidRPr="009D7405" w:rsidRDefault="000B09C5" w:rsidP="000B09C5">
      <w:pPr>
        <w:pStyle w:val="Titre3"/>
      </w:pPr>
      <w:bookmarkStart w:id="40" w:name="_Toc198718160"/>
      <w:r w:rsidRPr="009D7405">
        <w:t>Réception provisoire :</w:t>
      </w:r>
      <w:bookmarkEnd w:id="40"/>
    </w:p>
    <w:p w14:paraId="02A0CB76" w14:textId="77777777" w:rsidR="000B09C5" w:rsidRDefault="000B09C5" w:rsidP="000B09C5">
      <w:pPr>
        <w:spacing w:before="240"/>
        <w:ind w:left="-1134"/>
        <w:jc w:val="both"/>
        <w:rPr>
          <w:lang w:val="fr-BE"/>
        </w:rPr>
      </w:pPr>
      <w:r w:rsidRPr="00181BF8">
        <w:rPr>
          <w:lang w:val="fr-BE"/>
        </w:rPr>
        <w:t xml:space="preserve">La réception provisoire du SIRH sera effectuée à l'issue de la Phase 1 (déploiement), après validation du bon fonctionnement du système selon les critères définis dans le CCTP. </w:t>
      </w:r>
    </w:p>
    <w:p w14:paraId="6DAA1773" w14:textId="77777777" w:rsidR="000B09C5" w:rsidRPr="00181BF8" w:rsidRDefault="000B09C5" w:rsidP="000B09C5">
      <w:pPr>
        <w:spacing w:before="240"/>
        <w:ind w:left="-1134"/>
        <w:jc w:val="both"/>
        <w:rPr>
          <w:lang w:val="fr-BE"/>
        </w:rPr>
      </w:pPr>
      <w:r w:rsidRPr="00181BF8">
        <w:rPr>
          <w:lang w:val="fr-BE"/>
        </w:rPr>
        <w:t>Cette réception provisoire conditionne la mise en service du système. Un procès-verbal de réception provisoire sera établi, validant la conformité du SIRH aux exigences contractuelles.</w:t>
      </w:r>
    </w:p>
    <w:p w14:paraId="31528FB7" w14:textId="77777777" w:rsidR="000B09C5" w:rsidRPr="00181BF8" w:rsidRDefault="000B09C5" w:rsidP="000B09C5">
      <w:pPr>
        <w:pStyle w:val="Titre3"/>
      </w:pPr>
      <w:bookmarkStart w:id="41" w:name="_Toc198718161"/>
      <w:r w:rsidRPr="00181BF8">
        <w:t>Mise en service :</w:t>
      </w:r>
      <w:bookmarkEnd w:id="41"/>
    </w:p>
    <w:p w14:paraId="4760307A" w14:textId="77777777" w:rsidR="000B09C5" w:rsidRPr="00181BF8" w:rsidRDefault="000B09C5" w:rsidP="000B09C5">
      <w:pPr>
        <w:ind w:left="-1134"/>
        <w:jc w:val="both"/>
        <w:rPr>
          <w:lang w:val="fr-BE"/>
        </w:rPr>
      </w:pPr>
      <w:r w:rsidRPr="00181BF8">
        <w:rPr>
          <w:lang w:val="fr-BE"/>
        </w:rPr>
        <w:t>La mise en service effective du SIRH interviendra après la réception provisoire, lorsque les utilisateurs auront validé la bonne prise en main et le bon fonctionnement de toutes les fonctionnalités. Elle marque le début de la Phase 2 (exploitation).</w:t>
      </w:r>
    </w:p>
    <w:p w14:paraId="50309FB8" w14:textId="77777777" w:rsidR="000B09C5" w:rsidRPr="00181BF8" w:rsidRDefault="000B09C5" w:rsidP="000B09C5">
      <w:pPr>
        <w:pStyle w:val="Titre3"/>
      </w:pPr>
      <w:bookmarkStart w:id="42" w:name="_Toc198718162"/>
      <w:r w:rsidRPr="00181BF8">
        <w:t>Levée des dernières réserves :</w:t>
      </w:r>
      <w:bookmarkEnd w:id="42"/>
    </w:p>
    <w:p w14:paraId="746C4928" w14:textId="77777777" w:rsidR="000B09C5" w:rsidRDefault="000B09C5" w:rsidP="000B09C5">
      <w:pPr>
        <w:ind w:left="-1134"/>
        <w:jc w:val="both"/>
        <w:rPr>
          <w:lang w:val="fr-BE"/>
        </w:rPr>
      </w:pPr>
      <w:r w:rsidRPr="00181BF8">
        <w:rPr>
          <w:lang w:val="fr-BE"/>
        </w:rPr>
        <w:t xml:space="preserve">En cas de réserves émises lors de la réception provisoire, le fournisseur devra procéder à leur levée dans un délai raisonnable convenu avec le pouvoir adjudicateur. </w:t>
      </w:r>
    </w:p>
    <w:p w14:paraId="4D34EE55" w14:textId="02A807DB" w:rsidR="004A78D6" w:rsidRPr="000B09C5" w:rsidRDefault="000B09C5" w:rsidP="004A78D6">
      <w:pPr>
        <w:ind w:left="-1134"/>
        <w:jc w:val="both"/>
        <w:rPr>
          <w:lang w:val="fr-BE"/>
        </w:rPr>
      </w:pPr>
      <w:r w:rsidRPr="00181BF8">
        <w:rPr>
          <w:lang w:val="fr-BE"/>
        </w:rPr>
        <w:t>Une réception définitive sera réalisée une fois toutes les réserves levées et validées par le pouvoir adjudicateur. Le paiement final pourra être effectué à la réception définitive du système.</w:t>
      </w:r>
    </w:p>
    <w:p w14:paraId="197AE26D" w14:textId="4DF4D8F3" w:rsidR="00A070F6" w:rsidRDefault="00E35425" w:rsidP="009D7405">
      <w:pPr>
        <w:pStyle w:val="Titre2"/>
      </w:pPr>
      <w:bookmarkStart w:id="43" w:name="_Toc198718163"/>
      <w:r>
        <w:t>Termes de paiement</w:t>
      </w:r>
      <w:bookmarkEnd w:id="43"/>
      <w:r>
        <w:t xml:space="preserve"> </w:t>
      </w:r>
    </w:p>
    <w:p w14:paraId="332EC2C2" w14:textId="77777777" w:rsidR="00E62BE3" w:rsidRPr="00E62BE3" w:rsidRDefault="00E62BE3" w:rsidP="00E62BE3">
      <w:pPr>
        <w:spacing w:before="100" w:beforeAutospacing="1" w:after="100" w:afterAutospacing="1" w:line="240" w:lineRule="auto"/>
        <w:ind w:left="-1134"/>
        <w:jc w:val="both"/>
      </w:pPr>
      <w:r w:rsidRPr="00E62BE3">
        <w:t>Les conditions de facturation et de paiement sont définies selon la nature des prestations :</w:t>
      </w:r>
    </w:p>
    <w:p w14:paraId="36D93480" w14:textId="3F378483" w:rsidR="00E62BE3" w:rsidRDefault="00E62BE3" w:rsidP="007546BF">
      <w:pPr>
        <w:numPr>
          <w:ilvl w:val="0"/>
          <w:numId w:val="14"/>
        </w:numPr>
        <w:spacing w:before="100" w:beforeAutospacing="1" w:after="100" w:afterAutospacing="1" w:line="240" w:lineRule="auto"/>
        <w:ind w:left="-709" w:hanging="284"/>
        <w:jc w:val="both"/>
      </w:pPr>
      <w:r w:rsidRPr="00E62BE3">
        <w:t>UO</w:t>
      </w:r>
      <w:r w:rsidR="000B09C5">
        <w:t>1</w:t>
      </w:r>
      <w:r w:rsidRPr="00E62BE3">
        <w:t xml:space="preserve"> – Coût d’implémentation (forfait global)</w:t>
      </w:r>
    </w:p>
    <w:p w14:paraId="61344B46" w14:textId="77777777" w:rsidR="00281F9C" w:rsidRPr="00281F9C" w:rsidRDefault="00281F9C" w:rsidP="00281F9C">
      <w:pPr>
        <w:spacing w:before="100" w:beforeAutospacing="1" w:after="100" w:afterAutospacing="1" w:line="240" w:lineRule="auto"/>
        <w:ind w:left="-993"/>
        <w:jc w:val="both"/>
      </w:pPr>
      <w:r w:rsidRPr="00281F9C">
        <w:t>Le paiement de l’implémentation sera effectué en trois tranches :</w:t>
      </w:r>
    </w:p>
    <w:p w14:paraId="65008FDE" w14:textId="7C6A78DE" w:rsidR="00281F9C" w:rsidRPr="00281F9C" w:rsidRDefault="00281F9C" w:rsidP="007546BF">
      <w:pPr>
        <w:numPr>
          <w:ilvl w:val="0"/>
          <w:numId w:val="18"/>
        </w:numPr>
        <w:tabs>
          <w:tab w:val="clear" w:pos="720"/>
          <w:tab w:val="num" w:pos="426"/>
        </w:tabs>
        <w:spacing w:before="100" w:beforeAutospacing="1" w:after="100" w:afterAutospacing="1" w:line="240" w:lineRule="auto"/>
        <w:ind w:left="-284" w:hanging="283"/>
        <w:jc w:val="both"/>
      </w:pPr>
      <w:r w:rsidRPr="00281F9C">
        <w:t>La première tranche</w:t>
      </w:r>
      <w:r w:rsidR="008D7BB1">
        <w:t xml:space="preserve"> (40%)</w:t>
      </w:r>
      <w:r w:rsidRPr="00281F9C">
        <w:t xml:space="preserve"> sera versée lors de la réception provisoire du SIRH, après validation du déploiement initial.</w:t>
      </w:r>
    </w:p>
    <w:p w14:paraId="4EC3C5E4" w14:textId="54CD7136" w:rsidR="00281F9C" w:rsidRPr="00281F9C" w:rsidRDefault="00281F9C" w:rsidP="007546BF">
      <w:pPr>
        <w:numPr>
          <w:ilvl w:val="0"/>
          <w:numId w:val="18"/>
        </w:numPr>
        <w:tabs>
          <w:tab w:val="clear" w:pos="720"/>
          <w:tab w:val="num" w:pos="426"/>
        </w:tabs>
        <w:spacing w:before="100" w:beforeAutospacing="1" w:after="100" w:afterAutospacing="1" w:line="240" w:lineRule="auto"/>
        <w:ind w:left="-284" w:hanging="283"/>
        <w:jc w:val="both"/>
      </w:pPr>
      <w:r w:rsidRPr="00281F9C">
        <w:t xml:space="preserve">La deuxième tranche </w:t>
      </w:r>
      <w:r w:rsidR="008D7BB1">
        <w:t xml:space="preserve">(40%) </w:t>
      </w:r>
      <w:r w:rsidRPr="00281F9C">
        <w:t>interviendra au moment de la mise en service du système, une fois que les utilisateurs auront validé le bon fonctionnement des principales fonctionnalités.</w:t>
      </w:r>
    </w:p>
    <w:p w14:paraId="5BA526AC" w14:textId="77777777" w:rsidR="000B09C5" w:rsidRDefault="00281F9C" w:rsidP="007546BF">
      <w:pPr>
        <w:numPr>
          <w:ilvl w:val="0"/>
          <w:numId w:val="18"/>
        </w:numPr>
        <w:tabs>
          <w:tab w:val="clear" w:pos="720"/>
          <w:tab w:val="num" w:pos="426"/>
        </w:tabs>
        <w:spacing w:before="100" w:beforeAutospacing="1" w:after="100" w:afterAutospacing="1" w:line="240" w:lineRule="auto"/>
        <w:ind w:left="-284" w:hanging="283"/>
        <w:jc w:val="both"/>
      </w:pPr>
      <w:r w:rsidRPr="00281F9C">
        <w:t xml:space="preserve">La troisième tranche </w:t>
      </w:r>
      <w:r w:rsidR="008D7BB1">
        <w:t xml:space="preserve">(20%) </w:t>
      </w:r>
      <w:r w:rsidRPr="00281F9C">
        <w:t>sera réglée après la levée des dernières réserves et la réception définitive du SIRH, marquant la fin de la phase de déploiement et la transition vers la phase d’exploitation.</w:t>
      </w:r>
    </w:p>
    <w:p w14:paraId="03FC94F2" w14:textId="77777777" w:rsidR="000B09C5" w:rsidRDefault="000B09C5" w:rsidP="000B09C5">
      <w:pPr>
        <w:spacing w:before="100" w:beforeAutospacing="1" w:after="100" w:afterAutospacing="1" w:line="240" w:lineRule="auto"/>
        <w:ind w:left="-284"/>
        <w:jc w:val="both"/>
      </w:pPr>
    </w:p>
    <w:p w14:paraId="5AB85B31" w14:textId="479FE1C5" w:rsidR="000B09C5" w:rsidRDefault="000B09C5" w:rsidP="007546BF">
      <w:pPr>
        <w:numPr>
          <w:ilvl w:val="0"/>
          <w:numId w:val="14"/>
        </w:numPr>
        <w:spacing w:before="100" w:beforeAutospacing="1" w:after="100" w:afterAutospacing="1" w:line="240" w:lineRule="auto"/>
        <w:ind w:left="-709" w:hanging="284"/>
        <w:jc w:val="both"/>
      </w:pPr>
      <w:r w:rsidRPr="00E62BE3">
        <w:lastRenderedPageBreak/>
        <w:t>UO</w:t>
      </w:r>
      <w:r>
        <w:t>2</w:t>
      </w:r>
      <w:r w:rsidRPr="00E62BE3">
        <w:t xml:space="preserve"> – Coût de la licence (forfait annuel)</w:t>
      </w:r>
    </w:p>
    <w:p w14:paraId="6593307F" w14:textId="48A32904" w:rsidR="000B09C5" w:rsidRDefault="000B09C5" w:rsidP="000B09C5">
      <w:pPr>
        <w:spacing w:before="100" w:beforeAutospacing="1" w:after="100" w:afterAutospacing="1" w:line="240" w:lineRule="auto"/>
        <w:ind w:left="-1069"/>
        <w:jc w:val="both"/>
      </w:pPr>
      <w:r w:rsidRPr="00E62BE3">
        <w:t xml:space="preserve">La facturation </w:t>
      </w:r>
      <w:r>
        <w:t>sera</w:t>
      </w:r>
      <w:r w:rsidRPr="00E62BE3">
        <w:t xml:space="preserve"> effectuée par tranches semestrielles, soit deux échéances par an, sur la base du montant annuel convenu</w:t>
      </w:r>
      <w:r>
        <w:t xml:space="preserve"> </w:t>
      </w:r>
    </w:p>
    <w:p w14:paraId="3219FD94" w14:textId="2A21EA50" w:rsidR="00E62BE3" w:rsidRDefault="00E62BE3" w:rsidP="007546BF">
      <w:pPr>
        <w:numPr>
          <w:ilvl w:val="0"/>
          <w:numId w:val="14"/>
        </w:numPr>
        <w:spacing w:before="100" w:beforeAutospacing="1" w:after="100" w:afterAutospacing="1" w:line="240" w:lineRule="auto"/>
        <w:ind w:left="-709" w:hanging="284"/>
        <w:jc w:val="both"/>
      </w:pPr>
      <w:r w:rsidRPr="00E62BE3">
        <w:t>UO3 et UO4 – Prestations à la journée (support fonctionnel et formations)</w:t>
      </w:r>
    </w:p>
    <w:p w14:paraId="12286C0F" w14:textId="0A753DBC" w:rsidR="00E62BE3" w:rsidRDefault="00E62BE3" w:rsidP="00E62BE3">
      <w:pPr>
        <w:spacing w:before="100" w:beforeAutospacing="1" w:after="100" w:afterAutospacing="1" w:line="240" w:lineRule="auto"/>
        <w:ind w:left="-993"/>
        <w:jc w:val="both"/>
      </w:pPr>
      <w:r w:rsidRPr="00E62BE3">
        <w:t>Ces prestations s</w:t>
      </w:r>
      <w:r w:rsidR="006051E0">
        <w:t>eront</w:t>
      </w:r>
      <w:r w:rsidRPr="00E62BE3">
        <w:t xml:space="preserve"> facturées mensuellement, sur la base du nombre réel de journées travaillées au cours du mois. Un relevé d’activité validé par le pouvoir adjudicateur doit être joint à chaque facture.</w:t>
      </w:r>
    </w:p>
    <w:p w14:paraId="60CEED7C" w14:textId="016395B4" w:rsidR="006051E0" w:rsidRDefault="006051E0" w:rsidP="007546BF">
      <w:pPr>
        <w:pStyle w:val="Paragraphedeliste"/>
        <w:numPr>
          <w:ilvl w:val="0"/>
          <w:numId w:val="20"/>
        </w:numPr>
        <w:spacing w:before="100" w:beforeAutospacing="1" w:after="100" w:afterAutospacing="1"/>
        <w:ind w:left="-709" w:hanging="284"/>
      </w:pPr>
      <w:r w:rsidRPr="006051E0">
        <w:rPr>
          <w:lang w:val="fr-BE"/>
        </w:rPr>
        <w:t>UO</w:t>
      </w:r>
      <w:r w:rsidRPr="006051E0">
        <w:rPr>
          <w:b/>
          <w:bCs/>
          <w:lang w:val="fr-BE"/>
        </w:rPr>
        <w:t xml:space="preserve"> </w:t>
      </w:r>
      <w:r w:rsidRPr="006051E0">
        <w:rPr>
          <w:lang w:val="fr-BE"/>
        </w:rPr>
        <w:t>5 </w:t>
      </w:r>
      <w:r w:rsidRPr="00E62BE3">
        <w:t>–</w:t>
      </w:r>
      <w:r>
        <w:rPr>
          <w:lang w:val="fr-BE"/>
        </w:rPr>
        <w:t xml:space="preserve"> </w:t>
      </w:r>
      <w:r w:rsidRPr="006051E0">
        <w:rPr>
          <w:lang w:val="fr-BE"/>
        </w:rPr>
        <w:t xml:space="preserve"> Coût de la </w:t>
      </w:r>
      <w:r w:rsidRPr="006051E0">
        <w:t>Réversibilité (forfait en fin de contrat) </w:t>
      </w:r>
    </w:p>
    <w:p w14:paraId="222E3C63" w14:textId="04C55A7D" w:rsidR="006051E0" w:rsidRPr="006051E0" w:rsidRDefault="006051E0" w:rsidP="006051E0">
      <w:pPr>
        <w:spacing w:before="100" w:beforeAutospacing="1" w:after="100" w:afterAutospacing="1"/>
        <w:ind w:left="-993"/>
      </w:pPr>
      <w:r w:rsidRPr="006051E0">
        <w:t>La prestation de réversibilité fera l’objet d’une facturation unique, à l’issue de sa réalisation effective, sur présentation d’un procès-verbal de réception signé.</w:t>
      </w:r>
    </w:p>
    <w:p w14:paraId="1A76ED53" w14:textId="32282215" w:rsidR="0026464C" w:rsidRPr="0026464C" w:rsidRDefault="008F445F" w:rsidP="0026464C">
      <w:pPr>
        <w:pStyle w:val="Titre2"/>
      </w:pPr>
      <w:r>
        <w:t xml:space="preserve"> </w:t>
      </w:r>
      <w:bookmarkStart w:id="44" w:name="_Toc198718164"/>
      <w:r w:rsidR="00A070F6" w:rsidRPr="0026464C">
        <w:t>Modalités de paiement</w:t>
      </w:r>
      <w:bookmarkEnd w:id="44"/>
      <w:r w:rsidR="00A070F6" w:rsidRPr="0026464C">
        <w:t xml:space="preserve"> </w:t>
      </w:r>
    </w:p>
    <w:p w14:paraId="78BC6F26" w14:textId="77777777" w:rsidR="00A070F6" w:rsidRPr="00BD48F4" w:rsidRDefault="00A070F6" w:rsidP="0026464C">
      <w:pPr>
        <w:ind w:left="-1134"/>
      </w:pPr>
      <w:r w:rsidRPr="00BD48F4">
        <w:t xml:space="preserve">La facture ou son équivalent sera établi en un original et 2 copies portant, outre les mentions légales, les annotations suivantes : </w:t>
      </w:r>
    </w:p>
    <w:p w14:paraId="7000F20C" w14:textId="77777777" w:rsidR="00A070F6" w:rsidRPr="00BD48F4" w:rsidRDefault="00A070F6" w:rsidP="007546BF">
      <w:pPr>
        <w:pStyle w:val="Paragraphedeliste"/>
        <w:numPr>
          <w:ilvl w:val="0"/>
          <w:numId w:val="9"/>
        </w:numPr>
        <w:spacing w:after="108" w:line="248" w:lineRule="auto"/>
        <w:ind w:left="0" w:hanging="426"/>
      </w:pPr>
      <w:r w:rsidRPr="00BD48F4">
        <w:t xml:space="preserve">Nom et adresse du créancier, </w:t>
      </w:r>
    </w:p>
    <w:p w14:paraId="6F52B044" w14:textId="77777777" w:rsidR="00A070F6" w:rsidRPr="00BD48F4" w:rsidRDefault="00A070F6" w:rsidP="007546BF">
      <w:pPr>
        <w:pStyle w:val="Paragraphedeliste"/>
        <w:numPr>
          <w:ilvl w:val="0"/>
          <w:numId w:val="9"/>
        </w:numPr>
        <w:spacing w:after="108" w:line="248" w:lineRule="auto"/>
        <w:ind w:left="0" w:hanging="426"/>
      </w:pPr>
      <w:r w:rsidRPr="00BD48F4">
        <w:t xml:space="preserve">Numéro de compte bancaire ou postal, </w:t>
      </w:r>
    </w:p>
    <w:p w14:paraId="52410EEC" w14:textId="45504D85" w:rsidR="00A070F6" w:rsidRPr="00BD48F4" w:rsidRDefault="00E35425" w:rsidP="007546BF">
      <w:pPr>
        <w:pStyle w:val="Paragraphedeliste"/>
        <w:numPr>
          <w:ilvl w:val="0"/>
          <w:numId w:val="9"/>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rsidP="007546BF">
      <w:pPr>
        <w:pStyle w:val="Paragraphedeliste"/>
        <w:numPr>
          <w:ilvl w:val="0"/>
          <w:numId w:val="9"/>
        </w:numPr>
        <w:spacing w:after="108" w:line="248" w:lineRule="auto"/>
        <w:ind w:left="0" w:hanging="426"/>
      </w:pPr>
      <w:r w:rsidRPr="00BD48F4">
        <w:t>Le numéro de bon de commande associé,</w:t>
      </w:r>
    </w:p>
    <w:p w14:paraId="291B595C" w14:textId="43C7EBA6" w:rsidR="00A070F6" w:rsidRPr="00BD48F4" w:rsidRDefault="00A070F6" w:rsidP="007546BF">
      <w:pPr>
        <w:pStyle w:val="Paragraphedeliste"/>
        <w:numPr>
          <w:ilvl w:val="0"/>
          <w:numId w:val="9"/>
        </w:numPr>
        <w:spacing w:after="108" w:line="248" w:lineRule="auto"/>
        <w:ind w:left="0" w:hanging="426"/>
      </w:pPr>
      <w:r w:rsidRPr="00BD48F4">
        <w:t xml:space="preserve">Montant </w:t>
      </w:r>
      <w:r w:rsidR="00E35425" w:rsidRPr="00BD48F4">
        <w:t>HT</w:t>
      </w:r>
      <w:r w:rsidRPr="00BD48F4">
        <w:t xml:space="preserve"> de la prestation réalisée</w:t>
      </w:r>
      <w:r w:rsidR="007546BF">
        <w:t>.</w:t>
      </w:r>
    </w:p>
    <w:p w14:paraId="4443E99C" w14:textId="77777777" w:rsidR="00A070F6" w:rsidRPr="00BD48F4" w:rsidRDefault="00A070F6" w:rsidP="00E35425">
      <w:pPr>
        <w:ind w:left="-1134"/>
        <w:jc w:val="both"/>
      </w:pPr>
      <w:r w:rsidRPr="00BD48F4">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1603F6C0" w:rsidR="00A070F6" w:rsidRPr="004A78D6" w:rsidRDefault="00A070F6" w:rsidP="00E35425">
      <w:pPr>
        <w:ind w:left="-1134"/>
        <w:jc w:val="both"/>
      </w:pPr>
      <w:r w:rsidRPr="00BD48F4">
        <w:t>L’ensemble de ces documents (factures, attestation de service fait, avoir</w:t>
      </w:r>
      <w:r w:rsidRPr="004A78D6">
        <w:t>)</w:t>
      </w:r>
      <w:r w:rsidR="00CA5090" w:rsidRPr="004A78D6">
        <w:t xml:space="preserve"> devra être déposé</w:t>
      </w:r>
      <w:r w:rsidR="004A78D6" w:rsidRPr="004A78D6">
        <w:t xml:space="preserve"> </w:t>
      </w:r>
      <w:r w:rsidR="00CA5090" w:rsidRPr="004A78D6">
        <w:t>sur la plate-forme CHORUS PORTAIL PRO. L’utilisation de de portail est obligatoire pour toutes les factures adressées à une personne publique depuis le 1</w:t>
      </w:r>
      <w:r w:rsidR="00CA5090" w:rsidRPr="004A78D6">
        <w:rPr>
          <w:vertAlign w:val="superscript"/>
        </w:rPr>
        <w:t>er</w:t>
      </w:r>
      <w:r w:rsidR="00CA5090" w:rsidRPr="004A78D6">
        <w:t xml:space="preserve"> janvier 2017</w:t>
      </w:r>
      <w:r w:rsidR="004A78D6" w:rsidRPr="004A78D6">
        <w:t>.</w:t>
      </w:r>
    </w:p>
    <w:p w14:paraId="196473DA" w14:textId="4D69041A" w:rsidR="00A070F6" w:rsidRPr="00BD48F4" w:rsidRDefault="00A070F6" w:rsidP="00E35425">
      <w:pPr>
        <w:ind w:left="-1134"/>
        <w:jc w:val="both"/>
      </w:pPr>
      <w:r w:rsidRPr="00BD48F4">
        <w:t>Les factures doivent parvenir dans les 15 jours qui suivent le mois d’exécution de la prestation</w:t>
      </w:r>
      <w:r w:rsidR="00E35425">
        <w:t>.</w:t>
      </w:r>
    </w:p>
    <w:p w14:paraId="1453664A" w14:textId="6DCAF78B" w:rsidR="00C43A21" w:rsidRDefault="00C43A21" w:rsidP="00394727">
      <w:pPr>
        <w:pStyle w:val="Titre1"/>
        <w:rPr>
          <w:lang w:eastAsia="fr-FR"/>
        </w:rPr>
      </w:pPr>
      <w:bookmarkStart w:id="45" w:name="_Toc198718165"/>
      <w:bookmarkEnd w:id="1"/>
      <w:r>
        <w:rPr>
          <w:lang w:eastAsia="fr-FR"/>
        </w:rPr>
        <w:t>PENALITES</w:t>
      </w:r>
      <w:bookmarkEnd w:id="45"/>
      <w:r>
        <w:rPr>
          <w:lang w:eastAsia="fr-FR"/>
        </w:rPr>
        <w:t xml:space="preserve"> </w:t>
      </w:r>
    </w:p>
    <w:p w14:paraId="771CC532" w14:textId="4E771A12" w:rsidR="005929C1" w:rsidRDefault="005929C1" w:rsidP="005929C1">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tbl>
      <w:tblPr>
        <w:tblW w:w="9263" w:type="dxa"/>
        <w:tblInd w:w="-1139" w:type="dxa"/>
        <w:tblCellMar>
          <w:left w:w="70" w:type="dxa"/>
          <w:right w:w="70" w:type="dxa"/>
        </w:tblCellMar>
        <w:tblLook w:val="04A0" w:firstRow="1" w:lastRow="0" w:firstColumn="1" w:lastColumn="0" w:noHBand="0" w:noVBand="1"/>
      </w:tblPr>
      <w:tblGrid>
        <w:gridCol w:w="1200"/>
        <w:gridCol w:w="2628"/>
        <w:gridCol w:w="2835"/>
        <w:gridCol w:w="2600"/>
      </w:tblGrid>
      <w:tr w:rsidR="00FC647E" w:rsidRPr="00FC647E" w14:paraId="70C51788" w14:textId="77777777" w:rsidTr="00FC647E">
        <w:trPr>
          <w:trHeight w:val="58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EFB6D0"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w:t>
            </w:r>
          </w:p>
        </w:tc>
        <w:tc>
          <w:tcPr>
            <w:tcW w:w="2628" w:type="dxa"/>
            <w:tcBorders>
              <w:top w:val="single" w:sz="4" w:space="0" w:color="auto"/>
              <w:left w:val="nil"/>
              <w:bottom w:val="single" w:sz="4" w:space="0" w:color="auto"/>
              <w:right w:val="single" w:sz="4" w:space="0" w:color="auto"/>
            </w:tcBorders>
            <w:shd w:val="clear" w:color="auto" w:fill="auto"/>
            <w:noWrap/>
            <w:vAlign w:val="center"/>
            <w:hideMark/>
          </w:tcPr>
          <w:p w14:paraId="65454A36"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 xml:space="preserve">Exigences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E3CF52D"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Critère d'exigence</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14:paraId="739686FA" w14:textId="293A0AA3"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Pénalités</w:t>
            </w:r>
          </w:p>
        </w:tc>
      </w:tr>
      <w:tr w:rsidR="00FC647E" w:rsidRPr="00FC647E" w14:paraId="5D29C00C"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424C034"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20EE7837"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l'exigence fonctionnelle : Gestion administrative du personnel </w:t>
            </w:r>
          </w:p>
        </w:tc>
        <w:tc>
          <w:tcPr>
            <w:tcW w:w="2835" w:type="dxa"/>
            <w:tcBorders>
              <w:top w:val="nil"/>
              <w:left w:val="nil"/>
              <w:bottom w:val="single" w:sz="4" w:space="0" w:color="auto"/>
              <w:right w:val="single" w:sz="4" w:space="0" w:color="auto"/>
            </w:tcBorders>
            <w:shd w:val="clear" w:color="auto" w:fill="auto"/>
            <w:vAlign w:val="center"/>
            <w:hideMark/>
          </w:tcPr>
          <w:p w14:paraId="778689FA"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Garantit une gestion administrative complète et centralisée du personnel</w:t>
            </w:r>
          </w:p>
        </w:tc>
        <w:tc>
          <w:tcPr>
            <w:tcW w:w="2600" w:type="dxa"/>
            <w:tcBorders>
              <w:top w:val="nil"/>
              <w:left w:val="nil"/>
              <w:bottom w:val="single" w:sz="4" w:space="0" w:color="auto"/>
              <w:right w:val="single" w:sz="4" w:space="0" w:color="auto"/>
            </w:tcBorders>
            <w:shd w:val="clear" w:color="auto" w:fill="auto"/>
            <w:vAlign w:val="center"/>
            <w:hideMark/>
          </w:tcPr>
          <w:p w14:paraId="7F683E4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500 € par mois de non-conformité ou dysfonctionnement avéré</w:t>
            </w:r>
          </w:p>
        </w:tc>
      </w:tr>
      <w:tr w:rsidR="00FC647E" w:rsidRPr="00FC647E" w14:paraId="005963BF" w14:textId="77777777" w:rsidTr="00FC647E">
        <w:trPr>
          <w:trHeight w:val="145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5B96441"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lastRenderedPageBreak/>
              <w:t>UO1</w:t>
            </w:r>
          </w:p>
        </w:tc>
        <w:tc>
          <w:tcPr>
            <w:tcW w:w="2628" w:type="dxa"/>
            <w:tcBorders>
              <w:top w:val="nil"/>
              <w:left w:val="nil"/>
              <w:bottom w:val="single" w:sz="4" w:space="0" w:color="auto"/>
              <w:right w:val="single" w:sz="4" w:space="0" w:color="auto"/>
            </w:tcBorders>
            <w:shd w:val="clear" w:color="auto" w:fill="auto"/>
            <w:vAlign w:val="center"/>
            <w:hideMark/>
          </w:tcPr>
          <w:p w14:paraId="5447C790"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Respecter l'exigence fonctionnelle : Gestion des temps et activités</w:t>
            </w:r>
          </w:p>
        </w:tc>
        <w:tc>
          <w:tcPr>
            <w:tcW w:w="2835" w:type="dxa"/>
            <w:tcBorders>
              <w:top w:val="nil"/>
              <w:left w:val="nil"/>
              <w:bottom w:val="single" w:sz="4" w:space="0" w:color="auto"/>
              <w:right w:val="single" w:sz="4" w:space="0" w:color="auto"/>
            </w:tcBorders>
            <w:shd w:val="clear" w:color="auto" w:fill="auto"/>
            <w:vAlign w:val="center"/>
            <w:hideMark/>
          </w:tcPr>
          <w:p w14:paraId="60BFB0C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Intègre une gestion complète et dématérialisée des temps de travail et des activités</w:t>
            </w:r>
          </w:p>
        </w:tc>
        <w:tc>
          <w:tcPr>
            <w:tcW w:w="2600" w:type="dxa"/>
            <w:tcBorders>
              <w:top w:val="nil"/>
              <w:left w:val="nil"/>
              <w:bottom w:val="single" w:sz="4" w:space="0" w:color="auto"/>
              <w:right w:val="single" w:sz="4" w:space="0" w:color="auto"/>
            </w:tcBorders>
            <w:shd w:val="clear" w:color="auto" w:fill="auto"/>
            <w:vAlign w:val="center"/>
            <w:hideMark/>
          </w:tcPr>
          <w:p w14:paraId="34ECED53"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300 € par semaine de non-disponibilité ou de non-respect des fonctionnalités attendues</w:t>
            </w:r>
          </w:p>
        </w:tc>
      </w:tr>
      <w:tr w:rsidR="00FC647E" w:rsidRPr="00FC647E" w14:paraId="122A5A92" w14:textId="77777777" w:rsidTr="00FC647E">
        <w:trPr>
          <w:trHeight w:val="145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0543AA8"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3A5AEF36"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Respecter l'exigence fonctionnelle : Gestion des temps et activités</w:t>
            </w:r>
          </w:p>
        </w:tc>
        <w:tc>
          <w:tcPr>
            <w:tcW w:w="2835" w:type="dxa"/>
            <w:tcBorders>
              <w:top w:val="nil"/>
              <w:left w:val="nil"/>
              <w:bottom w:val="single" w:sz="4" w:space="0" w:color="auto"/>
              <w:right w:val="single" w:sz="4" w:space="0" w:color="auto"/>
            </w:tcBorders>
            <w:shd w:val="clear" w:color="auto" w:fill="auto"/>
            <w:vAlign w:val="center"/>
            <w:hideMark/>
          </w:tcPr>
          <w:p w14:paraId="4D97CAF6"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Avoir un portail collaborateur pour consultation des compteurs en temps réel</w:t>
            </w:r>
          </w:p>
        </w:tc>
        <w:tc>
          <w:tcPr>
            <w:tcW w:w="2600" w:type="dxa"/>
            <w:tcBorders>
              <w:top w:val="nil"/>
              <w:left w:val="nil"/>
              <w:bottom w:val="single" w:sz="4" w:space="0" w:color="auto"/>
              <w:right w:val="single" w:sz="4" w:space="0" w:color="auto"/>
            </w:tcBorders>
            <w:shd w:val="clear" w:color="auto" w:fill="auto"/>
            <w:vAlign w:val="center"/>
            <w:hideMark/>
          </w:tcPr>
          <w:p w14:paraId="53522A37"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150 € par jour de non-disponibilité du portail ou de données erronées</w:t>
            </w:r>
          </w:p>
        </w:tc>
      </w:tr>
      <w:tr w:rsidR="00FC647E" w:rsidRPr="00FC647E" w14:paraId="69885B5F"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DE15DAA"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49D33FAA"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Respecter l'exigence fonctionnelle : Gestion des temps et activités</w:t>
            </w:r>
          </w:p>
        </w:tc>
        <w:tc>
          <w:tcPr>
            <w:tcW w:w="2835" w:type="dxa"/>
            <w:tcBorders>
              <w:top w:val="nil"/>
              <w:left w:val="nil"/>
              <w:bottom w:val="single" w:sz="4" w:space="0" w:color="auto"/>
              <w:right w:val="single" w:sz="4" w:space="0" w:color="auto"/>
            </w:tcBorders>
            <w:shd w:val="clear" w:color="auto" w:fill="auto"/>
            <w:vAlign w:val="center"/>
            <w:hideMark/>
          </w:tcPr>
          <w:p w14:paraId="483E2ECE"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Respect de la législation sur le temps de travail et les conventions collectives</w:t>
            </w:r>
          </w:p>
        </w:tc>
        <w:tc>
          <w:tcPr>
            <w:tcW w:w="2600" w:type="dxa"/>
            <w:tcBorders>
              <w:top w:val="nil"/>
              <w:left w:val="nil"/>
              <w:bottom w:val="single" w:sz="4" w:space="0" w:color="auto"/>
              <w:right w:val="single" w:sz="4" w:space="0" w:color="auto"/>
            </w:tcBorders>
            <w:shd w:val="clear" w:color="auto" w:fill="auto"/>
            <w:vAlign w:val="center"/>
            <w:hideMark/>
          </w:tcPr>
          <w:p w14:paraId="14966AB5"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forfaitaire de 1000 € par constat de non-conformité réglementaire</w:t>
            </w:r>
          </w:p>
        </w:tc>
      </w:tr>
      <w:tr w:rsidR="00FC647E" w:rsidRPr="00FC647E" w14:paraId="49059F07"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F263F81"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695EF23B"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l'exigence fonctionnelle : Gestion des absences et congé </w:t>
            </w:r>
          </w:p>
        </w:tc>
        <w:tc>
          <w:tcPr>
            <w:tcW w:w="2835" w:type="dxa"/>
            <w:tcBorders>
              <w:top w:val="nil"/>
              <w:left w:val="nil"/>
              <w:bottom w:val="single" w:sz="4" w:space="0" w:color="auto"/>
              <w:right w:val="single" w:sz="4" w:space="0" w:color="auto"/>
            </w:tcBorders>
            <w:shd w:val="clear" w:color="auto" w:fill="auto"/>
            <w:vAlign w:val="center"/>
            <w:hideMark/>
          </w:tcPr>
          <w:p w14:paraId="7A7FAE60"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Suivi et historique des absences (congés payés, RTT, maladie, maternité, ...)</w:t>
            </w:r>
          </w:p>
        </w:tc>
        <w:tc>
          <w:tcPr>
            <w:tcW w:w="2600" w:type="dxa"/>
            <w:tcBorders>
              <w:top w:val="nil"/>
              <w:left w:val="nil"/>
              <w:bottom w:val="single" w:sz="4" w:space="0" w:color="auto"/>
              <w:right w:val="single" w:sz="4" w:space="0" w:color="auto"/>
            </w:tcBorders>
            <w:shd w:val="clear" w:color="auto" w:fill="auto"/>
            <w:vAlign w:val="center"/>
            <w:hideMark/>
          </w:tcPr>
          <w:p w14:paraId="0F519D20"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300 € par mois en cas d'absence de traçabilité ou d’erreur significative</w:t>
            </w:r>
          </w:p>
        </w:tc>
      </w:tr>
      <w:tr w:rsidR="00FC647E" w:rsidRPr="00FC647E" w14:paraId="1B9C707D" w14:textId="77777777" w:rsidTr="00FC647E">
        <w:trPr>
          <w:trHeight w:val="174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7B2B78A"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1E382DD5"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Exigence fonctionnelle : Formation et développement des compétences</w:t>
            </w:r>
          </w:p>
        </w:tc>
        <w:tc>
          <w:tcPr>
            <w:tcW w:w="2835" w:type="dxa"/>
            <w:tcBorders>
              <w:top w:val="nil"/>
              <w:left w:val="nil"/>
              <w:bottom w:val="single" w:sz="4" w:space="0" w:color="auto"/>
              <w:right w:val="single" w:sz="4" w:space="0" w:color="auto"/>
            </w:tcBorders>
            <w:shd w:val="clear" w:color="auto" w:fill="auto"/>
            <w:vAlign w:val="center"/>
            <w:hideMark/>
          </w:tcPr>
          <w:p w14:paraId="6C43123A" w14:textId="77777777" w:rsidR="00FC647E" w:rsidRPr="00FC647E" w:rsidRDefault="00FC647E" w:rsidP="00FC647E">
            <w:pPr>
              <w:spacing w:after="0" w:line="240" w:lineRule="auto"/>
              <w:rPr>
                <w:rFonts w:eastAsia="Times New Roman" w:cs="Arial"/>
                <w:color w:val="000000"/>
                <w:szCs w:val="20"/>
                <w:lang w:val="fr-BE" w:eastAsia="fr-BE"/>
              </w:rPr>
            </w:pPr>
            <w:proofErr w:type="spellStart"/>
            <w:r w:rsidRPr="00FC647E">
              <w:rPr>
                <w:rFonts w:eastAsia="Times New Roman" w:cs="Arial"/>
                <w:color w:val="000000"/>
                <w:szCs w:val="20"/>
                <w:lang w:val="fr-BE" w:eastAsia="fr-BE"/>
              </w:rPr>
              <w:t>Reporting</w:t>
            </w:r>
            <w:proofErr w:type="spellEnd"/>
            <w:r w:rsidRPr="00FC647E">
              <w:rPr>
                <w:rFonts w:eastAsia="Times New Roman" w:cs="Arial"/>
                <w:color w:val="000000"/>
                <w:szCs w:val="20"/>
                <w:lang w:val="fr-BE" w:eastAsia="fr-BE"/>
              </w:rPr>
              <w:t xml:space="preserve"> sur la formation : taux de participation, satisfaction, suivi des compétences développées…</w:t>
            </w:r>
          </w:p>
        </w:tc>
        <w:tc>
          <w:tcPr>
            <w:tcW w:w="2600" w:type="dxa"/>
            <w:tcBorders>
              <w:top w:val="nil"/>
              <w:left w:val="nil"/>
              <w:bottom w:val="single" w:sz="4" w:space="0" w:color="auto"/>
              <w:right w:val="single" w:sz="4" w:space="0" w:color="auto"/>
            </w:tcBorders>
            <w:shd w:val="clear" w:color="auto" w:fill="auto"/>
            <w:vAlign w:val="center"/>
            <w:hideMark/>
          </w:tcPr>
          <w:p w14:paraId="641F30B5"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250 € par mois si les indicateurs ne sont pas fournis ou sont incomplets</w:t>
            </w:r>
          </w:p>
        </w:tc>
      </w:tr>
      <w:tr w:rsidR="00FC647E" w:rsidRPr="00FC647E" w14:paraId="2CC5621E"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B9431FE"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5F4EBB28"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Exigence fonctionnelle : Gestion des talents et de la performance</w:t>
            </w:r>
          </w:p>
        </w:tc>
        <w:tc>
          <w:tcPr>
            <w:tcW w:w="2835" w:type="dxa"/>
            <w:tcBorders>
              <w:top w:val="nil"/>
              <w:left w:val="nil"/>
              <w:bottom w:val="single" w:sz="4" w:space="0" w:color="auto"/>
              <w:right w:val="single" w:sz="4" w:space="0" w:color="auto"/>
            </w:tcBorders>
            <w:shd w:val="clear" w:color="auto" w:fill="auto"/>
            <w:vAlign w:val="center"/>
            <w:hideMark/>
          </w:tcPr>
          <w:p w14:paraId="6A6EDE3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Évaluation des compétences et des performances via des campagnes d’évaluation</w:t>
            </w:r>
          </w:p>
        </w:tc>
        <w:tc>
          <w:tcPr>
            <w:tcW w:w="2600" w:type="dxa"/>
            <w:tcBorders>
              <w:top w:val="nil"/>
              <w:left w:val="nil"/>
              <w:bottom w:val="single" w:sz="4" w:space="0" w:color="auto"/>
              <w:right w:val="single" w:sz="4" w:space="0" w:color="auto"/>
            </w:tcBorders>
            <w:shd w:val="clear" w:color="auto" w:fill="auto"/>
            <w:vAlign w:val="center"/>
            <w:hideMark/>
          </w:tcPr>
          <w:p w14:paraId="3A5011BD"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200 € par campagne non déployée ou outil d’évaluation non fonctionnel</w:t>
            </w:r>
          </w:p>
        </w:tc>
      </w:tr>
      <w:tr w:rsidR="00FC647E" w:rsidRPr="00FC647E" w14:paraId="18BCBE9E" w14:textId="77777777" w:rsidTr="00FC647E">
        <w:trPr>
          <w:trHeight w:val="203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B51E64D"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7FFCE3CC"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Exigence fonctionnelle : Pilotage RH et </w:t>
            </w:r>
            <w:proofErr w:type="spellStart"/>
            <w:r w:rsidRPr="00FC647E">
              <w:rPr>
                <w:rFonts w:eastAsia="Times New Roman" w:cs="Arial"/>
                <w:b/>
                <w:bCs/>
                <w:color w:val="000000"/>
                <w:szCs w:val="20"/>
                <w:lang w:val="fr-BE" w:eastAsia="fr-BE"/>
              </w:rPr>
              <w:t>reporting</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23BC026C"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Mise à disposition d’indicateurs RH standards et personnalisables (effectifs, turnover, absentéisme, ancienneté…)</w:t>
            </w:r>
          </w:p>
        </w:tc>
        <w:tc>
          <w:tcPr>
            <w:tcW w:w="2600" w:type="dxa"/>
            <w:tcBorders>
              <w:top w:val="nil"/>
              <w:left w:val="nil"/>
              <w:bottom w:val="single" w:sz="4" w:space="0" w:color="auto"/>
              <w:right w:val="single" w:sz="4" w:space="0" w:color="auto"/>
            </w:tcBorders>
            <w:shd w:val="clear" w:color="auto" w:fill="auto"/>
            <w:vAlign w:val="center"/>
            <w:hideMark/>
          </w:tcPr>
          <w:p w14:paraId="7EB59FB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200 € par mois en cas d’indicateurs indisponibles ou non conformes</w:t>
            </w:r>
          </w:p>
        </w:tc>
      </w:tr>
      <w:tr w:rsidR="00FC647E" w:rsidRPr="00FC647E" w14:paraId="55F0EAEF"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BE9818D"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681BC301"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Exigence fonctionnelle : Pilotage RH et </w:t>
            </w:r>
            <w:proofErr w:type="spellStart"/>
            <w:r w:rsidRPr="00FC647E">
              <w:rPr>
                <w:rFonts w:eastAsia="Times New Roman" w:cs="Arial"/>
                <w:b/>
                <w:bCs/>
                <w:color w:val="000000"/>
                <w:szCs w:val="20"/>
                <w:lang w:val="fr-BE" w:eastAsia="fr-BE"/>
              </w:rPr>
              <w:t>reporting</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0C14F3D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Production de tableaux de bord RH dynamiques et automatisés</w:t>
            </w:r>
          </w:p>
        </w:tc>
        <w:tc>
          <w:tcPr>
            <w:tcW w:w="2600" w:type="dxa"/>
            <w:tcBorders>
              <w:top w:val="nil"/>
              <w:left w:val="nil"/>
              <w:bottom w:val="single" w:sz="4" w:space="0" w:color="auto"/>
              <w:right w:val="single" w:sz="4" w:space="0" w:color="auto"/>
            </w:tcBorders>
            <w:shd w:val="clear" w:color="auto" w:fill="auto"/>
            <w:vAlign w:val="center"/>
            <w:hideMark/>
          </w:tcPr>
          <w:p w14:paraId="1ADAC62A"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300 € par mois si les tableaux ne sont pas produits automatiquement</w:t>
            </w:r>
          </w:p>
        </w:tc>
      </w:tr>
      <w:tr w:rsidR="00FC647E" w:rsidRPr="00FC647E" w14:paraId="3572E94C"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671BD13"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246F4B1C"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Exigence fonctionnelle : Pilotage RH et </w:t>
            </w:r>
            <w:proofErr w:type="spellStart"/>
            <w:r w:rsidRPr="00FC647E">
              <w:rPr>
                <w:rFonts w:eastAsia="Times New Roman" w:cs="Arial"/>
                <w:b/>
                <w:bCs/>
                <w:color w:val="000000"/>
                <w:szCs w:val="20"/>
                <w:lang w:val="fr-BE" w:eastAsia="fr-BE"/>
              </w:rPr>
              <w:t>reporting</w:t>
            </w:r>
            <w:proofErr w:type="spellEnd"/>
          </w:p>
        </w:tc>
        <w:tc>
          <w:tcPr>
            <w:tcW w:w="2835" w:type="dxa"/>
            <w:tcBorders>
              <w:top w:val="nil"/>
              <w:left w:val="nil"/>
              <w:bottom w:val="single" w:sz="4" w:space="0" w:color="auto"/>
              <w:right w:val="single" w:sz="4" w:space="0" w:color="auto"/>
            </w:tcBorders>
            <w:shd w:val="clear" w:color="auto" w:fill="auto"/>
            <w:vAlign w:val="center"/>
            <w:hideMark/>
          </w:tcPr>
          <w:p w14:paraId="5CA13667"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Exportation des données sous formats multiples (Excel, PDF...)</w:t>
            </w:r>
          </w:p>
        </w:tc>
        <w:tc>
          <w:tcPr>
            <w:tcW w:w="2600" w:type="dxa"/>
            <w:tcBorders>
              <w:top w:val="nil"/>
              <w:left w:val="nil"/>
              <w:bottom w:val="single" w:sz="4" w:space="0" w:color="auto"/>
              <w:right w:val="single" w:sz="4" w:space="0" w:color="auto"/>
            </w:tcBorders>
            <w:shd w:val="clear" w:color="auto" w:fill="auto"/>
            <w:vAlign w:val="center"/>
            <w:hideMark/>
          </w:tcPr>
          <w:p w14:paraId="2FB1075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100 € par format non disponible ou bug bloquant</w:t>
            </w:r>
          </w:p>
        </w:tc>
      </w:tr>
      <w:tr w:rsidR="00FC647E" w:rsidRPr="00FC647E" w14:paraId="13FA7FCD"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46CE2E7"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304966AD"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Exigence fonctionnelle : Gestion des relations sociales</w:t>
            </w:r>
          </w:p>
        </w:tc>
        <w:tc>
          <w:tcPr>
            <w:tcW w:w="2835" w:type="dxa"/>
            <w:tcBorders>
              <w:top w:val="nil"/>
              <w:left w:val="nil"/>
              <w:bottom w:val="single" w:sz="4" w:space="0" w:color="auto"/>
              <w:right w:val="single" w:sz="4" w:space="0" w:color="auto"/>
            </w:tcBorders>
            <w:shd w:val="clear" w:color="auto" w:fill="auto"/>
            <w:vAlign w:val="center"/>
            <w:hideMark/>
          </w:tcPr>
          <w:p w14:paraId="0AF4BB8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Gestion des relations sociales</w:t>
            </w:r>
          </w:p>
        </w:tc>
        <w:tc>
          <w:tcPr>
            <w:tcW w:w="2600" w:type="dxa"/>
            <w:tcBorders>
              <w:top w:val="nil"/>
              <w:left w:val="nil"/>
              <w:bottom w:val="single" w:sz="4" w:space="0" w:color="auto"/>
              <w:right w:val="single" w:sz="4" w:space="0" w:color="auto"/>
            </w:tcBorders>
            <w:shd w:val="clear" w:color="auto" w:fill="auto"/>
            <w:vAlign w:val="center"/>
            <w:hideMark/>
          </w:tcPr>
          <w:p w14:paraId="69CA6110"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300 € par fonctionnalité manquante ou inutilisable</w:t>
            </w:r>
          </w:p>
        </w:tc>
      </w:tr>
      <w:tr w:rsidR="00FC647E" w:rsidRPr="00FC647E" w14:paraId="5114F9AE"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C059EE9"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lastRenderedPageBreak/>
              <w:t>UO1</w:t>
            </w:r>
          </w:p>
        </w:tc>
        <w:tc>
          <w:tcPr>
            <w:tcW w:w="2628" w:type="dxa"/>
            <w:tcBorders>
              <w:top w:val="nil"/>
              <w:left w:val="nil"/>
              <w:bottom w:val="single" w:sz="4" w:space="0" w:color="auto"/>
              <w:right w:val="single" w:sz="4" w:space="0" w:color="auto"/>
            </w:tcBorders>
            <w:shd w:val="clear" w:color="auto" w:fill="auto"/>
            <w:vAlign w:val="center"/>
            <w:hideMark/>
          </w:tcPr>
          <w:p w14:paraId="4EAE1667"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Exigence fonctionnelle : Gestion de la conformité et de la sécurité</w:t>
            </w:r>
          </w:p>
        </w:tc>
        <w:tc>
          <w:tcPr>
            <w:tcW w:w="2835" w:type="dxa"/>
            <w:tcBorders>
              <w:top w:val="nil"/>
              <w:left w:val="nil"/>
              <w:bottom w:val="single" w:sz="4" w:space="0" w:color="auto"/>
              <w:right w:val="single" w:sz="4" w:space="0" w:color="auto"/>
            </w:tcBorders>
            <w:shd w:val="clear" w:color="auto" w:fill="auto"/>
            <w:vAlign w:val="center"/>
            <w:hideMark/>
          </w:tcPr>
          <w:p w14:paraId="079E4B6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Gestion de la conformité et de la sécurité</w:t>
            </w:r>
          </w:p>
        </w:tc>
        <w:tc>
          <w:tcPr>
            <w:tcW w:w="2600" w:type="dxa"/>
            <w:tcBorders>
              <w:top w:val="nil"/>
              <w:left w:val="nil"/>
              <w:bottom w:val="single" w:sz="4" w:space="0" w:color="auto"/>
              <w:right w:val="single" w:sz="4" w:space="0" w:color="auto"/>
            </w:tcBorders>
            <w:shd w:val="clear" w:color="auto" w:fill="auto"/>
            <w:vAlign w:val="center"/>
            <w:hideMark/>
          </w:tcPr>
          <w:p w14:paraId="5EBE998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1000 € par constat de non-conformité ou incident de sécurité</w:t>
            </w:r>
          </w:p>
        </w:tc>
      </w:tr>
      <w:tr w:rsidR="00FC647E" w:rsidRPr="00FC647E" w14:paraId="25478A98"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CBB6B0B"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2D064EE0"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Exigence fonctionnelle : Fournir un portail et self-service collaboratif</w:t>
            </w:r>
          </w:p>
        </w:tc>
        <w:tc>
          <w:tcPr>
            <w:tcW w:w="2835" w:type="dxa"/>
            <w:tcBorders>
              <w:top w:val="nil"/>
              <w:left w:val="nil"/>
              <w:bottom w:val="single" w:sz="4" w:space="0" w:color="auto"/>
              <w:right w:val="single" w:sz="4" w:space="0" w:color="auto"/>
            </w:tcBorders>
            <w:shd w:val="clear" w:color="auto" w:fill="auto"/>
            <w:vAlign w:val="center"/>
            <w:hideMark/>
          </w:tcPr>
          <w:p w14:paraId="660CC4F5"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Portail et self-service collaboratif</w:t>
            </w:r>
          </w:p>
        </w:tc>
        <w:tc>
          <w:tcPr>
            <w:tcW w:w="2600" w:type="dxa"/>
            <w:tcBorders>
              <w:top w:val="nil"/>
              <w:left w:val="nil"/>
              <w:bottom w:val="single" w:sz="4" w:space="0" w:color="auto"/>
              <w:right w:val="single" w:sz="4" w:space="0" w:color="auto"/>
            </w:tcBorders>
            <w:shd w:val="clear" w:color="auto" w:fill="auto"/>
            <w:vAlign w:val="center"/>
            <w:hideMark/>
          </w:tcPr>
          <w:p w14:paraId="12ECE630"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Pénalité de 200 € par jour de non-accessibilité ou de bug majeur</w:t>
            </w:r>
          </w:p>
        </w:tc>
      </w:tr>
      <w:tr w:rsidR="00FC647E" w:rsidRPr="00FC647E" w14:paraId="3C2BC613"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49CA3D0"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noWrap/>
            <w:vAlign w:val="center"/>
            <w:hideMark/>
          </w:tcPr>
          <w:p w14:paraId="48453E0D"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l'intégration avec les outils existants</w:t>
            </w:r>
          </w:p>
        </w:tc>
        <w:tc>
          <w:tcPr>
            <w:tcW w:w="2835" w:type="dxa"/>
            <w:tcBorders>
              <w:top w:val="nil"/>
              <w:left w:val="nil"/>
              <w:bottom w:val="single" w:sz="4" w:space="0" w:color="auto"/>
              <w:right w:val="single" w:sz="4" w:space="0" w:color="auto"/>
            </w:tcBorders>
            <w:shd w:val="clear" w:color="auto" w:fill="auto"/>
            <w:vAlign w:val="center"/>
            <w:hideMark/>
          </w:tcPr>
          <w:p w14:paraId="236A4A3F"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Interopérabilité avec les outils existants (API, paie, formats d’échange, SSO…)</w:t>
            </w:r>
          </w:p>
        </w:tc>
        <w:tc>
          <w:tcPr>
            <w:tcW w:w="2600" w:type="dxa"/>
            <w:tcBorders>
              <w:top w:val="nil"/>
              <w:left w:val="nil"/>
              <w:bottom w:val="single" w:sz="4" w:space="0" w:color="auto"/>
              <w:right w:val="single" w:sz="4" w:space="0" w:color="auto"/>
            </w:tcBorders>
            <w:shd w:val="clear" w:color="auto" w:fill="auto"/>
            <w:vAlign w:val="center"/>
            <w:hideMark/>
          </w:tcPr>
          <w:p w14:paraId="3FAF1E57"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interface non fonctionnelle</w:t>
            </w:r>
          </w:p>
        </w:tc>
      </w:tr>
      <w:tr w:rsidR="00FC647E" w:rsidRPr="00FC647E" w14:paraId="5D5768C1"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65A91E7"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0B9C444E"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vos promesses (Livrables et </w:t>
            </w:r>
            <w:proofErr w:type="spellStart"/>
            <w:r w:rsidRPr="00FC647E">
              <w:rPr>
                <w:rFonts w:eastAsia="Times New Roman" w:cs="Arial"/>
                <w:b/>
                <w:bCs/>
                <w:color w:val="000000"/>
                <w:szCs w:val="20"/>
                <w:lang w:val="fr-BE" w:eastAsia="fr-BE"/>
              </w:rPr>
              <w:t>reporting</w:t>
            </w:r>
            <w:proofErr w:type="spellEnd"/>
            <w:r w:rsidRPr="00FC647E">
              <w:rPr>
                <w:rFonts w:eastAsia="Times New Roman" w:cs="Arial"/>
                <w:b/>
                <w:bCs/>
                <w:color w:val="000000"/>
                <w:szCs w:val="20"/>
                <w:lang w:val="fr-BE" w:eastAsia="fr-BE"/>
              </w:rPr>
              <w:t>)</w:t>
            </w:r>
          </w:p>
        </w:tc>
        <w:tc>
          <w:tcPr>
            <w:tcW w:w="2835" w:type="dxa"/>
            <w:tcBorders>
              <w:top w:val="nil"/>
              <w:left w:val="nil"/>
              <w:bottom w:val="single" w:sz="4" w:space="0" w:color="auto"/>
              <w:right w:val="single" w:sz="4" w:space="0" w:color="auto"/>
            </w:tcBorders>
            <w:shd w:val="clear" w:color="auto" w:fill="auto"/>
            <w:vAlign w:val="center"/>
            <w:hideMark/>
          </w:tcPr>
          <w:p w14:paraId="04F521B5"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Taux de respect du planning défini dans l'AAE</w:t>
            </w:r>
          </w:p>
        </w:tc>
        <w:tc>
          <w:tcPr>
            <w:tcW w:w="2600" w:type="dxa"/>
            <w:tcBorders>
              <w:top w:val="nil"/>
              <w:left w:val="nil"/>
              <w:bottom w:val="single" w:sz="4" w:space="0" w:color="auto"/>
              <w:right w:val="single" w:sz="4" w:space="0" w:color="auto"/>
            </w:tcBorders>
            <w:shd w:val="clear" w:color="auto" w:fill="auto"/>
            <w:vAlign w:val="center"/>
            <w:hideMark/>
          </w:tcPr>
          <w:p w14:paraId="4B1AC72A"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1% du montant mensuel par semaine de retard</w:t>
            </w:r>
          </w:p>
        </w:tc>
      </w:tr>
      <w:tr w:rsidR="00FC647E" w:rsidRPr="00FC647E" w14:paraId="3EBFE536"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D5A8D6D"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15F07C38"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vos promesses (Livrables et </w:t>
            </w:r>
            <w:proofErr w:type="spellStart"/>
            <w:r w:rsidRPr="00FC647E">
              <w:rPr>
                <w:rFonts w:eastAsia="Times New Roman" w:cs="Arial"/>
                <w:b/>
                <w:bCs/>
                <w:color w:val="000000"/>
                <w:szCs w:val="20"/>
                <w:lang w:val="fr-BE" w:eastAsia="fr-BE"/>
              </w:rPr>
              <w:t>reporting</w:t>
            </w:r>
            <w:proofErr w:type="spellEnd"/>
            <w:r w:rsidRPr="00FC647E">
              <w:rPr>
                <w:rFonts w:eastAsia="Times New Roman" w:cs="Arial"/>
                <w:b/>
                <w:bCs/>
                <w:color w:val="000000"/>
                <w:szCs w:val="20"/>
                <w:lang w:val="fr-BE" w:eastAsia="fr-BE"/>
              </w:rPr>
              <w:t>)</w:t>
            </w:r>
          </w:p>
        </w:tc>
        <w:tc>
          <w:tcPr>
            <w:tcW w:w="2835" w:type="dxa"/>
            <w:tcBorders>
              <w:top w:val="nil"/>
              <w:left w:val="nil"/>
              <w:bottom w:val="single" w:sz="4" w:space="0" w:color="auto"/>
              <w:right w:val="single" w:sz="4" w:space="0" w:color="auto"/>
            </w:tcBorders>
            <w:shd w:val="clear" w:color="auto" w:fill="auto"/>
            <w:vAlign w:val="center"/>
            <w:hideMark/>
          </w:tcPr>
          <w:p w14:paraId="45DA404B" w14:textId="660C458C"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Stabilité de l'équipe projet telle que mentionnée dans l'AAE</w:t>
            </w:r>
          </w:p>
        </w:tc>
        <w:tc>
          <w:tcPr>
            <w:tcW w:w="2600" w:type="dxa"/>
            <w:tcBorders>
              <w:top w:val="nil"/>
              <w:left w:val="nil"/>
              <w:bottom w:val="single" w:sz="4" w:space="0" w:color="auto"/>
              <w:right w:val="single" w:sz="4" w:space="0" w:color="auto"/>
            </w:tcBorders>
            <w:shd w:val="clear" w:color="auto" w:fill="auto"/>
            <w:vAlign w:val="center"/>
            <w:hideMark/>
          </w:tcPr>
          <w:p w14:paraId="60E14FD1"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remplacement non autorisé</w:t>
            </w:r>
          </w:p>
        </w:tc>
      </w:tr>
      <w:tr w:rsidR="00FC647E" w:rsidRPr="00FC647E" w14:paraId="5C279A69"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2C90BC0"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55D4BB5C"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vos promesses (Livrables et </w:t>
            </w:r>
            <w:proofErr w:type="spellStart"/>
            <w:r w:rsidRPr="00FC647E">
              <w:rPr>
                <w:rFonts w:eastAsia="Times New Roman" w:cs="Arial"/>
                <w:b/>
                <w:bCs/>
                <w:color w:val="000000"/>
                <w:szCs w:val="20"/>
                <w:lang w:val="fr-BE" w:eastAsia="fr-BE"/>
              </w:rPr>
              <w:t>reporting</w:t>
            </w:r>
            <w:proofErr w:type="spellEnd"/>
            <w:r w:rsidRPr="00FC647E">
              <w:rPr>
                <w:rFonts w:eastAsia="Times New Roman" w:cs="Arial"/>
                <w:b/>
                <w:bCs/>
                <w:color w:val="000000"/>
                <w:szCs w:val="20"/>
                <w:lang w:val="fr-BE" w:eastAsia="fr-BE"/>
              </w:rPr>
              <w:t>)</w:t>
            </w:r>
          </w:p>
        </w:tc>
        <w:tc>
          <w:tcPr>
            <w:tcW w:w="2835" w:type="dxa"/>
            <w:tcBorders>
              <w:top w:val="nil"/>
              <w:left w:val="nil"/>
              <w:bottom w:val="single" w:sz="4" w:space="0" w:color="auto"/>
              <w:right w:val="single" w:sz="4" w:space="0" w:color="auto"/>
            </w:tcBorders>
            <w:shd w:val="clear" w:color="auto" w:fill="auto"/>
            <w:vAlign w:val="center"/>
            <w:hideMark/>
          </w:tcPr>
          <w:p w14:paraId="5D24A6DD"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Fréquence d'assister au comité de pilotage</w:t>
            </w:r>
          </w:p>
        </w:tc>
        <w:tc>
          <w:tcPr>
            <w:tcW w:w="2600" w:type="dxa"/>
            <w:tcBorders>
              <w:top w:val="nil"/>
              <w:left w:val="nil"/>
              <w:bottom w:val="single" w:sz="4" w:space="0" w:color="auto"/>
              <w:right w:val="single" w:sz="4" w:space="0" w:color="auto"/>
            </w:tcBorders>
            <w:shd w:val="clear" w:color="auto" w:fill="auto"/>
            <w:vAlign w:val="center"/>
            <w:hideMark/>
          </w:tcPr>
          <w:p w14:paraId="6222627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absence non justifiée</w:t>
            </w:r>
          </w:p>
        </w:tc>
      </w:tr>
      <w:tr w:rsidR="00FC647E" w:rsidRPr="00FC647E" w14:paraId="21F66F8A" w14:textId="77777777" w:rsidTr="00FC647E">
        <w:trPr>
          <w:trHeight w:val="174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65B96AB"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UO1</w:t>
            </w:r>
          </w:p>
        </w:tc>
        <w:tc>
          <w:tcPr>
            <w:tcW w:w="2628" w:type="dxa"/>
            <w:tcBorders>
              <w:top w:val="nil"/>
              <w:left w:val="nil"/>
              <w:bottom w:val="single" w:sz="4" w:space="0" w:color="auto"/>
              <w:right w:val="single" w:sz="4" w:space="0" w:color="auto"/>
            </w:tcBorders>
            <w:shd w:val="clear" w:color="auto" w:fill="auto"/>
            <w:vAlign w:val="center"/>
            <w:hideMark/>
          </w:tcPr>
          <w:p w14:paraId="32B006DF"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Respecter vos promesses (Livrables et </w:t>
            </w:r>
            <w:proofErr w:type="spellStart"/>
            <w:r w:rsidRPr="00FC647E">
              <w:rPr>
                <w:rFonts w:eastAsia="Times New Roman" w:cs="Arial"/>
                <w:b/>
                <w:bCs/>
                <w:color w:val="000000"/>
                <w:szCs w:val="20"/>
                <w:lang w:val="fr-BE" w:eastAsia="fr-BE"/>
              </w:rPr>
              <w:t>reporting</w:t>
            </w:r>
            <w:proofErr w:type="spellEnd"/>
            <w:r w:rsidRPr="00FC647E">
              <w:rPr>
                <w:rFonts w:eastAsia="Times New Roman" w:cs="Arial"/>
                <w:b/>
                <w:bCs/>
                <w:color w:val="000000"/>
                <w:szCs w:val="20"/>
                <w:lang w:val="fr-BE" w:eastAsia="fr-BE"/>
              </w:rPr>
              <w:t>)</w:t>
            </w:r>
          </w:p>
        </w:tc>
        <w:tc>
          <w:tcPr>
            <w:tcW w:w="2835" w:type="dxa"/>
            <w:tcBorders>
              <w:top w:val="nil"/>
              <w:left w:val="nil"/>
              <w:bottom w:val="single" w:sz="4" w:space="0" w:color="auto"/>
              <w:right w:val="single" w:sz="4" w:space="0" w:color="auto"/>
            </w:tcBorders>
            <w:shd w:val="clear" w:color="auto" w:fill="auto"/>
            <w:vAlign w:val="center"/>
            <w:hideMark/>
          </w:tcPr>
          <w:p w14:paraId="26047074"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 xml:space="preserve">Engagement sur la rédaction de </w:t>
            </w:r>
            <w:proofErr w:type="spellStart"/>
            <w:r w:rsidRPr="00FC647E">
              <w:rPr>
                <w:rFonts w:eastAsia="Times New Roman" w:cs="Arial"/>
                <w:color w:val="000000"/>
                <w:szCs w:val="20"/>
                <w:lang w:val="fr-BE" w:eastAsia="fr-BE"/>
              </w:rPr>
              <w:t>reportings</w:t>
            </w:r>
            <w:proofErr w:type="spellEnd"/>
            <w:r w:rsidRPr="00FC647E">
              <w:rPr>
                <w:rFonts w:eastAsia="Times New Roman" w:cs="Arial"/>
                <w:color w:val="000000"/>
                <w:szCs w:val="20"/>
                <w:lang w:val="fr-BE" w:eastAsia="fr-BE"/>
              </w:rPr>
              <w:t xml:space="preserve"> d’avancement attendus à chaque étape (cadrage, recette, formation…)</w:t>
            </w:r>
          </w:p>
        </w:tc>
        <w:tc>
          <w:tcPr>
            <w:tcW w:w="2600" w:type="dxa"/>
            <w:tcBorders>
              <w:top w:val="nil"/>
              <w:left w:val="nil"/>
              <w:bottom w:val="single" w:sz="4" w:space="0" w:color="auto"/>
              <w:right w:val="single" w:sz="4" w:space="0" w:color="auto"/>
            </w:tcBorders>
            <w:shd w:val="clear" w:color="auto" w:fill="auto"/>
            <w:vAlign w:val="center"/>
            <w:hideMark/>
          </w:tcPr>
          <w:p w14:paraId="135AEB0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livrable manquant ou incomplet</w:t>
            </w:r>
          </w:p>
        </w:tc>
      </w:tr>
      <w:tr w:rsidR="00FC647E" w:rsidRPr="00FC647E" w14:paraId="4CC941C0"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621C360"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5850DCDE"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disponibilité, l’intégrité et la</w:t>
            </w:r>
            <w:r w:rsidRPr="00FC647E">
              <w:rPr>
                <w:rFonts w:eastAsia="Times New Roman" w:cs="Arial"/>
                <w:b/>
                <w:bCs/>
                <w:color w:val="000000"/>
                <w:szCs w:val="20"/>
                <w:lang w:val="fr-BE" w:eastAsia="fr-BE"/>
              </w:rPr>
              <w:br/>
              <w:t>confidentialité des données</w:t>
            </w:r>
          </w:p>
        </w:tc>
        <w:tc>
          <w:tcPr>
            <w:tcW w:w="2835" w:type="dxa"/>
            <w:tcBorders>
              <w:top w:val="nil"/>
              <w:left w:val="nil"/>
              <w:bottom w:val="single" w:sz="4" w:space="0" w:color="auto"/>
              <w:right w:val="single" w:sz="4" w:space="0" w:color="auto"/>
            </w:tcBorders>
            <w:shd w:val="clear" w:color="auto" w:fill="auto"/>
            <w:vAlign w:val="center"/>
            <w:hideMark/>
          </w:tcPr>
          <w:p w14:paraId="313603D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Accès différencié selon les profils utilisateurs</w:t>
            </w:r>
          </w:p>
        </w:tc>
        <w:tc>
          <w:tcPr>
            <w:tcW w:w="2600" w:type="dxa"/>
            <w:tcBorders>
              <w:top w:val="nil"/>
              <w:left w:val="nil"/>
              <w:bottom w:val="single" w:sz="4" w:space="0" w:color="auto"/>
              <w:right w:val="single" w:sz="4" w:space="0" w:color="auto"/>
            </w:tcBorders>
            <w:shd w:val="clear" w:color="auto" w:fill="auto"/>
            <w:vAlign w:val="center"/>
            <w:hideMark/>
          </w:tcPr>
          <w:p w14:paraId="003D5A9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200 € par utilisateur mal profilé ou accès non conforme</w:t>
            </w:r>
          </w:p>
        </w:tc>
      </w:tr>
      <w:tr w:rsidR="00FC647E" w:rsidRPr="00FC647E" w14:paraId="34E4A570" w14:textId="77777777" w:rsidTr="00FC647E">
        <w:trPr>
          <w:trHeight w:val="174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FEC35FF"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03E0584C"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disponibilité, l’intégrité et la</w:t>
            </w:r>
            <w:r w:rsidRPr="00FC647E">
              <w:rPr>
                <w:rFonts w:eastAsia="Times New Roman" w:cs="Arial"/>
                <w:b/>
                <w:bCs/>
                <w:color w:val="000000"/>
                <w:szCs w:val="20"/>
                <w:lang w:val="fr-BE" w:eastAsia="fr-BE"/>
              </w:rPr>
              <w:br/>
              <w:t>confidentialité des données</w:t>
            </w:r>
          </w:p>
        </w:tc>
        <w:tc>
          <w:tcPr>
            <w:tcW w:w="2835" w:type="dxa"/>
            <w:tcBorders>
              <w:top w:val="nil"/>
              <w:left w:val="nil"/>
              <w:bottom w:val="single" w:sz="4" w:space="0" w:color="auto"/>
              <w:right w:val="single" w:sz="4" w:space="0" w:color="auto"/>
            </w:tcBorders>
            <w:shd w:val="clear" w:color="auto" w:fill="auto"/>
            <w:vAlign w:val="center"/>
            <w:hideMark/>
          </w:tcPr>
          <w:p w14:paraId="50A81B3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Hébergement en conformité avec la Politique de Sécurité des Systèmes d’Information (PSSI) de la collectivité</w:t>
            </w:r>
          </w:p>
        </w:tc>
        <w:tc>
          <w:tcPr>
            <w:tcW w:w="2600" w:type="dxa"/>
            <w:tcBorders>
              <w:top w:val="nil"/>
              <w:left w:val="nil"/>
              <w:bottom w:val="single" w:sz="4" w:space="0" w:color="auto"/>
              <w:right w:val="single" w:sz="4" w:space="0" w:color="auto"/>
            </w:tcBorders>
            <w:shd w:val="clear" w:color="auto" w:fill="auto"/>
            <w:vAlign w:val="center"/>
            <w:hideMark/>
          </w:tcPr>
          <w:p w14:paraId="5C293BB6"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1500 € par manquement + suspension possible du service</w:t>
            </w:r>
          </w:p>
        </w:tc>
      </w:tr>
      <w:tr w:rsidR="00FC647E" w:rsidRPr="00FC647E" w14:paraId="654CA1C0" w14:textId="77777777" w:rsidTr="00FC647E">
        <w:trPr>
          <w:trHeight w:val="58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2AB77E1"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4722C370"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maintenance et le support</w:t>
            </w:r>
          </w:p>
        </w:tc>
        <w:tc>
          <w:tcPr>
            <w:tcW w:w="2835" w:type="dxa"/>
            <w:tcBorders>
              <w:top w:val="nil"/>
              <w:left w:val="nil"/>
              <w:bottom w:val="single" w:sz="4" w:space="0" w:color="auto"/>
              <w:right w:val="single" w:sz="4" w:space="0" w:color="auto"/>
            </w:tcBorders>
            <w:shd w:val="clear" w:color="auto" w:fill="auto"/>
            <w:vAlign w:val="center"/>
            <w:hideMark/>
          </w:tcPr>
          <w:p w14:paraId="1BB06B38" w14:textId="2FA0BBF4"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Taux de disponibilité à la plateforme (SLA)</w:t>
            </w:r>
          </w:p>
        </w:tc>
        <w:tc>
          <w:tcPr>
            <w:tcW w:w="2600" w:type="dxa"/>
            <w:tcBorders>
              <w:top w:val="nil"/>
              <w:left w:val="nil"/>
              <w:bottom w:val="single" w:sz="4" w:space="0" w:color="auto"/>
              <w:right w:val="single" w:sz="4" w:space="0" w:color="auto"/>
            </w:tcBorders>
            <w:shd w:val="clear" w:color="auto" w:fill="auto"/>
            <w:vAlign w:val="center"/>
            <w:hideMark/>
          </w:tcPr>
          <w:p w14:paraId="5A0DFA6A"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tranche de 0,1% manquante</w:t>
            </w:r>
          </w:p>
        </w:tc>
      </w:tr>
      <w:tr w:rsidR="00FC647E" w:rsidRPr="00FC647E" w14:paraId="76B8CA50" w14:textId="77777777" w:rsidTr="00FC647E">
        <w:trPr>
          <w:trHeight w:val="58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7E63C82"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66AC276F"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maintenance et le support</w:t>
            </w:r>
          </w:p>
        </w:tc>
        <w:tc>
          <w:tcPr>
            <w:tcW w:w="2835" w:type="dxa"/>
            <w:tcBorders>
              <w:top w:val="nil"/>
              <w:left w:val="nil"/>
              <w:bottom w:val="single" w:sz="4" w:space="0" w:color="auto"/>
              <w:right w:val="single" w:sz="4" w:space="0" w:color="auto"/>
            </w:tcBorders>
            <w:shd w:val="clear" w:color="auto" w:fill="auto"/>
            <w:vAlign w:val="center"/>
            <w:hideMark/>
          </w:tcPr>
          <w:p w14:paraId="7571AFDA"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 xml:space="preserve">Suivi via un portail client ou outil de </w:t>
            </w:r>
            <w:proofErr w:type="spellStart"/>
            <w:r w:rsidRPr="00FC647E">
              <w:rPr>
                <w:rFonts w:eastAsia="Times New Roman" w:cs="Arial"/>
                <w:color w:val="000000"/>
                <w:szCs w:val="20"/>
                <w:lang w:val="fr-BE" w:eastAsia="fr-BE"/>
              </w:rPr>
              <w:t>ticketing</w:t>
            </w:r>
            <w:proofErr w:type="spellEnd"/>
          </w:p>
        </w:tc>
        <w:tc>
          <w:tcPr>
            <w:tcW w:w="2600" w:type="dxa"/>
            <w:tcBorders>
              <w:top w:val="nil"/>
              <w:left w:val="nil"/>
              <w:bottom w:val="single" w:sz="4" w:space="0" w:color="auto"/>
              <w:right w:val="single" w:sz="4" w:space="0" w:color="auto"/>
            </w:tcBorders>
            <w:shd w:val="clear" w:color="auto" w:fill="auto"/>
            <w:vAlign w:val="center"/>
            <w:hideMark/>
          </w:tcPr>
          <w:p w14:paraId="257438EE"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200 € par jour calendaire de non-disponibilité du service</w:t>
            </w:r>
          </w:p>
        </w:tc>
      </w:tr>
      <w:tr w:rsidR="00FC647E" w:rsidRPr="00FC647E" w14:paraId="78585B25" w14:textId="77777777" w:rsidTr="00FC647E">
        <w:trPr>
          <w:trHeight w:val="58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A3666AF"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040E18BA"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maintenance et le support</w:t>
            </w:r>
          </w:p>
        </w:tc>
        <w:tc>
          <w:tcPr>
            <w:tcW w:w="2835" w:type="dxa"/>
            <w:tcBorders>
              <w:top w:val="nil"/>
              <w:left w:val="nil"/>
              <w:bottom w:val="single" w:sz="4" w:space="0" w:color="auto"/>
              <w:right w:val="single" w:sz="4" w:space="0" w:color="auto"/>
            </w:tcBorders>
            <w:shd w:val="clear" w:color="auto" w:fill="auto"/>
            <w:vAlign w:val="center"/>
            <w:hideMark/>
          </w:tcPr>
          <w:p w14:paraId="2BD7402F"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Temps de résolution des tickets (TTR)</w:t>
            </w:r>
          </w:p>
        </w:tc>
        <w:tc>
          <w:tcPr>
            <w:tcW w:w="2600" w:type="dxa"/>
            <w:tcBorders>
              <w:top w:val="nil"/>
              <w:left w:val="nil"/>
              <w:bottom w:val="single" w:sz="4" w:space="0" w:color="auto"/>
              <w:right w:val="single" w:sz="4" w:space="0" w:color="auto"/>
            </w:tcBorders>
            <w:shd w:val="clear" w:color="auto" w:fill="auto"/>
            <w:vAlign w:val="center"/>
            <w:hideMark/>
          </w:tcPr>
          <w:p w14:paraId="7BC60FC8"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200 € par ticket hors délai</w:t>
            </w:r>
          </w:p>
        </w:tc>
      </w:tr>
      <w:tr w:rsidR="00FC647E" w:rsidRPr="00FC647E" w14:paraId="4273D1A2" w14:textId="77777777" w:rsidTr="00FC647E">
        <w:trPr>
          <w:trHeight w:val="87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0ADA56E"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UO2</w:t>
            </w:r>
          </w:p>
        </w:tc>
        <w:tc>
          <w:tcPr>
            <w:tcW w:w="2628" w:type="dxa"/>
            <w:tcBorders>
              <w:top w:val="nil"/>
              <w:left w:val="nil"/>
              <w:bottom w:val="single" w:sz="4" w:space="0" w:color="auto"/>
              <w:right w:val="single" w:sz="4" w:space="0" w:color="auto"/>
            </w:tcBorders>
            <w:shd w:val="clear" w:color="auto" w:fill="auto"/>
            <w:vAlign w:val="center"/>
            <w:hideMark/>
          </w:tcPr>
          <w:p w14:paraId="50B06B11"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maintenance et le support</w:t>
            </w:r>
          </w:p>
        </w:tc>
        <w:tc>
          <w:tcPr>
            <w:tcW w:w="2835" w:type="dxa"/>
            <w:tcBorders>
              <w:top w:val="nil"/>
              <w:left w:val="nil"/>
              <w:bottom w:val="single" w:sz="4" w:space="0" w:color="auto"/>
              <w:right w:val="single" w:sz="4" w:space="0" w:color="auto"/>
            </w:tcBorders>
            <w:shd w:val="clear" w:color="auto" w:fill="auto"/>
            <w:vAlign w:val="center"/>
            <w:hideMark/>
          </w:tcPr>
          <w:p w14:paraId="1B0839A1"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Temps d'intervention du service support pour résoudre un incident</w:t>
            </w:r>
          </w:p>
        </w:tc>
        <w:tc>
          <w:tcPr>
            <w:tcW w:w="2600" w:type="dxa"/>
            <w:tcBorders>
              <w:top w:val="nil"/>
              <w:left w:val="nil"/>
              <w:bottom w:val="single" w:sz="4" w:space="0" w:color="auto"/>
              <w:right w:val="single" w:sz="4" w:space="0" w:color="auto"/>
            </w:tcBorders>
            <w:shd w:val="clear" w:color="auto" w:fill="auto"/>
            <w:vAlign w:val="center"/>
            <w:hideMark/>
          </w:tcPr>
          <w:p w14:paraId="25978FC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300 € par dépassement d'intervention</w:t>
            </w:r>
          </w:p>
        </w:tc>
      </w:tr>
      <w:tr w:rsidR="00FC647E" w:rsidRPr="00FC647E" w14:paraId="21E1D051" w14:textId="77777777" w:rsidTr="00FC647E">
        <w:trPr>
          <w:trHeight w:val="58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03E15DB"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lastRenderedPageBreak/>
              <w:t>UO2</w:t>
            </w:r>
          </w:p>
        </w:tc>
        <w:tc>
          <w:tcPr>
            <w:tcW w:w="2628" w:type="dxa"/>
            <w:tcBorders>
              <w:top w:val="nil"/>
              <w:left w:val="nil"/>
              <w:bottom w:val="single" w:sz="4" w:space="0" w:color="auto"/>
              <w:right w:val="single" w:sz="4" w:space="0" w:color="auto"/>
            </w:tcBorders>
            <w:shd w:val="clear" w:color="auto" w:fill="auto"/>
            <w:vAlign w:val="center"/>
            <w:hideMark/>
          </w:tcPr>
          <w:p w14:paraId="18D962E1"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maintenance et le support</w:t>
            </w:r>
          </w:p>
        </w:tc>
        <w:tc>
          <w:tcPr>
            <w:tcW w:w="2835" w:type="dxa"/>
            <w:tcBorders>
              <w:top w:val="nil"/>
              <w:left w:val="nil"/>
              <w:bottom w:val="single" w:sz="4" w:space="0" w:color="auto"/>
              <w:right w:val="single" w:sz="4" w:space="0" w:color="auto"/>
            </w:tcBorders>
            <w:shd w:val="clear" w:color="auto" w:fill="auto"/>
            <w:vAlign w:val="center"/>
            <w:hideMark/>
          </w:tcPr>
          <w:p w14:paraId="66B31000"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Temps de résolution de l'incident</w:t>
            </w:r>
          </w:p>
        </w:tc>
        <w:tc>
          <w:tcPr>
            <w:tcW w:w="2600" w:type="dxa"/>
            <w:tcBorders>
              <w:top w:val="nil"/>
              <w:left w:val="nil"/>
              <w:bottom w:val="single" w:sz="4" w:space="0" w:color="auto"/>
              <w:right w:val="single" w:sz="4" w:space="0" w:color="auto"/>
            </w:tcBorders>
            <w:shd w:val="clear" w:color="auto" w:fill="auto"/>
            <w:vAlign w:val="center"/>
            <w:hideMark/>
          </w:tcPr>
          <w:p w14:paraId="7E79CE07"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500 € par incident &gt; 12h</w:t>
            </w:r>
          </w:p>
        </w:tc>
      </w:tr>
      <w:tr w:rsidR="00FC647E" w:rsidRPr="00FC647E" w14:paraId="2F2DB037" w14:textId="77777777" w:rsidTr="00FC647E">
        <w:trPr>
          <w:trHeight w:val="203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F016AF2"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UO3</w:t>
            </w:r>
          </w:p>
        </w:tc>
        <w:tc>
          <w:tcPr>
            <w:tcW w:w="2628" w:type="dxa"/>
            <w:tcBorders>
              <w:top w:val="nil"/>
              <w:left w:val="nil"/>
              <w:bottom w:val="single" w:sz="4" w:space="0" w:color="auto"/>
              <w:right w:val="single" w:sz="4" w:space="0" w:color="auto"/>
            </w:tcBorders>
            <w:shd w:val="clear" w:color="auto" w:fill="auto"/>
            <w:vAlign w:val="center"/>
            <w:hideMark/>
          </w:tcPr>
          <w:p w14:paraId="2470B69C"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Assurer un accompagnement ponctuel des utilisateurs après la mise en production</w:t>
            </w:r>
          </w:p>
        </w:tc>
        <w:tc>
          <w:tcPr>
            <w:tcW w:w="2835" w:type="dxa"/>
            <w:tcBorders>
              <w:top w:val="nil"/>
              <w:left w:val="nil"/>
              <w:bottom w:val="single" w:sz="4" w:space="0" w:color="auto"/>
              <w:right w:val="single" w:sz="4" w:space="0" w:color="auto"/>
            </w:tcBorders>
            <w:shd w:val="clear" w:color="auto" w:fill="auto"/>
            <w:vAlign w:val="center"/>
            <w:hideMark/>
          </w:tcPr>
          <w:p w14:paraId="131A3958"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Assurer un accompagnement lors de la prise en main de nouveaux modules ou en cas de réorganisation interne impactant les processus RH</w:t>
            </w:r>
          </w:p>
        </w:tc>
        <w:tc>
          <w:tcPr>
            <w:tcW w:w="2600" w:type="dxa"/>
            <w:tcBorders>
              <w:top w:val="nil"/>
              <w:left w:val="nil"/>
              <w:bottom w:val="single" w:sz="4" w:space="0" w:color="auto"/>
              <w:right w:val="single" w:sz="4" w:space="0" w:color="auto"/>
            </w:tcBorders>
            <w:shd w:val="clear" w:color="auto" w:fill="auto"/>
            <w:vAlign w:val="center"/>
            <w:hideMark/>
          </w:tcPr>
          <w:p w14:paraId="7016A10F"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500 € par jour ouvré de retard à partir de la demande formelle restée sans réponse ou action dans un délai de 5 jours ouvrés.</w:t>
            </w:r>
          </w:p>
        </w:tc>
      </w:tr>
      <w:tr w:rsidR="00FC647E" w:rsidRPr="00FC647E" w14:paraId="5611B482"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6CDF9E3"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 xml:space="preserve">UO3 </w:t>
            </w:r>
          </w:p>
        </w:tc>
        <w:tc>
          <w:tcPr>
            <w:tcW w:w="2628" w:type="dxa"/>
            <w:tcBorders>
              <w:top w:val="nil"/>
              <w:left w:val="nil"/>
              <w:bottom w:val="single" w:sz="4" w:space="0" w:color="auto"/>
              <w:right w:val="single" w:sz="4" w:space="0" w:color="auto"/>
            </w:tcBorders>
            <w:shd w:val="clear" w:color="auto" w:fill="auto"/>
            <w:vAlign w:val="center"/>
            <w:hideMark/>
          </w:tcPr>
          <w:p w14:paraId="26F82D04"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disponibilité et la gestion des intervenants sur site</w:t>
            </w:r>
          </w:p>
        </w:tc>
        <w:tc>
          <w:tcPr>
            <w:tcW w:w="2835" w:type="dxa"/>
            <w:tcBorders>
              <w:top w:val="nil"/>
              <w:left w:val="nil"/>
              <w:bottom w:val="single" w:sz="4" w:space="0" w:color="auto"/>
              <w:right w:val="single" w:sz="4" w:space="0" w:color="auto"/>
            </w:tcBorders>
            <w:shd w:val="clear" w:color="auto" w:fill="auto"/>
            <w:vAlign w:val="center"/>
            <w:hideMark/>
          </w:tcPr>
          <w:p w14:paraId="19E3CB19"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Taux de disponibilité en réponse aux demandes de présence sur site</w:t>
            </w:r>
          </w:p>
        </w:tc>
        <w:tc>
          <w:tcPr>
            <w:tcW w:w="2600" w:type="dxa"/>
            <w:tcBorders>
              <w:top w:val="nil"/>
              <w:left w:val="nil"/>
              <w:bottom w:val="single" w:sz="4" w:space="0" w:color="auto"/>
              <w:right w:val="single" w:sz="4" w:space="0" w:color="auto"/>
            </w:tcBorders>
            <w:shd w:val="clear" w:color="auto" w:fill="auto"/>
            <w:vAlign w:val="center"/>
            <w:hideMark/>
          </w:tcPr>
          <w:p w14:paraId="52F32CFC"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250 € par jour de non-respect constaté en cas de refus ou d’indisponibilité injustifiée dans le mois.</w:t>
            </w:r>
          </w:p>
        </w:tc>
      </w:tr>
      <w:tr w:rsidR="00FC647E" w:rsidRPr="00FC647E" w14:paraId="3F582D09"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046CDD3"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UO3</w:t>
            </w:r>
          </w:p>
        </w:tc>
        <w:tc>
          <w:tcPr>
            <w:tcW w:w="2628" w:type="dxa"/>
            <w:tcBorders>
              <w:top w:val="nil"/>
              <w:left w:val="nil"/>
              <w:bottom w:val="single" w:sz="4" w:space="0" w:color="auto"/>
              <w:right w:val="single" w:sz="4" w:space="0" w:color="auto"/>
            </w:tcBorders>
            <w:shd w:val="clear" w:color="auto" w:fill="auto"/>
            <w:vAlign w:val="center"/>
            <w:hideMark/>
          </w:tcPr>
          <w:p w14:paraId="3752CF06"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Garantir la disponibilité et la gestion des intervenants sur site</w:t>
            </w:r>
          </w:p>
        </w:tc>
        <w:tc>
          <w:tcPr>
            <w:tcW w:w="2835" w:type="dxa"/>
            <w:tcBorders>
              <w:top w:val="nil"/>
              <w:left w:val="nil"/>
              <w:bottom w:val="single" w:sz="4" w:space="0" w:color="auto"/>
              <w:right w:val="single" w:sz="4" w:space="0" w:color="auto"/>
            </w:tcBorders>
            <w:shd w:val="clear" w:color="auto" w:fill="auto"/>
            <w:vAlign w:val="center"/>
            <w:hideMark/>
          </w:tcPr>
          <w:p w14:paraId="7EDCFBEF"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Délai de prévenance avant la présentation de l’intervenant sur site</w:t>
            </w:r>
          </w:p>
        </w:tc>
        <w:tc>
          <w:tcPr>
            <w:tcW w:w="2600" w:type="dxa"/>
            <w:tcBorders>
              <w:top w:val="nil"/>
              <w:left w:val="nil"/>
              <w:bottom w:val="single" w:sz="4" w:space="0" w:color="auto"/>
              <w:right w:val="single" w:sz="4" w:space="0" w:color="auto"/>
            </w:tcBorders>
            <w:shd w:val="clear" w:color="auto" w:fill="auto"/>
            <w:vAlign w:val="center"/>
            <w:hideMark/>
          </w:tcPr>
          <w:p w14:paraId="7EB9F77B"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300 € par non-respect du délai de prévenance (cas de présentation sans notification 72h à l’avance).</w:t>
            </w:r>
          </w:p>
        </w:tc>
      </w:tr>
      <w:tr w:rsidR="00FC647E" w:rsidRPr="00FC647E" w14:paraId="43722178"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4C475C8"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 xml:space="preserve">UO4 </w:t>
            </w:r>
          </w:p>
        </w:tc>
        <w:tc>
          <w:tcPr>
            <w:tcW w:w="2628" w:type="dxa"/>
            <w:tcBorders>
              <w:top w:val="nil"/>
              <w:left w:val="nil"/>
              <w:bottom w:val="single" w:sz="4" w:space="0" w:color="auto"/>
              <w:right w:val="single" w:sz="4" w:space="0" w:color="auto"/>
            </w:tcBorders>
            <w:shd w:val="clear" w:color="auto" w:fill="auto"/>
            <w:vAlign w:val="center"/>
            <w:hideMark/>
          </w:tcPr>
          <w:p w14:paraId="6FE74661"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Respecter les obligations de formations complémentaires</w:t>
            </w:r>
          </w:p>
        </w:tc>
        <w:tc>
          <w:tcPr>
            <w:tcW w:w="2835" w:type="dxa"/>
            <w:tcBorders>
              <w:top w:val="nil"/>
              <w:left w:val="nil"/>
              <w:bottom w:val="single" w:sz="4" w:space="0" w:color="auto"/>
              <w:right w:val="single" w:sz="4" w:space="0" w:color="auto"/>
            </w:tcBorders>
            <w:shd w:val="clear" w:color="auto" w:fill="auto"/>
            <w:vAlign w:val="center"/>
            <w:hideMark/>
          </w:tcPr>
          <w:p w14:paraId="1683F772"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Plan de formation des utilisateurs clés (RH, managers, agents) lors des ateliers</w:t>
            </w:r>
          </w:p>
        </w:tc>
        <w:tc>
          <w:tcPr>
            <w:tcW w:w="2600" w:type="dxa"/>
            <w:tcBorders>
              <w:top w:val="nil"/>
              <w:left w:val="nil"/>
              <w:bottom w:val="single" w:sz="4" w:space="0" w:color="auto"/>
              <w:right w:val="single" w:sz="4" w:space="0" w:color="auto"/>
            </w:tcBorders>
            <w:shd w:val="clear" w:color="auto" w:fill="auto"/>
            <w:vAlign w:val="center"/>
            <w:hideMark/>
          </w:tcPr>
          <w:p w14:paraId="5FB87BCC"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300 € par session manquante</w:t>
            </w:r>
          </w:p>
        </w:tc>
      </w:tr>
      <w:tr w:rsidR="00FC647E" w:rsidRPr="00FC647E" w14:paraId="38B418D5" w14:textId="77777777" w:rsidTr="00FC647E">
        <w:trPr>
          <w:trHeight w:val="58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C7AC2B4"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 xml:space="preserve">UO4 </w:t>
            </w:r>
          </w:p>
        </w:tc>
        <w:tc>
          <w:tcPr>
            <w:tcW w:w="2628" w:type="dxa"/>
            <w:tcBorders>
              <w:top w:val="nil"/>
              <w:left w:val="nil"/>
              <w:bottom w:val="single" w:sz="4" w:space="0" w:color="auto"/>
              <w:right w:val="single" w:sz="4" w:space="0" w:color="auto"/>
            </w:tcBorders>
            <w:shd w:val="clear" w:color="auto" w:fill="auto"/>
            <w:vAlign w:val="center"/>
            <w:hideMark/>
          </w:tcPr>
          <w:p w14:paraId="5C8C1927"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Respecter les obligations de formations complémentaires</w:t>
            </w:r>
          </w:p>
        </w:tc>
        <w:tc>
          <w:tcPr>
            <w:tcW w:w="2835" w:type="dxa"/>
            <w:tcBorders>
              <w:top w:val="nil"/>
              <w:left w:val="nil"/>
              <w:bottom w:val="single" w:sz="4" w:space="0" w:color="auto"/>
              <w:right w:val="single" w:sz="4" w:space="0" w:color="auto"/>
            </w:tcBorders>
            <w:shd w:val="clear" w:color="auto" w:fill="auto"/>
            <w:vAlign w:val="center"/>
            <w:hideMark/>
          </w:tcPr>
          <w:p w14:paraId="05ADDBFE"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Documentation fourni (guides, vidéos, FAQ)</w:t>
            </w:r>
          </w:p>
        </w:tc>
        <w:tc>
          <w:tcPr>
            <w:tcW w:w="2600" w:type="dxa"/>
            <w:tcBorders>
              <w:top w:val="nil"/>
              <w:left w:val="nil"/>
              <w:bottom w:val="single" w:sz="4" w:space="0" w:color="auto"/>
              <w:right w:val="single" w:sz="4" w:space="0" w:color="auto"/>
            </w:tcBorders>
            <w:shd w:val="clear" w:color="auto" w:fill="auto"/>
            <w:vAlign w:val="center"/>
            <w:hideMark/>
          </w:tcPr>
          <w:p w14:paraId="79DD452F"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eastAsia="fr-BE"/>
              </w:rPr>
              <w:t>300 € par documentation manquante</w:t>
            </w:r>
          </w:p>
        </w:tc>
      </w:tr>
      <w:tr w:rsidR="00FC647E" w:rsidRPr="00FC647E" w14:paraId="6463F847" w14:textId="77777777" w:rsidTr="00FC647E">
        <w:trPr>
          <w:trHeight w:val="174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029677C"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UO5</w:t>
            </w:r>
          </w:p>
        </w:tc>
        <w:tc>
          <w:tcPr>
            <w:tcW w:w="2628" w:type="dxa"/>
            <w:tcBorders>
              <w:top w:val="nil"/>
              <w:left w:val="nil"/>
              <w:bottom w:val="single" w:sz="4" w:space="0" w:color="auto"/>
              <w:right w:val="single" w:sz="4" w:space="0" w:color="auto"/>
            </w:tcBorders>
            <w:shd w:val="clear" w:color="auto" w:fill="auto"/>
            <w:noWrap/>
            <w:vAlign w:val="center"/>
            <w:hideMark/>
          </w:tcPr>
          <w:p w14:paraId="7F740484"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Garantir la réversibilité </w:t>
            </w:r>
          </w:p>
        </w:tc>
        <w:tc>
          <w:tcPr>
            <w:tcW w:w="2835" w:type="dxa"/>
            <w:tcBorders>
              <w:top w:val="nil"/>
              <w:left w:val="nil"/>
              <w:bottom w:val="single" w:sz="4" w:space="0" w:color="auto"/>
              <w:right w:val="single" w:sz="4" w:space="0" w:color="auto"/>
            </w:tcBorders>
            <w:shd w:val="clear" w:color="auto" w:fill="auto"/>
            <w:vAlign w:val="center"/>
            <w:hideMark/>
          </w:tcPr>
          <w:p w14:paraId="20DE418D"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Assure la restitution complète des données et l'accompagnement au changement de solution en fin de contrat.</w:t>
            </w:r>
          </w:p>
        </w:tc>
        <w:tc>
          <w:tcPr>
            <w:tcW w:w="2600" w:type="dxa"/>
            <w:tcBorders>
              <w:top w:val="nil"/>
              <w:left w:val="nil"/>
              <w:bottom w:val="single" w:sz="4" w:space="0" w:color="auto"/>
              <w:right w:val="single" w:sz="4" w:space="0" w:color="auto"/>
            </w:tcBorders>
            <w:shd w:val="clear" w:color="auto" w:fill="auto"/>
            <w:vAlign w:val="center"/>
            <w:hideMark/>
          </w:tcPr>
          <w:p w14:paraId="098592F8"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2 000 € par semaine de retard à compter de la date de fin de contrat ou de demande de transfert de la part de l’acheteur.</w:t>
            </w:r>
          </w:p>
        </w:tc>
      </w:tr>
      <w:tr w:rsidR="00FC647E" w:rsidRPr="00FC647E" w14:paraId="3438D775" w14:textId="77777777" w:rsidTr="00FC647E">
        <w:trPr>
          <w:trHeight w:val="116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A38A0DE" w14:textId="77777777" w:rsidR="00FC647E" w:rsidRPr="00FC647E" w:rsidRDefault="00FC647E" w:rsidP="00FC647E">
            <w:pPr>
              <w:spacing w:after="0" w:line="240" w:lineRule="auto"/>
              <w:jc w:val="center"/>
              <w:rPr>
                <w:rFonts w:eastAsia="Times New Roman" w:cs="Arial"/>
                <w:color w:val="000000"/>
                <w:szCs w:val="20"/>
                <w:lang w:val="fr-BE" w:eastAsia="fr-BE"/>
              </w:rPr>
            </w:pPr>
            <w:r w:rsidRPr="00FC647E">
              <w:rPr>
                <w:rFonts w:eastAsia="Times New Roman" w:cs="Arial"/>
                <w:color w:val="000000"/>
                <w:szCs w:val="20"/>
                <w:lang w:val="fr-BE" w:eastAsia="fr-BE"/>
              </w:rPr>
              <w:t>UO5</w:t>
            </w:r>
          </w:p>
        </w:tc>
        <w:tc>
          <w:tcPr>
            <w:tcW w:w="2628" w:type="dxa"/>
            <w:tcBorders>
              <w:top w:val="nil"/>
              <w:left w:val="nil"/>
              <w:bottom w:val="single" w:sz="4" w:space="0" w:color="auto"/>
              <w:right w:val="single" w:sz="4" w:space="0" w:color="auto"/>
            </w:tcBorders>
            <w:shd w:val="clear" w:color="auto" w:fill="auto"/>
            <w:noWrap/>
            <w:vAlign w:val="center"/>
            <w:hideMark/>
          </w:tcPr>
          <w:p w14:paraId="19806621" w14:textId="77777777" w:rsidR="00FC647E" w:rsidRPr="00FC647E" w:rsidRDefault="00FC647E" w:rsidP="00FC647E">
            <w:pPr>
              <w:spacing w:after="0" w:line="240" w:lineRule="auto"/>
              <w:rPr>
                <w:rFonts w:eastAsia="Times New Roman" w:cs="Arial"/>
                <w:b/>
                <w:bCs/>
                <w:color w:val="000000"/>
                <w:szCs w:val="20"/>
                <w:lang w:val="fr-BE" w:eastAsia="fr-BE"/>
              </w:rPr>
            </w:pPr>
            <w:r w:rsidRPr="00FC647E">
              <w:rPr>
                <w:rFonts w:eastAsia="Times New Roman" w:cs="Arial"/>
                <w:b/>
                <w:bCs/>
                <w:color w:val="000000"/>
                <w:szCs w:val="20"/>
                <w:lang w:val="fr-BE" w:eastAsia="fr-BE"/>
              </w:rPr>
              <w:t xml:space="preserve">Garantir la réversibilité </w:t>
            </w:r>
          </w:p>
        </w:tc>
        <w:tc>
          <w:tcPr>
            <w:tcW w:w="2835" w:type="dxa"/>
            <w:tcBorders>
              <w:top w:val="nil"/>
              <w:left w:val="nil"/>
              <w:bottom w:val="single" w:sz="4" w:space="0" w:color="auto"/>
              <w:right w:val="single" w:sz="4" w:space="0" w:color="auto"/>
            </w:tcBorders>
            <w:shd w:val="clear" w:color="auto" w:fill="auto"/>
            <w:vAlign w:val="center"/>
            <w:hideMark/>
          </w:tcPr>
          <w:p w14:paraId="6DDAAEAB"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Respect des délais promis</w:t>
            </w:r>
          </w:p>
        </w:tc>
        <w:tc>
          <w:tcPr>
            <w:tcW w:w="2600" w:type="dxa"/>
            <w:tcBorders>
              <w:top w:val="nil"/>
              <w:left w:val="nil"/>
              <w:bottom w:val="single" w:sz="4" w:space="0" w:color="auto"/>
              <w:right w:val="single" w:sz="4" w:space="0" w:color="auto"/>
            </w:tcBorders>
            <w:shd w:val="clear" w:color="auto" w:fill="auto"/>
            <w:vAlign w:val="center"/>
            <w:hideMark/>
          </w:tcPr>
          <w:p w14:paraId="796BB62D" w14:textId="77777777" w:rsidR="00FC647E" w:rsidRPr="00FC647E" w:rsidRDefault="00FC647E" w:rsidP="00FC647E">
            <w:pPr>
              <w:spacing w:after="0" w:line="240" w:lineRule="auto"/>
              <w:rPr>
                <w:rFonts w:eastAsia="Times New Roman" w:cs="Arial"/>
                <w:color w:val="000000"/>
                <w:szCs w:val="20"/>
                <w:lang w:val="fr-BE" w:eastAsia="fr-BE"/>
              </w:rPr>
            </w:pPr>
            <w:r w:rsidRPr="00FC647E">
              <w:rPr>
                <w:rFonts w:eastAsia="Times New Roman" w:cs="Arial"/>
                <w:color w:val="000000"/>
                <w:szCs w:val="20"/>
                <w:lang w:val="fr-BE" w:eastAsia="fr-BE"/>
              </w:rPr>
              <w:t>500 € par jour calendaire de dépassement du planning établi dans le plan de réversibilité.</w:t>
            </w:r>
          </w:p>
        </w:tc>
      </w:tr>
    </w:tbl>
    <w:p w14:paraId="55B94F2C" w14:textId="77777777" w:rsidR="00E14BE0" w:rsidRDefault="00E14BE0" w:rsidP="00397B13">
      <w:pPr>
        <w:jc w:val="both"/>
      </w:pPr>
    </w:p>
    <w:p w14:paraId="78E6E265" w14:textId="77777777" w:rsidR="00F92CF0" w:rsidRDefault="00F92CF0" w:rsidP="00397B13">
      <w:pPr>
        <w:jc w:val="both"/>
      </w:pPr>
    </w:p>
    <w:p w14:paraId="20391EAA" w14:textId="540E4C63" w:rsidR="00F92CF0" w:rsidRDefault="00F92CF0" w:rsidP="00397B13">
      <w:pPr>
        <w:jc w:val="both"/>
      </w:pPr>
      <w:r>
        <w:t>Les autres manquements non mentionnés dans ce tableau sont également sanctionnés qu’ils proviennent :</w:t>
      </w:r>
    </w:p>
    <w:p w14:paraId="514AB25A" w14:textId="6B6DBB5F" w:rsidR="00F92CF0" w:rsidRDefault="00F92CF0" w:rsidP="00F92CF0">
      <w:pPr>
        <w:pStyle w:val="Paragraphedeliste"/>
      </w:pPr>
      <w:r>
        <w:t>De manquements au CCTP</w:t>
      </w:r>
    </w:p>
    <w:p w14:paraId="5CF2E244" w14:textId="68B75BCC" w:rsidR="00F92CF0" w:rsidRDefault="00F92CF0" w:rsidP="00F92CF0">
      <w:pPr>
        <w:pStyle w:val="Paragraphedeliste"/>
      </w:pPr>
      <w:r>
        <w:t>De manquement aux annexes à l’acte d’engagement.</w:t>
      </w:r>
    </w:p>
    <w:p w14:paraId="6A8AE514" w14:textId="77777777" w:rsidR="00F92CF0" w:rsidRDefault="00F92CF0" w:rsidP="00F92CF0"/>
    <w:p w14:paraId="39010B8F" w14:textId="3F23C51D" w:rsidR="00F92CF0" w:rsidRDefault="00F92CF0" w:rsidP="00F92CF0">
      <w:r>
        <w:t>A hauteur de :</w:t>
      </w:r>
    </w:p>
    <w:tbl>
      <w:tblPr>
        <w:tblStyle w:val="Grilledutableau"/>
        <w:tblW w:w="0" w:type="auto"/>
        <w:tblLook w:val="04A0" w:firstRow="1" w:lastRow="0" w:firstColumn="1" w:lastColumn="0" w:noHBand="0" w:noVBand="1"/>
      </w:tblPr>
      <w:tblGrid>
        <w:gridCol w:w="2642"/>
        <w:gridCol w:w="2642"/>
        <w:gridCol w:w="2643"/>
      </w:tblGrid>
      <w:tr w:rsidR="00F92CF0" w14:paraId="7F5C36E2" w14:textId="77777777" w:rsidTr="00F92CF0">
        <w:tc>
          <w:tcPr>
            <w:tcW w:w="2642" w:type="dxa"/>
          </w:tcPr>
          <w:p w14:paraId="5C83EF37" w14:textId="3BB87BB3" w:rsidR="00F92CF0" w:rsidRDefault="00F92CF0" w:rsidP="00F92CF0">
            <w:r>
              <w:lastRenderedPageBreak/>
              <w:t>Type de manquement</w:t>
            </w:r>
          </w:p>
        </w:tc>
        <w:tc>
          <w:tcPr>
            <w:tcW w:w="2642" w:type="dxa"/>
          </w:tcPr>
          <w:p w14:paraId="4C7CF502" w14:textId="64C4827D" w:rsidR="00F92CF0" w:rsidRDefault="00F92CF0" w:rsidP="00F92CF0">
            <w:r>
              <w:t xml:space="preserve">Avec impact sur le niveau de service </w:t>
            </w:r>
            <w:r w:rsidR="004A78D6">
              <w:t>perçu</w:t>
            </w:r>
            <w:r>
              <w:t xml:space="preserve"> par le GPM-Guyane</w:t>
            </w:r>
          </w:p>
        </w:tc>
        <w:tc>
          <w:tcPr>
            <w:tcW w:w="2643" w:type="dxa"/>
          </w:tcPr>
          <w:p w14:paraId="70D03A5F" w14:textId="59BA5056" w:rsidR="00F92CF0" w:rsidRDefault="00F92CF0" w:rsidP="00F92CF0">
            <w:r>
              <w:t xml:space="preserve">Sans impact sur le niveau de service </w:t>
            </w:r>
            <w:r w:rsidR="004A78D6">
              <w:t>perçu</w:t>
            </w:r>
            <w:r>
              <w:t xml:space="preserve"> par le GPM-Guyane</w:t>
            </w:r>
          </w:p>
        </w:tc>
      </w:tr>
      <w:tr w:rsidR="00F92CF0" w14:paraId="4E8365DA" w14:textId="77777777" w:rsidTr="00F92CF0">
        <w:tc>
          <w:tcPr>
            <w:tcW w:w="2642" w:type="dxa"/>
          </w:tcPr>
          <w:p w14:paraId="0FB27D5B" w14:textId="01CB35B2" w:rsidR="00F92CF0" w:rsidRDefault="00F92CF0" w:rsidP="00F92CF0">
            <w:r>
              <w:t>Continu</w:t>
            </w:r>
          </w:p>
        </w:tc>
        <w:tc>
          <w:tcPr>
            <w:tcW w:w="2642" w:type="dxa"/>
          </w:tcPr>
          <w:p w14:paraId="4D7FCC46" w14:textId="2C587F4D" w:rsidR="00F92CF0" w:rsidRDefault="00F92CF0" w:rsidP="00F92CF0">
            <w:r>
              <w:t>400 Euros par mois</w:t>
            </w:r>
          </w:p>
        </w:tc>
        <w:tc>
          <w:tcPr>
            <w:tcW w:w="2643" w:type="dxa"/>
          </w:tcPr>
          <w:p w14:paraId="3ACC6675" w14:textId="2670EAE5" w:rsidR="00F92CF0" w:rsidRDefault="00F92CF0" w:rsidP="00F92CF0">
            <w:r>
              <w:t>100 euros par mois</w:t>
            </w:r>
          </w:p>
        </w:tc>
      </w:tr>
      <w:tr w:rsidR="00F92CF0" w14:paraId="72E0A6E1" w14:textId="77777777" w:rsidTr="00F92CF0">
        <w:tc>
          <w:tcPr>
            <w:tcW w:w="2642" w:type="dxa"/>
          </w:tcPr>
          <w:p w14:paraId="21E743C0" w14:textId="1CA96A70" w:rsidR="00F92CF0" w:rsidRDefault="00F92CF0" w:rsidP="00F92CF0">
            <w:r>
              <w:t>Ponctuel</w:t>
            </w:r>
          </w:p>
        </w:tc>
        <w:tc>
          <w:tcPr>
            <w:tcW w:w="2642" w:type="dxa"/>
          </w:tcPr>
          <w:p w14:paraId="401ED146" w14:textId="1849BEB1" w:rsidR="00F92CF0" w:rsidRDefault="00F92CF0" w:rsidP="00F92CF0">
            <w:r>
              <w:t>100 euros par occurrence</w:t>
            </w:r>
          </w:p>
        </w:tc>
        <w:tc>
          <w:tcPr>
            <w:tcW w:w="2643" w:type="dxa"/>
          </w:tcPr>
          <w:p w14:paraId="794F50EE" w14:textId="6E47A7CD" w:rsidR="00F92CF0" w:rsidRDefault="00F92CF0" w:rsidP="00F92CF0">
            <w:r>
              <w:t>50 euros par occurrence</w:t>
            </w:r>
          </w:p>
        </w:tc>
      </w:tr>
    </w:tbl>
    <w:p w14:paraId="760D775E" w14:textId="77777777" w:rsidR="00F92CF0" w:rsidRDefault="00F92CF0" w:rsidP="00F92CF0"/>
    <w:p w14:paraId="1BEC93DF" w14:textId="5B5F5CCA" w:rsidR="00E14BE0" w:rsidRDefault="00F92CF0" w:rsidP="00394727">
      <w:pPr>
        <w:pStyle w:val="Titre1"/>
        <w:rPr>
          <w:lang w:val="fr-BE"/>
        </w:rPr>
      </w:pPr>
      <w:bookmarkStart w:id="46" w:name="_Toc198718166"/>
      <w:r w:rsidRPr="007D52FC">
        <w:rPr>
          <w:lang w:val="fr-BE"/>
        </w:rPr>
        <w:t>NON-SUBSTITUTION DU PERSONNEL</w:t>
      </w:r>
      <w:bookmarkEnd w:id="46"/>
    </w:p>
    <w:p w14:paraId="34B209EA" w14:textId="77777777" w:rsidR="000B420A" w:rsidRDefault="000B420A" w:rsidP="000B420A">
      <w:pPr>
        <w:ind w:left="-1134"/>
        <w:jc w:val="both"/>
      </w:pPr>
      <w:r w:rsidRPr="000B420A">
        <w:t xml:space="preserve">Le </w:t>
      </w:r>
      <w:r>
        <w:t>candidat</w:t>
      </w:r>
      <w:r w:rsidRPr="000B420A">
        <w:t xml:space="preserve"> s'engage à maintenir, pendant toute la durée du marché, les intervenants désignés dans son offre et ayant participé à la phase de démarrage du projet. Toute demande de remplacement d’un membre de l’équipe affectée au marché devra faire l’objet d’une information préalable et motivée auprès du pouvoir adjudicateur. Ce remplacement ne pourra intervenir qu’avec l’accord exprès de ce dernier, après présentation d’un profil de compétences équivalentes ou supérieures.</w:t>
      </w:r>
    </w:p>
    <w:p w14:paraId="3BCEC93E" w14:textId="77777777" w:rsidR="000B420A" w:rsidRDefault="000B420A" w:rsidP="000B420A">
      <w:pPr>
        <w:ind w:left="-1134"/>
        <w:jc w:val="both"/>
      </w:pPr>
      <w:r w:rsidRPr="000B420A">
        <w:t xml:space="preserve">Le </w:t>
      </w:r>
      <w:r>
        <w:t>candidat</w:t>
      </w:r>
      <w:r w:rsidRPr="000B420A">
        <w:t xml:space="preserve"> devra assurer une transmission complète des informations et garantir la continuité de service sans surcoût pour l’acheteur. </w:t>
      </w:r>
    </w:p>
    <w:p w14:paraId="182A27BD" w14:textId="5E1A8E37" w:rsidR="00E14BE0" w:rsidRDefault="000B420A" w:rsidP="000B420A">
      <w:pPr>
        <w:ind w:left="-1134"/>
        <w:jc w:val="both"/>
      </w:pPr>
      <w:r w:rsidRPr="000B420A">
        <w:t>En cas de non-respect de cette clause, des pénalités pourront être appliquées, notamment si le remplacement affecte le bon déroulement de la mission.</w:t>
      </w:r>
    </w:p>
    <w:p w14:paraId="6BE0FFFD" w14:textId="59844EAE" w:rsidR="003C26A1" w:rsidRPr="002B59C6" w:rsidRDefault="00F92CF0" w:rsidP="00394727">
      <w:pPr>
        <w:pStyle w:val="Titre1"/>
        <w:rPr>
          <w:rFonts w:eastAsiaTheme="minorHAnsi"/>
          <w:lang w:val="fr-BE"/>
        </w:rPr>
      </w:pPr>
      <w:bookmarkStart w:id="47" w:name="_Toc198718167"/>
      <w:r>
        <w:rPr>
          <w:lang w:val="fr-BE"/>
        </w:rPr>
        <w:t>S</w:t>
      </w:r>
      <w:r w:rsidRPr="003C26A1">
        <w:rPr>
          <w:rFonts w:eastAsiaTheme="minorHAnsi"/>
          <w:lang w:val="fr-BE"/>
        </w:rPr>
        <w:t>OUS-TRAITANCE</w:t>
      </w:r>
      <w:bookmarkEnd w:id="47"/>
    </w:p>
    <w:p w14:paraId="24E27BB7" w14:textId="77777777" w:rsidR="005929C1" w:rsidRPr="005929C1" w:rsidRDefault="005929C1" w:rsidP="005929C1">
      <w:pPr>
        <w:spacing w:before="100" w:beforeAutospacing="1" w:after="100" w:afterAutospacing="1" w:line="240" w:lineRule="auto"/>
        <w:ind w:left="-1134"/>
        <w:jc w:val="both"/>
      </w:pPr>
      <w:r w:rsidRPr="005929C1">
        <w:t>Le titulaire peut faire appel à la sous-traitance, sous réserve de l'acceptation préalable du pouvoir adjudicateur et de l’agrément des conditions de paiement, conformément aux articles L.2193-1 et suivants du Code de la commande publique.</w:t>
      </w:r>
    </w:p>
    <w:p w14:paraId="1FB0E4D6" w14:textId="77777777" w:rsidR="005929C1" w:rsidRPr="005929C1" w:rsidRDefault="005929C1" w:rsidP="005929C1">
      <w:pPr>
        <w:spacing w:before="100" w:beforeAutospacing="1" w:after="100" w:afterAutospacing="1" w:line="240" w:lineRule="auto"/>
        <w:ind w:left="-1134"/>
        <w:jc w:val="both"/>
      </w:pPr>
      <w:r w:rsidRPr="005929C1">
        <w:t>Le titulaire demeure seul responsable, vis-à-vis du pouvoir adjudicateur, de la bonne exécution de l’ensemble des prestations, y compris celles confiées à un ou plusieurs sous-traitants.</w:t>
      </w:r>
    </w:p>
    <w:p w14:paraId="6047B8E9" w14:textId="6D29925A" w:rsidR="005929C1" w:rsidRPr="005929C1" w:rsidRDefault="005929C1" w:rsidP="005929C1">
      <w:pPr>
        <w:spacing w:before="100" w:beforeAutospacing="1" w:after="100" w:afterAutospacing="1" w:line="240" w:lineRule="auto"/>
        <w:ind w:left="-1134"/>
        <w:jc w:val="both"/>
      </w:pPr>
      <w:r w:rsidRPr="005929C1">
        <w:t xml:space="preserve">Il est rappelé que les stipulations de l’article 12 du CCAG-PI s’appliquent pleinement à la présente </w:t>
      </w:r>
      <w:r w:rsidR="00F92CF0" w:rsidRPr="005929C1">
        <w:t>CLAUSE.</w:t>
      </w:r>
    </w:p>
    <w:p w14:paraId="653F4B14" w14:textId="752EDD0B" w:rsidR="00422C5A" w:rsidRPr="002B59C6" w:rsidRDefault="00F92CF0" w:rsidP="00394727">
      <w:pPr>
        <w:pStyle w:val="Titre1"/>
        <w:rPr>
          <w:lang w:val="fr-BE"/>
        </w:rPr>
      </w:pPr>
      <w:bookmarkStart w:id="48" w:name="_Toc198718168"/>
      <w:r w:rsidRPr="006440B8">
        <w:t>CONFIDENTIALITE, PROTECTION DES DONNEES</w:t>
      </w:r>
      <w:r>
        <w:t xml:space="preserve"> </w:t>
      </w:r>
      <w:r w:rsidRPr="006440B8">
        <w:t>PERSONNELLES, MESURES DE SECURITE</w:t>
      </w:r>
      <w:bookmarkEnd w:id="48"/>
    </w:p>
    <w:p w14:paraId="7DFC5052" w14:textId="77777777" w:rsidR="006440B8" w:rsidRDefault="006440B8" w:rsidP="006440B8">
      <w:pPr>
        <w:ind w:left="-1134"/>
        <w:jc w:val="both"/>
      </w:pPr>
      <w:r w:rsidRPr="006440B8">
        <w:t>Le titulaire s'engage à respecter les dispositions du Règlement Général sur la Protection des Données (RGPD) et à garantir la confidentialité de toutes les données à caractère personnel traitées dans le cadre de l’exécution du marché.</w:t>
      </w:r>
    </w:p>
    <w:p w14:paraId="62F56A2A" w14:textId="77777777" w:rsidR="006440B8" w:rsidRDefault="006440B8" w:rsidP="006440B8">
      <w:pPr>
        <w:ind w:left="-1134"/>
        <w:jc w:val="both"/>
      </w:pPr>
      <w:r w:rsidRPr="006440B8">
        <w:t>Il devra fournir une description claire des mesures techniques et organisationnelles mises en œuvre pour assurer la sécurité des données (accès, stockage, transmission).</w:t>
      </w:r>
    </w:p>
    <w:p w14:paraId="1BE92263" w14:textId="45438467" w:rsidR="006440B8" w:rsidRDefault="006440B8" w:rsidP="006440B8">
      <w:pPr>
        <w:ind w:left="-1134"/>
        <w:jc w:val="both"/>
      </w:pPr>
      <w:r w:rsidRPr="006440B8">
        <w:t>Si la solution est hébergée en mode SaaS, les informations sur les certifications ou standards de sécurité (ISO 27001, hébergement en UE, etc.) devront être communiquées.</w:t>
      </w:r>
      <w:r>
        <w:t xml:space="preserve"> </w:t>
      </w:r>
      <w:r w:rsidRPr="006440B8">
        <w:t>Aucune donnée ne pourra être transférée en dehors de l’Union européenne sans accord exprès du pouvoir adjudicateur.</w:t>
      </w:r>
    </w:p>
    <w:p w14:paraId="594A3F11" w14:textId="3BCD94EC" w:rsidR="006440B8" w:rsidRPr="002B59C6" w:rsidRDefault="00F92CF0" w:rsidP="00394727">
      <w:pPr>
        <w:pStyle w:val="Titre1"/>
        <w:rPr>
          <w:rFonts w:eastAsiaTheme="minorHAnsi"/>
          <w:lang w:val="fr-BE"/>
        </w:rPr>
      </w:pPr>
      <w:bookmarkStart w:id="49" w:name="_Toc198718169"/>
      <w:r w:rsidRPr="006440B8">
        <w:rPr>
          <w:rFonts w:eastAsiaTheme="minorHAnsi"/>
          <w:lang w:val="fr-BE"/>
        </w:rPr>
        <w:lastRenderedPageBreak/>
        <w:t>DÉLAIS D’EXÉCUTION</w:t>
      </w:r>
      <w:bookmarkEnd w:id="49"/>
    </w:p>
    <w:p w14:paraId="4007D35E" w14:textId="77777777" w:rsidR="006440B8" w:rsidRDefault="006440B8" w:rsidP="006440B8">
      <w:pPr>
        <w:ind w:left="-1134"/>
        <w:jc w:val="both"/>
        <w:rPr>
          <w:lang w:val="fr-BE"/>
        </w:rPr>
      </w:pPr>
      <w:r w:rsidRPr="006440B8">
        <w:rPr>
          <w:lang w:val="fr-BE"/>
        </w:rPr>
        <w:t>Un planning prévisionnel des prestations sera proposé par le titulaire à l’issue de la réunion de lancement. Ce planning précisera les jalons principaux de la mise en œuvre, de l’accompagnement et de la recette.</w:t>
      </w:r>
      <w:r>
        <w:rPr>
          <w:lang w:val="fr-BE"/>
        </w:rPr>
        <w:t xml:space="preserve"> </w:t>
      </w:r>
    </w:p>
    <w:p w14:paraId="03E5952B" w14:textId="27B02FD2" w:rsidR="00141473" w:rsidRPr="006440B8" w:rsidRDefault="006440B8" w:rsidP="002B59C6">
      <w:pPr>
        <w:ind w:left="-1134"/>
        <w:jc w:val="both"/>
        <w:rPr>
          <w:lang w:val="fr-BE"/>
        </w:rPr>
      </w:pPr>
      <w:r w:rsidRPr="006440B8">
        <w:rPr>
          <w:lang w:val="fr-BE"/>
        </w:rPr>
        <w:t>Il devra être validé par le pouvoir adjudicateur avant le démarrage des prestations.</w:t>
      </w:r>
      <w:r w:rsidRPr="006440B8">
        <w:rPr>
          <w:lang w:val="fr-BE"/>
        </w:rPr>
        <w:br/>
        <w:t>Le titulaire s’engage à respecter les délais ainsi validés. En cas de modification nécessaire, une demande écrite devra être adressée au pouvoir adjudicateur.</w:t>
      </w:r>
    </w:p>
    <w:p w14:paraId="01DCFDB9" w14:textId="21CE2FF4" w:rsidR="00141473" w:rsidRPr="002B59C6" w:rsidRDefault="00F92CF0" w:rsidP="00394727">
      <w:pPr>
        <w:pStyle w:val="Titre1"/>
        <w:rPr>
          <w:lang w:val="fr-BE"/>
        </w:rPr>
      </w:pPr>
      <w:bookmarkStart w:id="50" w:name="_Toc198718170"/>
      <w:r w:rsidRPr="00141473">
        <w:rPr>
          <w:lang w:val="fr-BE"/>
        </w:rPr>
        <w:t>DESTRUCTION DES DONNÉES</w:t>
      </w:r>
      <w:bookmarkEnd w:id="50"/>
    </w:p>
    <w:p w14:paraId="44BC31F5" w14:textId="77777777" w:rsidR="00141473" w:rsidRPr="00141473" w:rsidRDefault="00141473" w:rsidP="00141473">
      <w:pPr>
        <w:ind w:left="-993"/>
        <w:jc w:val="both"/>
        <w:rPr>
          <w:lang w:val="fr-BE"/>
        </w:rPr>
      </w:pPr>
      <w:r w:rsidRPr="00141473">
        <w:rPr>
          <w:lang w:val="fr-BE"/>
        </w:rPr>
        <w:t>À la fin du marché ou en cas de résiliation anticipée, le titulaire s’engage à :</w:t>
      </w:r>
    </w:p>
    <w:p w14:paraId="02D563FE" w14:textId="78569436" w:rsidR="00141473" w:rsidRPr="00141473" w:rsidRDefault="00141473" w:rsidP="007546BF">
      <w:pPr>
        <w:numPr>
          <w:ilvl w:val="0"/>
          <w:numId w:val="15"/>
        </w:numPr>
        <w:ind w:left="-567" w:hanging="284"/>
        <w:jc w:val="both"/>
        <w:rPr>
          <w:lang w:val="fr-BE"/>
        </w:rPr>
      </w:pPr>
      <w:r w:rsidRPr="00141473">
        <w:rPr>
          <w:lang w:val="fr-BE"/>
        </w:rPr>
        <w:t>Restituer au pouvoir adjudicateur l’ensemble des données sous un format exploitable (XML, CSV ou équivalent),</w:t>
      </w:r>
    </w:p>
    <w:p w14:paraId="4F69AE89" w14:textId="63BAB8D9" w:rsidR="00141473" w:rsidRPr="00141473" w:rsidRDefault="00141473" w:rsidP="007546BF">
      <w:pPr>
        <w:numPr>
          <w:ilvl w:val="0"/>
          <w:numId w:val="15"/>
        </w:numPr>
        <w:ind w:left="-567" w:hanging="284"/>
        <w:jc w:val="both"/>
        <w:rPr>
          <w:lang w:val="fr-BE"/>
        </w:rPr>
      </w:pPr>
      <w:r w:rsidRPr="00141473">
        <w:rPr>
          <w:lang w:val="fr-BE"/>
        </w:rPr>
        <w:t>Supprimer de manière sécurisée toutes les données traitées ou hébergées dans ses environnements,</w:t>
      </w:r>
    </w:p>
    <w:p w14:paraId="24599E82" w14:textId="2974EEB7" w:rsidR="00141473" w:rsidRPr="00141473" w:rsidRDefault="00141473" w:rsidP="007546BF">
      <w:pPr>
        <w:numPr>
          <w:ilvl w:val="0"/>
          <w:numId w:val="15"/>
        </w:numPr>
        <w:ind w:left="-567" w:hanging="284"/>
        <w:jc w:val="both"/>
        <w:rPr>
          <w:lang w:val="fr-BE"/>
        </w:rPr>
      </w:pPr>
      <w:r w:rsidRPr="00141473">
        <w:rPr>
          <w:lang w:val="fr-BE"/>
        </w:rPr>
        <w:t>Fournir un certificat de destruction.</w:t>
      </w:r>
    </w:p>
    <w:p w14:paraId="1D229873" w14:textId="77777777" w:rsidR="00141473" w:rsidRPr="00141473" w:rsidRDefault="00141473" w:rsidP="00141473">
      <w:pPr>
        <w:ind w:left="-993"/>
        <w:jc w:val="both"/>
        <w:rPr>
          <w:lang w:val="fr-BE"/>
        </w:rPr>
      </w:pPr>
      <w:r w:rsidRPr="00141473">
        <w:rPr>
          <w:lang w:val="fr-BE"/>
        </w:rPr>
        <w:t>Un délai maximum de 30 jours à compter de la fin du marché est accordé pour ces opérations.</w:t>
      </w:r>
    </w:p>
    <w:p w14:paraId="5389A2F6" w14:textId="7219B954" w:rsidR="00141473" w:rsidRPr="002B59C6" w:rsidRDefault="00F92CF0" w:rsidP="00394727">
      <w:pPr>
        <w:pStyle w:val="Titre1"/>
        <w:rPr>
          <w:lang w:val="fr-BE"/>
        </w:rPr>
      </w:pPr>
      <w:bookmarkStart w:id="51" w:name="_Toc198718171"/>
      <w:r w:rsidRPr="00141473">
        <w:rPr>
          <w:lang w:val="fr-BE"/>
        </w:rPr>
        <w:t>REMISE DES PRESTATIONS ET DES MOYENS MATÉRIELS</w:t>
      </w:r>
      <w:bookmarkEnd w:id="51"/>
    </w:p>
    <w:p w14:paraId="756B48A4" w14:textId="45AE874E" w:rsidR="00141473" w:rsidRPr="00141473" w:rsidRDefault="00141473" w:rsidP="00141473">
      <w:pPr>
        <w:ind w:left="-993"/>
        <w:rPr>
          <w:lang w:val="fr-BE"/>
        </w:rPr>
      </w:pPr>
      <w:r w:rsidRPr="00141473">
        <w:rPr>
          <w:lang w:val="fr-BE"/>
        </w:rPr>
        <w:t>À l’issue du marché, le titulaire remettra :</w:t>
      </w:r>
    </w:p>
    <w:p w14:paraId="2FCEA348" w14:textId="702C0216" w:rsidR="00141473" w:rsidRPr="00141473" w:rsidRDefault="00141473" w:rsidP="007546BF">
      <w:pPr>
        <w:numPr>
          <w:ilvl w:val="0"/>
          <w:numId w:val="16"/>
        </w:numPr>
        <w:ind w:left="-567" w:hanging="284"/>
        <w:rPr>
          <w:lang w:val="fr-BE"/>
        </w:rPr>
      </w:pPr>
      <w:r w:rsidRPr="00141473">
        <w:rPr>
          <w:lang w:val="fr-BE"/>
        </w:rPr>
        <w:t>Les accès aux interfaces d’administration,</w:t>
      </w:r>
    </w:p>
    <w:p w14:paraId="255AC39F" w14:textId="6666FF54" w:rsidR="00141473" w:rsidRPr="00141473" w:rsidRDefault="00141473" w:rsidP="007546BF">
      <w:pPr>
        <w:numPr>
          <w:ilvl w:val="0"/>
          <w:numId w:val="16"/>
        </w:numPr>
        <w:ind w:left="-567" w:hanging="284"/>
        <w:rPr>
          <w:lang w:val="fr-BE"/>
        </w:rPr>
      </w:pPr>
      <w:r w:rsidRPr="00141473">
        <w:rPr>
          <w:lang w:val="fr-BE"/>
        </w:rPr>
        <w:t>Les documents de paramétrage de la solution,</w:t>
      </w:r>
    </w:p>
    <w:p w14:paraId="260F62A9" w14:textId="70C2460F" w:rsidR="00141473" w:rsidRPr="00141473" w:rsidRDefault="00141473" w:rsidP="007546BF">
      <w:pPr>
        <w:numPr>
          <w:ilvl w:val="0"/>
          <w:numId w:val="16"/>
        </w:numPr>
        <w:ind w:left="-567" w:hanging="284"/>
        <w:rPr>
          <w:lang w:val="fr-BE"/>
        </w:rPr>
      </w:pPr>
      <w:r w:rsidRPr="00141473">
        <w:rPr>
          <w:lang w:val="fr-BE"/>
        </w:rPr>
        <w:t>Les supports de formation remis aux utilisateurs,</w:t>
      </w:r>
    </w:p>
    <w:p w14:paraId="3748B434" w14:textId="5FD9B886" w:rsidR="00141473" w:rsidRPr="00141473" w:rsidRDefault="00141473" w:rsidP="007546BF">
      <w:pPr>
        <w:numPr>
          <w:ilvl w:val="0"/>
          <w:numId w:val="16"/>
        </w:numPr>
        <w:ind w:left="-567" w:hanging="284"/>
        <w:rPr>
          <w:lang w:val="fr-BE"/>
        </w:rPr>
      </w:pPr>
      <w:r w:rsidRPr="00141473">
        <w:rPr>
          <w:lang w:val="fr-BE"/>
        </w:rPr>
        <w:t>Tout élément logiciel ou identifiant nécessaire à l’utilisation autonome de la solution.</w:t>
      </w:r>
    </w:p>
    <w:p w14:paraId="4398D3DB" w14:textId="578276E5" w:rsidR="006E72C7" w:rsidRDefault="00141473" w:rsidP="00141473">
      <w:pPr>
        <w:ind w:left="-993"/>
        <w:rPr>
          <w:lang w:val="fr-BE"/>
        </w:rPr>
      </w:pPr>
      <w:r w:rsidRPr="00141473">
        <w:rPr>
          <w:lang w:val="fr-BE"/>
        </w:rPr>
        <w:t>Cette remise constitue une condition préalable à l’émission du procès-verbal d’admission finale.</w:t>
      </w:r>
    </w:p>
    <w:p w14:paraId="5A6B2286" w14:textId="14DFF072" w:rsidR="005211F3" w:rsidRPr="00BB0C87" w:rsidRDefault="005211F3" w:rsidP="00394727">
      <w:pPr>
        <w:pStyle w:val="Titre1"/>
      </w:pPr>
      <w:bookmarkStart w:id="52" w:name="_Toc161406961"/>
      <w:bookmarkStart w:id="53" w:name="_Toc198718172"/>
      <w:r w:rsidRPr="00BD48F4">
        <w:t>DIFFERENDS ET LITIGES</w:t>
      </w:r>
      <w:bookmarkEnd w:id="52"/>
      <w:bookmarkEnd w:id="53"/>
      <w:r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E752CB">
      <w:pPr>
        <w:spacing w:after="0" w:line="480" w:lineRule="auto"/>
        <w:ind w:left="-1134"/>
        <w:jc w:val="center"/>
      </w:pPr>
      <w:r w:rsidRPr="006972E7">
        <w:t>7, rue Schoelcher, B.P. 5030, 97305</w:t>
      </w:r>
    </w:p>
    <w:p w14:paraId="310AC55D" w14:textId="22B8B266" w:rsidR="005211F3" w:rsidRPr="00E752CB" w:rsidRDefault="00E752CB" w:rsidP="00E752CB">
      <w:pPr>
        <w:spacing w:after="0" w:line="480" w:lineRule="auto"/>
        <w:ind w:left="-1134"/>
        <w:jc w:val="center"/>
      </w:pPr>
      <w:r w:rsidRPr="006972E7">
        <w:t>Cayenne Cedex</w:t>
      </w:r>
      <w:r w:rsidRPr="006972E7">
        <w:br/>
        <w:t>05 94 25 49 70</w:t>
      </w:r>
      <w:r w:rsidRPr="006972E7">
        <w:br/>
      </w:r>
      <w:hyperlink r:id="rId8" w:history="1">
        <w:r w:rsidRPr="006972E7">
          <w:t>greffe.ta-cayenne@juradm.fr</w:t>
        </w:r>
      </w:hyperlink>
    </w:p>
    <w:p w14:paraId="2EAF69C1" w14:textId="5746A677" w:rsidR="00791AA5" w:rsidRPr="002B59C6" w:rsidRDefault="00791AA5" w:rsidP="00394727">
      <w:pPr>
        <w:pStyle w:val="Titre1"/>
        <w:rPr>
          <w:lang w:val="fr-BE"/>
        </w:rPr>
      </w:pPr>
      <w:bookmarkStart w:id="54" w:name="_Toc198718173"/>
      <w:r w:rsidRPr="007D52FC">
        <w:rPr>
          <w:lang w:val="fr-BE"/>
        </w:rPr>
        <w:lastRenderedPageBreak/>
        <w:t>Dérogation</w:t>
      </w:r>
      <w:r w:rsidR="00A86924" w:rsidRPr="007D52FC">
        <w:rPr>
          <w:lang w:val="fr-BE"/>
        </w:rPr>
        <w:t>s au CCAG</w:t>
      </w:r>
      <w:bookmarkEnd w:id="54"/>
    </w:p>
    <w:p w14:paraId="4B429680" w14:textId="77777777" w:rsidR="00A86924" w:rsidRPr="00A86924" w:rsidRDefault="00A86924" w:rsidP="00A86924">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A86924">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B2AE3AB" w14:textId="4E406C75" w:rsidR="00C917B4" w:rsidRDefault="00C917B4" w:rsidP="00C917B4">
      <w:pPr>
        <w:ind w:left="-1134"/>
        <w:rPr>
          <w:lang w:val="fr-BE"/>
        </w:rPr>
      </w:pPr>
      <w:r w:rsidRPr="00422C5A">
        <w:rPr>
          <w:lang w:val="fr-BE"/>
        </w:rPr>
        <w:t>L’article</w:t>
      </w:r>
      <w:r>
        <w:rPr>
          <w:lang w:val="fr-BE"/>
        </w:rPr>
        <w:t xml:space="preserve"> </w:t>
      </w:r>
      <w:r w:rsidR="00002A66">
        <w:rPr>
          <w:lang w:val="fr-BE"/>
        </w:rPr>
        <w:t xml:space="preserve">V </w:t>
      </w:r>
      <w:r w:rsidRPr="00422C5A">
        <w:rPr>
          <w:lang w:val="fr-BE"/>
        </w:rPr>
        <w:t xml:space="preserve">du CCAP déroge à l'article </w:t>
      </w:r>
      <w:r w:rsidR="00141473">
        <w:rPr>
          <w:lang w:val="fr-BE"/>
        </w:rPr>
        <w:t>14</w:t>
      </w:r>
      <w:r>
        <w:rPr>
          <w:lang w:val="fr-BE"/>
        </w:rPr>
        <w:t xml:space="preserve"> </w:t>
      </w:r>
      <w:r w:rsidRPr="00422C5A">
        <w:rPr>
          <w:lang w:val="fr-BE"/>
        </w:rPr>
        <w:t xml:space="preserve">du CCAG </w:t>
      </w:r>
      <w:r>
        <w:rPr>
          <w:lang w:val="fr-BE"/>
        </w:rPr>
        <w:t>Pénalités</w:t>
      </w:r>
      <w:r w:rsidR="00415745">
        <w:rPr>
          <w:lang w:val="fr-BE"/>
        </w:rPr>
        <w:t>.</w:t>
      </w:r>
    </w:p>
    <w:p w14:paraId="0F44255F" w14:textId="164F46D9" w:rsidR="00141473" w:rsidRDefault="00141473" w:rsidP="00141473">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5 </w:t>
      </w:r>
      <w:r w:rsidRPr="00422C5A">
        <w:rPr>
          <w:lang w:val="fr-BE"/>
        </w:rPr>
        <w:t xml:space="preserve">du CCAG </w:t>
      </w:r>
      <w:r>
        <w:rPr>
          <w:lang w:val="fr-BE"/>
        </w:rPr>
        <w:t>Confidentialité.</w:t>
      </w:r>
    </w:p>
    <w:p w14:paraId="445A5D8A" w14:textId="29BC5B5D" w:rsidR="00141473" w:rsidRDefault="00141473" w:rsidP="00141473">
      <w:pPr>
        <w:ind w:left="-1134"/>
        <w:rPr>
          <w:lang w:val="fr-BE"/>
        </w:rPr>
      </w:pPr>
      <w:r w:rsidRPr="00422C5A">
        <w:rPr>
          <w:lang w:val="fr-BE"/>
        </w:rPr>
        <w:t>L’article</w:t>
      </w:r>
      <w:r>
        <w:rPr>
          <w:lang w:val="fr-BE"/>
        </w:rPr>
        <w:t xml:space="preserve"> VIII </w:t>
      </w:r>
      <w:r w:rsidRPr="00422C5A">
        <w:rPr>
          <w:lang w:val="fr-BE"/>
        </w:rPr>
        <w:t xml:space="preserve">du CCAP déroge à l'article </w:t>
      </w:r>
      <w:r>
        <w:rPr>
          <w:lang w:val="fr-BE"/>
        </w:rPr>
        <w:t xml:space="preserve">10 </w:t>
      </w:r>
      <w:r w:rsidRPr="00422C5A">
        <w:rPr>
          <w:lang w:val="fr-BE"/>
        </w:rPr>
        <w:t xml:space="preserve">du CCAG </w:t>
      </w:r>
      <w:r>
        <w:rPr>
          <w:lang w:val="fr-BE"/>
        </w:rPr>
        <w:t>Prix.</w:t>
      </w:r>
    </w:p>
    <w:p w14:paraId="59C36188" w14:textId="0C21F103" w:rsidR="00141473" w:rsidRDefault="00141473" w:rsidP="00141473">
      <w:pPr>
        <w:ind w:left="-1134"/>
        <w:rPr>
          <w:lang w:val="fr-BE"/>
        </w:rPr>
      </w:pPr>
      <w:r w:rsidRPr="00422C5A">
        <w:rPr>
          <w:lang w:val="fr-BE"/>
        </w:rPr>
        <w:t>L’article</w:t>
      </w:r>
      <w:r>
        <w:rPr>
          <w:lang w:val="fr-BE"/>
        </w:rPr>
        <w:t xml:space="preserve"> IX </w:t>
      </w:r>
      <w:r w:rsidRPr="00422C5A">
        <w:rPr>
          <w:lang w:val="fr-BE"/>
        </w:rPr>
        <w:t xml:space="preserve">du CCAP déroge à l'article </w:t>
      </w:r>
      <w:r>
        <w:rPr>
          <w:lang w:val="fr-BE"/>
        </w:rPr>
        <w:t xml:space="preserve">13 </w:t>
      </w:r>
      <w:r w:rsidRPr="00422C5A">
        <w:rPr>
          <w:lang w:val="fr-BE"/>
        </w:rPr>
        <w:t xml:space="preserve">du CCAG </w:t>
      </w:r>
      <w:r>
        <w:rPr>
          <w:lang w:val="fr-BE"/>
        </w:rPr>
        <w:t>Délais d’exécution.</w:t>
      </w:r>
    </w:p>
    <w:p w14:paraId="3781758C" w14:textId="7F1359B1" w:rsidR="00141473" w:rsidRDefault="00141473" w:rsidP="00141473">
      <w:pPr>
        <w:ind w:left="-1134"/>
        <w:rPr>
          <w:lang w:val="fr-BE"/>
        </w:rPr>
      </w:pPr>
      <w:r w:rsidRPr="00422C5A">
        <w:rPr>
          <w:lang w:val="fr-BE"/>
        </w:rPr>
        <w:t>L’article</w:t>
      </w:r>
      <w:r>
        <w:rPr>
          <w:lang w:val="fr-BE"/>
        </w:rPr>
        <w:t xml:space="preserve"> </w:t>
      </w:r>
      <w:r w:rsidR="007257A1">
        <w:rPr>
          <w:lang w:val="fr-BE"/>
        </w:rPr>
        <w:t>X</w:t>
      </w:r>
      <w:r>
        <w:rPr>
          <w:lang w:val="fr-BE"/>
        </w:rPr>
        <w:t xml:space="preserve"> </w:t>
      </w:r>
      <w:r w:rsidRPr="00422C5A">
        <w:rPr>
          <w:lang w:val="fr-BE"/>
        </w:rPr>
        <w:t xml:space="preserve">du CCAP déroge à l'article </w:t>
      </w:r>
      <w:r>
        <w:rPr>
          <w:lang w:val="fr-BE"/>
        </w:rPr>
        <w:t xml:space="preserve"> </w:t>
      </w:r>
      <w:r w:rsidR="007257A1">
        <w:rPr>
          <w:lang w:val="fr-BE"/>
        </w:rPr>
        <w:t xml:space="preserve">31 </w:t>
      </w:r>
      <w:r w:rsidRPr="00422C5A">
        <w:rPr>
          <w:lang w:val="fr-BE"/>
        </w:rPr>
        <w:t xml:space="preserve">du CCAG </w:t>
      </w:r>
      <w:r w:rsidR="007257A1">
        <w:rPr>
          <w:lang w:val="fr-BE"/>
        </w:rPr>
        <w:t>Destruction des données</w:t>
      </w:r>
      <w:r>
        <w:rPr>
          <w:lang w:val="fr-BE"/>
        </w:rPr>
        <w:t>.</w:t>
      </w:r>
    </w:p>
    <w:p w14:paraId="0B22CC11" w14:textId="09BE0574" w:rsidR="007257A1" w:rsidRDefault="007257A1" w:rsidP="007257A1">
      <w:pPr>
        <w:ind w:left="-1134"/>
        <w:rPr>
          <w:lang w:val="fr-BE"/>
        </w:rPr>
      </w:pPr>
      <w:r w:rsidRPr="00422C5A">
        <w:rPr>
          <w:lang w:val="fr-BE"/>
        </w:rPr>
        <w:t>L’article</w:t>
      </w:r>
      <w:r>
        <w:rPr>
          <w:lang w:val="fr-BE"/>
        </w:rPr>
        <w:t xml:space="preserve"> XI </w:t>
      </w:r>
      <w:r w:rsidRPr="00422C5A">
        <w:rPr>
          <w:lang w:val="fr-BE"/>
        </w:rPr>
        <w:t xml:space="preserve">du CCAP déroge à l'article </w:t>
      </w:r>
      <w:r>
        <w:rPr>
          <w:lang w:val="fr-BE"/>
        </w:rPr>
        <w:t xml:space="preserve">42 </w:t>
      </w:r>
      <w:r w:rsidRPr="00422C5A">
        <w:rPr>
          <w:lang w:val="fr-BE"/>
        </w:rPr>
        <w:t xml:space="preserve">du CCAG </w:t>
      </w:r>
      <w:r w:rsidRPr="007257A1">
        <w:t>Remise des prestations et des moyens matériels</w:t>
      </w:r>
      <w:r>
        <w:rPr>
          <w:lang w:val="fr-BE"/>
        </w:rPr>
        <w:t>.</w:t>
      </w:r>
    </w:p>
    <w:p w14:paraId="64CBAD46" w14:textId="6E560E71" w:rsidR="0079766A" w:rsidRDefault="0079766A" w:rsidP="0079766A">
      <w:pPr>
        <w:ind w:left="-1134"/>
        <w:rPr>
          <w:lang w:val="fr-BE"/>
        </w:rPr>
      </w:pPr>
      <w:r w:rsidRPr="00422C5A">
        <w:rPr>
          <w:lang w:val="fr-BE"/>
        </w:rPr>
        <w:t>L’article</w:t>
      </w:r>
      <w:r>
        <w:rPr>
          <w:lang w:val="fr-BE"/>
        </w:rPr>
        <w:t xml:space="preserve"> XII </w:t>
      </w:r>
      <w:r w:rsidRPr="00422C5A">
        <w:rPr>
          <w:lang w:val="fr-BE"/>
        </w:rPr>
        <w:t xml:space="preserve">du CCAP déroge à l'article </w:t>
      </w:r>
      <w:r>
        <w:rPr>
          <w:lang w:val="fr-BE"/>
        </w:rPr>
        <w:t xml:space="preserve">11 </w:t>
      </w:r>
      <w:r w:rsidRPr="00422C5A">
        <w:rPr>
          <w:lang w:val="fr-BE"/>
        </w:rPr>
        <w:t xml:space="preserve">du CCAG </w:t>
      </w:r>
      <w:r w:rsidRPr="0079766A">
        <w:t>Précisions sur les modalités de règlement</w:t>
      </w:r>
      <w:r>
        <w:rPr>
          <w:lang w:val="fr-BE"/>
        </w:rPr>
        <w:t>.</w:t>
      </w:r>
    </w:p>
    <w:p w14:paraId="667AABEF" w14:textId="77777777" w:rsidR="007257A1" w:rsidRDefault="007257A1" w:rsidP="00141473">
      <w:pPr>
        <w:ind w:left="-1134"/>
        <w:rPr>
          <w:lang w:val="fr-BE"/>
        </w:rPr>
      </w:pPr>
    </w:p>
    <w:p w14:paraId="5EB3918B" w14:textId="77777777" w:rsidR="00B93C2A" w:rsidRPr="009C2EE7" w:rsidRDefault="00B93C2A" w:rsidP="009C2EE7">
      <w:pPr>
        <w:pStyle w:val="Paragraphedeliste"/>
        <w:numPr>
          <w:ilvl w:val="0"/>
          <w:numId w:val="0"/>
        </w:numPr>
        <w:ind w:left="-1134"/>
        <w:rPr>
          <w:lang w:val="fr-BE"/>
        </w:rPr>
      </w:pPr>
    </w:p>
    <w:sectPr w:rsidR="00B93C2A" w:rsidRPr="009C2EE7" w:rsidSect="00B05C99">
      <w:headerReference w:type="default" r:id="rId9"/>
      <w:footerReference w:type="default" r:id="rId10"/>
      <w:headerReference w:type="first" r:id="rId11"/>
      <w:footerReference w:type="first" r:id="rId12"/>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A39EC" w14:textId="77777777" w:rsidR="00C61932" w:rsidRDefault="00C61932" w:rsidP="00584267">
      <w:pPr>
        <w:spacing w:after="0" w:line="240" w:lineRule="auto"/>
      </w:pPr>
      <w:r>
        <w:separator/>
      </w:r>
    </w:p>
  </w:endnote>
  <w:endnote w:type="continuationSeparator" w:id="0">
    <w:p w14:paraId="04F917B9" w14:textId="77777777" w:rsidR="00C61932" w:rsidRDefault="00C61932"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06B8D19C" w:rsidR="003C7C07" w:rsidRPr="00AF14F3" w:rsidRDefault="003C7C07" w:rsidP="00F700E3">
    <w:pPr>
      <w:pStyle w:val="Pieddepage"/>
      <w:ind w:left="-1843"/>
      <w:rPr>
        <w:lang w:val="en-US"/>
      </w:rPr>
    </w:pPr>
    <w:r w:rsidRPr="00AF14F3">
      <w:rPr>
        <w:i/>
        <w:iCs/>
        <w:smallCaps/>
        <w:lang w:val="en-US"/>
      </w:rPr>
      <w:t xml:space="preserve">GPM-G RX </w:t>
    </w:r>
    <w:r>
      <w:rPr>
        <w:i/>
        <w:iCs/>
        <w:smallCaps/>
        <w:lang w:val="en-US"/>
      </w:rPr>
      <w:t xml:space="preserve">25 17 </w:t>
    </w:r>
    <w:r w:rsidRPr="00AF14F3">
      <w:rPr>
        <w:i/>
        <w:iCs/>
        <w:smallCaps/>
        <w:lang w:val="en-US"/>
      </w:rPr>
      <w:t xml:space="preserve">SIRH         </w:t>
    </w:r>
    <w:r>
      <w:rPr>
        <w:i/>
        <w:iCs/>
        <w:smallCaps/>
        <w:lang w:val="en-US"/>
      </w:rPr>
      <w:t xml:space="preserve"> </w:t>
    </w:r>
    <w:r w:rsidRPr="00AF14F3">
      <w:rPr>
        <w:i/>
        <w:iCs/>
        <w:smallCaps/>
        <w:lang w:val="en-US"/>
      </w:rPr>
      <w:t xml:space="preserve">           </w:t>
    </w:r>
    <w:r>
      <w:rPr>
        <w:i/>
        <w:iCs/>
        <w:smallCaps/>
        <w:lang w:val="en-US"/>
      </w:rPr>
      <w:t xml:space="preserve">  </w:t>
    </w:r>
    <w:r w:rsidRPr="00AF14F3">
      <w:rPr>
        <w:i/>
        <w:iCs/>
        <w:smallCaps/>
        <w:lang w:val="en-US"/>
      </w:rPr>
      <w:t xml:space="preserve">                                                                                                                  </w:t>
    </w:r>
    <w:r w:rsidRPr="004603EC">
      <w:rPr>
        <w:lang w:val="en-US"/>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590F92B6" w:rsidR="003C7C07" w:rsidRPr="00AF14F3" w:rsidRDefault="003C7C07" w:rsidP="00F700E3">
    <w:pPr>
      <w:pStyle w:val="Pieddepage"/>
      <w:ind w:left="-1701"/>
      <w:rPr>
        <w:lang w:val="en-US"/>
      </w:rPr>
    </w:pPr>
    <w:r w:rsidRPr="00AF14F3">
      <w:rPr>
        <w:i/>
        <w:iCs/>
        <w:smallCaps/>
        <w:lang w:val="en-US"/>
      </w:rPr>
      <w:t xml:space="preserve">GPM-G RX </w:t>
    </w:r>
    <w:r>
      <w:rPr>
        <w:i/>
        <w:iCs/>
        <w:smallCaps/>
        <w:lang w:val="en-US"/>
      </w:rPr>
      <w:t xml:space="preserve">25 17 </w:t>
    </w:r>
    <w:r w:rsidRPr="00AF14F3">
      <w:rPr>
        <w:i/>
        <w:iCs/>
        <w:smallCaps/>
        <w:lang w:val="en-US"/>
      </w:rPr>
      <w:t xml:space="preserve">SIRH         </w:t>
    </w:r>
    <w:r>
      <w:rPr>
        <w:i/>
        <w:iCs/>
        <w:smallCaps/>
        <w:lang w:val="en-US"/>
      </w:rPr>
      <w:t xml:space="preserve"> </w:t>
    </w:r>
    <w:r w:rsidRPr="00AF14F3">
      <w:rPr>
        <w:i/>
        <w:iCs/>
        <w:smallCaps/>
        <w:lang w:val="en-US"/>
      </w:rPr>
      <w:t xml:space="preserve">                                                                                                                                 </w:t>
    </w:r>
    <w:r w:rsidRPr="004603EC">
      <w:rPr>
        <w:lang w:val="en-US"/>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ABA3E" w14:textId="77777777" w:rsidR="00C61932" w:rsidRDefault="00C61932" w:rsidP="00584267">
      <w:pPr>
        <w:spacing w:after="0" w:line="240" w:lineRule="auto"/>
      </w:pPr>
      <w:r>
        <w:separator/>
      </w:r>
    </w:p>
  </w:footnote>
  <w:footnote w:type="continuationSeparator" w:id="0">
    <w:p w14:paraId="262AF11B" w14:textId="77777777" w:rsidR="00C61932" w:rsidRDefault="00C61932"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3C7C07" w:rsidRDefault="003C7C07">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3C7C07" w:rsidRDefault="003C7C07">
    <w:pPr>
      <w:pStyle w:val="En-tte"/>
    </w:pPr>
  </w:p>
  <w:p w14:paraId="5FB922C5" w14:textId="77777777" w:rsidR="003C7C07" w:rsidRDefault="003C7C07" w:rsidP="00F700E3">
    <w:pPr>
      <w:pStyle w:val="En-tte"/>
      <w:ind w:left="-1843"/>
    </w:pPr>
  </w:p>
  <w:p w14:paraId="611C8727" w14:textId="77777777" w:rsidR="003C7C07" w:rsidRDefault="003C7C07" w:rsidP="002B4816">
    <w:pPr>
      <w:pStyle w:val="En-tte"/>
      <w:ind w:left="-1843"/>
      <w:rPr>
        <w:b/>
        <w:bCs/>
      </w:rPr>
    </w:pPr>
    <w:r w:rsidRPr="00707212">
      <w:rPr>
        <w:b/>
        <w:bCs/>
      </w:rPr>
      <w:t>Mise en place d'un Système d'Information des Ressources Humaines (SIRH) pour le Grand Port Maritime de Guyane</w:t>
    </w:r>
  </w:p>
  <w:p w14:paraId="78331AE6" w14:textId="6F063E95" w:rsidR="003C7C07" w:rsidRPr="00011E25" w:rsidRDefault="003C7C07" w:rsidP="00B81017">
    <w:pPr>
      <w:pStyle w:val="En-tte"/>
      <w:tabs>
        <w:tab w:val="clear" w:pos="4536"/>
        <w:tab w:val="clear" w:pos="9072"/>
        <w:tab w:val="left" w:pos="1950"/>
      </w:tabs>
      <w:ind w:left="-1843"/>
      <w:rPr>
        <w:b/>
        <w:bCs/>
      </w:rPr>
    </w:pPr>
    <w:r>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3C7C07" w:rsidRDefault="003C7C07"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3C7C07" w:rsidRDefault="003C7C07" w:rsidP="00F700E3">
    <w:pPr>
      <w:pStyle w:val="Pieddepage"/>
      <w:rPr>
        <w:sz w:val="24"/>
        <w:szCs w:val="24"/>
      </w:rPr>
    </w:pPr>
  </w:p>
  <w:p w14:paraId="76D03E2E" w14:textId="77777777" w:rsidR="003C7C07" w:rsidRDefault="003C7C07" w:rsidP="00F700E3">
    <w:pPr>
      <w:pStyle w:val="Pieddepage"/>
      <w:rPr>
        <w:sz w:val="24"/>
        <w:szCs w:val="24"/>
      </w:rPr>
    </w:pPr>
  </w:p>
  <w:p w14:paraId="1BBEC1F4" w14:textId="77777777" w:rsidR="003C7C07" w:rsidRDefault="003C7C07" w:rsidP="00AF4186">
    <w:pPr>
      <w:pStyle w:val="En-tte"/>
      <w:ind w:left="-1843"/>
      <w:rPr>
        <w:b/>
        <w:bCs/>
      </w:rPr>
    </w:pPr>
    <w:r>
      <w:rPr>
        <w:b/>
        <w:bCs/>
      </w:rPr>
      <w:t xml:space="preserve"> </w:t>
    </w:r>
  </w:p>
  <w:p w14:paraId="5AC7A624" w14:textId="77777777" w:rsidR="003C7C07" w:rsidRDefault="003C7C07" w:rsidP="002B4816">
    <w:pPr>
      <w:pStyle w:val="En-tte"/>
      <w:ind w:left="-1843"/>
      <w:rPr>
        <w:b/>
        <w:bCs/>
      </w:rPr>
    </w:pPr>
    <w:r w:rsidRPr="00707212">
      <w:rPr>
        <w:b/>
        <w:bCs/>
      </w:rPr>
      <w:t>Mise en place d'un Système d'Information des Ressources Humaines (SIRH) pour le Grand Port Maritime de Guyane</w:t>
    </w:r>
  </w:p>
  <w:p w14:paraId="05C2DDB4" w14:textId="320DC5D7" w:rsidR="003C7C07" w:rsidRPr="004603EC" w:rsidRDefault="003C7C07" w:rsidP="00F700E3">
    <w:pPr>
      <w:pStyle w:val="Pieddepage"/>
      <w:ind w:left="-1985"/>
      <w:rPr>
        <w:b/>
        <w:bCs/>
      </w:rPr>
    </w:pPr>
  </w:p>
  <w:p w14:paraId="11D2E231" w14:textId="1FBFEEE6" w:rsidR="003C7C07" w:rsidRPr="0057346D" w:rsidRDefault="003C7C07"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E271DB6"/>
    <w:multiLevelType w:val="multilevel"/>
    <w:tmpl w:val="485A2B88"/>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rPr>
        <w:b/>
        <w:bCs w:val="0"/>
      </w:r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5" w15:restartNumberingAfterBreak="0">
    <w:nsid w:val="121B4C2C"/>
    <w:multiLevelType w:val="hybridMultilevel"/>
    <w:tmpl w:val="ED22C1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64B69A0"/>
    <w:multiLevelType w:val="multilevel"/>
    <w:tmpl w:val="E406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8"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F8209A"/>
    <w:multiLevelType w:val="multilevel"/>
    <w:tmpl w:val="C84245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E576AE"/>
    <w:multiLevelType w:val="multilevel"/>
    <w:tmpl w:val="7466E3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CE3DD1"/>
    <w:multiLevelType w:val="multilevel"/>
    <w:tmpl w:val="5D88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04539D"/>
    <w:multiLevelType w:val="multilevel"/>
    <w:tmpl w:val="D850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546ACA"/>
    <w:multiLevelType w:val="multilevel"/>
    <w:tmpl w:val="13BC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7A1BC8"/>
    <w:multiLevelType w:val="multilevel"/>
    <w:tmpl w:val="DE88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292E29"/>
    <w:multiLevelType w:val="multilevel"/>
    <w:tmpl w:val="0E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B65142C"/>
    <w:multiLevelType w:val="multilevel"/>
    <w:tmpl w:val="3346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2241AD"/>
    <w:multiLevelType w:val="multilevel"/>
    <w:tmpl w:val="AFCA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85033884">
    <w:abstractNumId w:val="3"/>
  </w:num>
  <w:num w:numId="2" w16cid:durableId="25914583">
    <w:abstractNumId w:val="2"/>
  </w:num>
  <w:num w:numId="3" w16cid:durableId="1316957578">
    <w:abstractNumId w:val="1"/>
  </w:num>
  <w:num w:numId="4" w16cid:durableId="470173449">
    <w:abstractNumId w:val="0"/>
  </w:num>
  <w:num w:numId="5" w16cid:durableId="1125778355">
    <w:abstractNumId w:val="11"/>
  </w:num>
  <w:num w:numId="6" w16cid:durableId="1935938195">
    <w:abstractNumId w:val="10"/>
  </w:num>
  <w:num w:numId="7" w16cid:durableId="908928199">
    <w:abstractNumId w:val="7"/>
  </w:num>
  <w:num w:numId="8" w16cid:durableId="1313682460">
    <w:abstractNumId w:val="4"/>
  </w:num>
  <w:num w:numId="9" w16cid:durableId="29846425">
    <w:abstractNumId w:val="8"/>
  </w:num>
  <w:num w:numId="10" w16cid:durableId="1080254657">
    <w:abstractNumId w:val="13"/>
  </w:num>
  <w:num w:numId="11" w16cid:durableId="730036925">
    <w:abstractNumId w:val="14"/>
  </w:num>
  <w:num w:numId="12" w16cid:durableId="1121336803">
    <w:abstractNumId w:val="15"/>
  </w:num>
  <w:num w:numId="13" w16cid:durableId="1291013105">
    <w:abstractNumId w:val="18"/>
  </w:num>
  <w:num w:numId="14" w16cid:durableId="2068644319">
    <w:abstractNumId w:val="17"/>
  </w:num>
  <w:num w:numId="15" w16cid:durableId="1599606097">
    <w:abstractNumId w:val="19"/>
  </w:num>
  <w:num w:numId="16" w16cid:durableId="958026648">
    <w:abstractNumId w:val="6"/>
  </w:num>
  <w:num w:numId="17" w16cid:durableId="914585571">
    <w:abstractNumId w:val="20"/>
  </w:num>
  <w:num w:numId="18" w16cid:durableId="1210455349">
    <w:abstractNumId w:val="12"/>
  </w:num>
  <w:num w:numId="19" w16cid:durableId="1549564832">
    <w:abstractNumId w:val="16"/>
  </w:num>
  <w:num w:numId="20" w16cid:durableId="1891647133">
    <w:abstractNumId w:val="5"/>
  </w:num>
  <w:num w:numId="21" w16cid:durableId="805437952">
    <w:abstractNumId w:val="9"/>
  </w:num>
  <w:num w:numId="22" w16cid:durableId="1880166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8723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3913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336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5810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5076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852408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85323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4427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038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8195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6BA3"/>
    <w:rsid w:val="00026183"/>
    <w:rsid w:val="00036A02"/>
    <w:rsid w:val="00043380"/>
    <w:rsid w:val="000559A4"/>
    <w:rsid w:val="00081493"/>
    <w:rsid w:val="00085AC9"/>
    <w:rsid w:val="000929E6"/>
    <w:rsid w:val="000A0133"/>
    <w:rsid w:val="000B0162"/>
    <w:rsid w:val="000B09C5"/>
    <w:rsid w:val="000B420A"/>
    <w:rsid w:val="000B4395"/>
    <w:rsid w:val="000C358F"/>
    <w:rsid w:val="000E104C"/>
    <w:rsid w:val="000E4550"/>
    <w:rsid w:val="000E4B9D"/>
    <w:rsid w:val="000F798C"/>
    <w:rsid w:val="001054C7"/>
    <w:rsid w:val="00105AD3"/>
    <w:rsid w:val="0011434B"/>
    <w:rsid w:val="00115026"/>
    <w:rsid w:val="00116CF5"/>
    <w:rsid w:val="001214BE"/>
    <w:rsid w:val="0012287F"/>
    <w:rsid w:val="0012348F"/>
    <w:rsid w:val="00137429"/>
    <w:rsid w:val="00141473"/>
    <w:rsid w:val="0014346E"/>
    <w:rsid w:val="00155E90"/>
    <w:rsid w:val="00160267"/>
    <w:rsid w:val="00160624"/>
    <w:rsid w:val="00170134"/>
    <w:rsid w:val="00172D9C"/>
    <w:rsid w:val="00172E1A"/>
    <w:rsid w:val="001817C1"/>
    <w:rsid w:val="00181BF8"/>
    <w:rsid w:val="00191A59"/>
    <w:rsid w:val="001A08EE"/>
    <w:rsid w:val="001B5B9D"/>
    <w:rsid w:val="001C1851"/>
    <w:rsid w:val="001C6529"/>
    <w:rsid w:val="001D000E"/>
    <w:rsid w:val="001D2796"/>
    <w:rsid w:val="001F0574"/>
    <w:rsid w:val="001F1BCF"/>
    <w:rsid w:val="001F5D68"/>
    <w:rsid w:val="001F5FE6"/>
    <w:rsid w:val="00203D6C"/>
    <w:rsid w:val="00212E61"/>
    <w:rsid w:val="00215AF5"/>
    <w:rsid w:val="00223CC1"/>
    <w:rsid w:val="0024001C"/>
    <w:rsid w:val="00243F24"/>
    <w:rsid w:val="002467E2"/>
    <w:rsid w:val="00247CE8"/>
    <w:rsid w:val="0025161C"/>
    <w:rsid w:val="0026464C"/>
    <w:rsid w:val="0027164C"/>
    <w:rsid w:val="00272836"/>
    <w:rsid w:val="00275745"/>
    <w:rsid w:val="00281D17"/>
    <w:rsid w:val="00281F9C"/>
    <w:rsid w:val="00284865"/>
    <w:rsid w:val="0028762B"/>
    <w:rsid w:val="0029040A"/>
    <w:rsid w:val="002961DF"/>
    <w:rsid w:val="002A0663"/>
    <w:rsid w:val="002A1980"/>
    <w:rsid w:val="002A3B03"/>
    <w:rsid w:val="002B4816"/>
    <w:rsid w:val="002B59C6"/>
    <w:rsid w:val="002B78C1"/>
    <w:rsid w:val="002C6C58"/>
    <w:rsid w:val="002C6D7A"/>
    <w:rsid w:val="002D7ACA"/>
    <w:rsid w:val="002E22B3"/>
    <w:rsid w:val="00301A60"/>
    <w:rsid w:val="00303C91"/>
    <w:rsid w:val="00313C44"/>
    <w:rsid w:val="00315909"/>
    <w:rsid w:val="00327534"/>
    <w:rsid w:val="00362823"/>
    <w:rsid w:val="00376678"/>
    <w:rsid w:val="00385D2E"/>
    <w:rsid w:val="00394727"/>
    <w:rsid w:val="00397B13"/>
    <w:rsid w:val="003A5DCC"/>
    <w:rsid w:val="003B5381"/>
    <w:rsid w:val="003C26A1"/>
    <w:rsid w:val="003C3C74"/>
    <w:rsid w:val="003C65E8"/>
    <w:rsid w:val="003C7C07"/>
    <w:rsid w:val="003D0E2C"/>
    <w:rsid w:val="003D2A96"/>
    <w:rsid w:val="003E4DA4"/>
    <w:rsid w:val="003E58B4"/>
    <w:rsid w:val="003F1DDC"/>
    <w:rsid w:val="003F7627"/>
    <w:rsid w:val="003F7E04"/>
    <w:rsid w:val="004063F8"/>
    <w:rsid w:val="00415745"/>
    <w:rsid w:val="004164A8"/>
    <w:rsid w:val="00422C5A"/>
    <w:rsid w:val="0043241D"/>
    <w:rsid w:val="00433D73"/>
    <w:rsid w:val="004346A4"/>
    <w:rsid w:val="00441E32"/>
    <w:rsid w:val="004472C5"/>
    <w:rsid w:val="004523D4"/>
    <w:rsid w:val="00456C77"/>
    <w:rsid w:val="00462C55"/>
    <w:rsid w:val="004657BA"/>
    <w:rsid w:val="00484E63"/>
    <w:rsid w:val="0048775C"/>
    <w:rsid w:val="00487E2D"/>
    <w:rsid w:val="00487F5D"/>
    <w:rsid w:val="004977C9"/>
    <w:rsid w:val="004A1961"/>
    <w:rsid w:val="004A21DC"/>
    <w:rsid w:val="004A78D6"/>
    <w:rsid w:val="004B472A"/>
    <w:rsid w:val="004B58D4"/>
    <w:rsid w:val="004B662D"/>
    <w:rsid w:val="004C1A95"/>
    <w:rsid w:val="004C4623"/>
    <w:rsid w:val="004D46DE"/>
    <w:rsid w:val="004D61E0"/>
    <w:rsid w:val="004E029F"/>
    <w:rsid w:val="004E5A16"/>
    <w:rsid w:val="004F36E3"/>
    <w:rsid w:val="005016CC"/>
    <w:rsid w:val="0050623B"/>
    <w:rsid w:val="00516003"/>
    <w:rsid w:val="005211F3"/>
    <w:rsid w:val="005237D3"/>
    <w:rsid w:val="00541445"/>
    <w:rsid w:val="00543129"/>
    <w:rsid w:val="005452DB"/>
    <w:rsid w:val="00556382"/>
    <w:rsid w:val="00563F22"/>
    <w:rsid w:val="0057346D"/>
    <w:rsid w:val="0057675B"/>
    <w:rsid w:val="00584267"/>
    <w:rsid w:val="005862B7"/>
    <w:rsid w:val="005929C1"/>
    <w:rsid w:val="005942A3"/>
    <w:rsid w:val="00597990"/>
    <w:rsid w:val="005B09A7"/>
    <w:rsid w:val="005B229F"/>
    <w:rsid w:val="005B63BC"/>
    <w:rsid w:val="005C24A7"/>
    <w:rsid w:val="005C7312"/>
    <w:rsid w:val="005C7ED0"/>
    <w:rsid w:val="005D4CB8"/>
    <w:rsid w:val="005F2FA6"/>
    <w:rsid w:val="005F4F8D"/>
    <w:rsid w:val="00600003"/>
    <w:rsid w:val="00600B01"/>
    <w:rsid w:val="006051E0"/>
    <w:rsid w:val="0061130B"/>
    <w:rsid w:val="0061446C"/>
    <w:rsid w:val="00640AA8"/>
    <w:rsid w:val="00641218"/>
    <w:rsid w:val="006440B8"/>
    <w:rsid w:val="00644F84"/>
    <w:rsid w:val="00646344"/>
    <w:rsid w:val="00647AFF"/>
    <w:rsid w:val="00657430"/>
    <w:rsid w:val="00657E06"/>
    <w:rsid w:val="00666799"/>
    <w:rsid w:val="00671FF5"/>
    <w:rsid w:val="006728D4"/>
    <w:rsid w:val="00674513"/>
    <w:rsid w:val="006774A2"/>
    <w:rsid w:val="006912B1"/>
    <w:rsid w:val="00694703"/>
    <w:rsid w:val="0069511D"/>
    <w:rsid w:val="006A5945"/>
    <w:rsid w:val="006A643F"/>
    <w:rsid w:val="006A762A"/>
    <w:rsid w:val="006A79CD"/>
    <w:rsid w:val="006B3E36"/>
    <w:rsid w:val="006D43B1"/>
    <w:rsid w:val="006D6EB7"/>
    <w:rsid w:val="006E2FFD"/>
    <w:rsid w:val="006E69C7"/>
    <w:rsid w:val="006E72C7"/>
    <w:rsid w:val="006F4887"/>
    <w:rsid w:val="00710E3D"/>
    <w:rsid w:val="00717480"/>
    <w:rsid w:val="00717F58"/>
    <w:rsid w:val="007257A1"/>
    <w:rsid w:val="00732376"/>
    <w:rsid w:val="00732D58"/>
    <w:rsid w:val="00743CBC"/>
    <w:rsid w:val="007508B8"/>
    <w:rsid w:val="007546BF"/>
    <w:rsid w:val="0076674D"/>
    <w:rsid w:val="00772027"/>
    <w:rsid w:val="00772C55"/>
    <w:rsid w:val="00782B1B"/>
    <w:rsid w:val="00783ED7"/>
    <w:rsid w:val="0078747A"/>
    <w:rsid w:val="00791AA5"/>
    <w:rsid w:val="007931BE"/>
    <w:rsid w:val="00796CE6"/>
    <w:rsid w:val="00797596"/>
    <w:rsid w:val="0079766A"/>
    <w:rsid w:val="007A0FE4"/>
    <w:rsid w:val="007A10A3"/>
    <w:rsid w:val="007A44EC"/>
    <w:rsid w:val="007A6150"/>
    <w:rsid w:val="007B017C"/>
    <w:rsid w:val="007B75FD"/>
    <w:rsid w:val="007C04BF"/>
    <w:rsid w:val="007C4A23"/>
    <w:rsid w:val="007D52FC"/>
    <w:rsid w:val="007F1BF1"/>
    <w:rsid w:val="007F7E40"/>
    <w:rsid w:val="008012C0"/>
    <w:rsid w:val="00802221"/>
    <w:rsid w:val="00805097"/>
    <w:rsid w:val="00805A2D"/>
    <w:rsid w:val="008062D1"/>
    <w:rsid w:val="00816BD7"/>
    <w:rsid w:val="00820680"/>
    <w:rsid w:val="00830216"/>
    <w:rsid w:val="008376D0"/>
    <w:rsid w:val="00854AB1"/>
    <w:rsid w:val="00855C60"/>
    <w:rsid w:val="008807F8"/>
    <w:rsid w:val="008A6734"/>
    <w:rsid w:val="008C1E61"/>
    <w:rsid w:val="008D7BB1"/>
    <w:rsid w:val="008E3D10"/>
    <w:rsid w:val="008E4863"/>
    <w:rsid w:val="008F2E64"/>
    <w:rsid w:val="008F445F"/>
    <w:rsid w:val="00905E14"/>
    <w:rsid w:val="009268D9"/>
    <w:rsid w:val="00930FE0"/>
    <w:rsid w:val="00934257"/>
    <w:rsid w:val="00934DA0"/>
    <w:rsid w:val="00937D9E"/>
    <w:rsid w:val="00941476"/>
    <w:rsid w:val="009431F5"/>
    <w:rsid w:val="0095093B"/>
    <w:rsid w:val="00962FD5"/>
    <w:rsid w:val="009642F3"/>
    <w:rsid w:val="0097218E"/>
    <w:rsid w:val="0097650D"/>
    <w:rsid w:val="00980711"/>
    <w:rsid w:val="00986973"/>
    <w:rsid w:val="00993119"/>
    <w:rsid w:val="0099640B"/>
    <w:rsid w:val="009A073E"/>
    <w:rsid w:val="009B355E"/>
    <w:rsid w:val="009C020E"/>
    <w:rsid w:val="009C2EE7"/>
    <w:rsid w:val="009D7405"/>
    <w:rsid w:val="009E09AE"/>
    <w:rsid w:val="009E10E7"/>
    <w:rsid w:val="009F0371"/>
    <w:rsid w:val="00A016C9"/>
    <w:rsid w:val="00A03845"/>
    <w:rsid w:val="00A03A89"/>
    <w:rsid w:val="00A06F4D"/>
    <w:rsid w:val="00A070F6"/>
    <w:rsid w:val="00A23C24"/>
    <w:rsid w:val="00A34C10"/>
    <w:rsid w:val="00A34F17"/>
    <w:rsid w:val="00A36D7D"/>
    <w:rsid w:val="00A37FAC"/>
    <w:rsid w:val="00A42EA3"/>
    <w:rsid w:val="00A46B9F"/>
    <w:rsid w:val="00A5021C"/>
    <w:rsid w:val="00A65A30"/>
    <w:rsid w:val="00A67102"/>
    <w:rsid w:val="00A74891"/>
    <w:rsid w:val="00A86924"/>
    <w:rsid w:val="00A97923"/>
    <w:rsid w:val="00AA5C2F"/>
    <w:rsid w:val="00AA7022"/>
    <w:rsid w:val="00AB337F"/>
    <w:rsid w:val="00AD13B3"/>
    <w:rsid w:val="00AD1887"/>
    <w:rsid w:val="00AD26C0"/>
    <w:rsid w:val="00AD5C21"/>
    <w:rsid w:val="00AE311A"/>
    <w:rsid w:val="00AE3274"/>
    <w:rsid w:val="00AE5FD6"/>
    <w:rsid w:val="00AF14F3"/>
    <w:rsid w:val="00AF4186"/>
    <w:rsid w:val="00AF5AD9"/>
    <w:rsid w:val="00AF643D"/>
    <w:rsid w:val="00AF7940"/>
    <w:rsid w:val="00B03C9C"/>
    <w:rsid w:val="00B05C99"/>
    <w:rsid w:val="00B10575"/>
    <w:rsid w:val="00B35624"/>
    <w:rsid w:val="00B35DC6"/>
    <w:rsid w:val="00B370F9"/>
    <w:rsid w:val="00B46982"/>
    <w:rsid w:val="00B51409"/>
    <w:rsid w:val="00B51833"/>
    <w:rsid w:val="00B81017"/>
    <w:rsid w:val="00B93C2A"/>
    <w:rsid w:val="00BA0250"/>
    <w:rsid w:val="00BA45A8"/>
    <w:rsid w:val="00BB0C87"/>
    <w:rsid w:val="00BB196B"/>
    <w:rsid w:val="00BB196C"/>
    <w:rsid w:val="00BB794F"/>
    <w:rsid w:val="00BC1C14"/>
    <w:rsid w:val="00BC72DE"/>
    <w:rsid w:val="00BD14E0"/>
    <w:rsid w:val="00BD585E"/>
    <w:rsid w:val="00BD754A"/>
    <w:rsid w:val="00BF796B"/>
    <w:rsid w:val="00C067AC"/>
    <w:rsid w:val="00C127E9"/>
    <w:rsid w:val="00C1439A"/>
    <w:rsid w:val="00C202DE"/>
    <w:rsid w:val="00C2646B"/>
    <w:rsid w:val="00C353D6"/>
    <w:rsid w:val="00C43A21"/>
    <w:rsid w:val="00C569AB"/>
    <w:rsid w:val="00C61932"/>
    <w:rsid w:val="00C63855"/>
    <w:rsid w:val="00C653D1"/>
    <w:rsid w:val="00C66A18"/>
    <w:rsid w:val="00C66E3F"/>
    <w:rsid w:val="00C80B79"/>
    <w:rsid w:val="00C83A6C"/>
    <w:rsid w:val="00C917B4"/>
    <w:rsid w:val="00CA5090"/>
    <w:rsid w:val="00CA6DDB"/>
    <w:rsid w:val="00CB0D22"/>
    <w:rsid w:val="00CB6B4F"/>
    <w:rsid w:val="00CE19D2"/>
    <w:rsid w:val="00CE497E"/>
    <w:rsid w:val="00CE6601"/>
    <w:rsid w:val="00CE6783"/>
    <w:rsid w:val="00CE6C02"/>
    <w:rsid w:val="00CF0260"/>
    <w:rsid w:val="00CF13AB"/>
    <w:rsid w:val="00CF5DF7"/>
    <w:rsid w:val="00D06DD8"/>
    <w:rsid w:val="00D07B14"/>
    <w:rsid w:val="00D110C4"/>
    <w:rsid w:val="00D111EF"/>
    <w:rsid w:val="00D46C02"/>
    <w:rsid w:val="00D5141E"/>
    <w:rsid w:val="00D52388"/>
    <w:rsid w:val="00D67774"/>
    <w:rsid w:val="00D70F4D"/>
    <w:rsid w:val="00D73B75"/>
    <w:rsid w:val="00D74FDF"/>
    <w:rsid w:val="00D7666F"/>
    <w:rsid w:val="00D95BE6"/>
    <w:rsid w:val="00D95F18"/>
    <w:rsid w:val="00DA3E9A"/>
    <w:rsid w:val="00DC0640"/>
    <w:rsid w:val="00DC4D49"/>
    <w:rsid w:val="00DD0556"/>
    <w:rsid w:val="00DD5647"/>
    <w:rsid w:val="00DD6D92"/>
    <w:rsid w:val="00DD701C"/>
    <w:rsid w:val="00DE42E9"/>
    <w:rsid w:val="00DE59EF"/>
    <w:rsid w:val="00DF150B"/>
    <w:rsid w:val="00DF2C6B"/>
    <w:rsid w:val="00DF45FD"/>
    <w:rsid w:val="00DF5AE9"/>
    <w:rsid w:val="00E031B9"/>
    <w:rsid w:val="00E04C64"/>
    <w:rsid w:val="00E14BE0"/>
    <w:rsid w:val="00E15EDD"/>
    <w:rsid w:val="00E20A77"/>
    <w:rsid w:val="00E21D5F"/>
    <w:rsid w:val="00E237F0"/>
    <w:rsid w:val="00E255E4"/>
    <w:rsid w:val="00E27705"/>
    <w:rsid w:val="00E3130F"/>
    <w:rsid w:val="00E33558"/>
    <w:rsid w:val="00E35425"/>
    <w:rsid w:val="00E42313"/>
    <w:rsid w:val="00E52AA3"/>
    <w:rsid w:val="00E62BE3"/>
    <w:rsid w:val="00E700B0"/>
    <w:rsid w:val="00E752CB"/>
    <w:rsid w:val="00E829C7"/>
    <w:rsid w:val="00E91FBA"/>
    <w:rsid w:val="00E92AB9"/>
    <w:rsid w:val="00E92DD4"/>
    <w:rsid w:val="00E95C85"/>
    <w:rsid w:val="00E9718A"/>
    <w:rsid w:val="00EA00D1"/>
    <w:rsid w:val="00EA126C"/>
    <w:rsid w:val="00EC7FC3"/>
    <w:rsid w:val="00ED1D3D"/>
    <w:rsid w:val="00ED3F99"/>
    <w:rsid w:val="00EE3892"/>
    <w:rsid w:val="00EE7661"/>
    <w:rsid w:val="00EF6D81"/>
    <w:rsid w:val="00F06348"/>
    <w:rsid w:val="00F202B1"/>
    <w:rsid w:val="00F22895"/>
    <w:rsid w:val="00F26CAA"/>
    <w:rsid w:val="00F270FF"/>
    <w:rsid w:val="00F63B60"/>
    <w:rsid w:val="00F653FB"/>
    <w:rsid w:val="00F65780"/>
    <w:rsid w:val="00F700E3"/>
    <w:rsid w:val="00F70B95"/>
    <w:rsid w:val="00F8009E"/>
    <w:rsid w:val="00F877EA"/>
    <w:rsid w:val="00F92CF0"/>
    <w:rsid w:val="00F94620"/>
    <w:rsid w:val="00FA23EF"/>
    <w:rsid w:val="00FA45D5"/>
    <w:rsid w:val="00FB4656"/>
    <w:rsid w:val="00FC647E"/>
    <w:rsid w:val="00FD7A88"/>
    <w:rsid w:val="00FE355A"/>
    <w:rsid w:val="00FF0DDE"/>
    <w:rsid w:val="00FF2F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394727"/>
    <w:pPr>
      <w:keepNext/>
      <w:keepLines/>
      <w:numPr>
        <w:numId w:val="8"/>
      </w:numPr>
      <w:spacing w:before="240" w:after="240"/>
      <w:ind w:left="-992" w:hanging="142"/>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D7405"/>
    <w:pPr>
      <w:numPr>
        <w:ilvl w:val="1"/>
        <w:numId w:val="8"/>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D7405"/>
    <w:pPr>
      <w:numPr>
        <w:ilvl w:val="2"/>
        <w:numId w:val="8"/>
      </w:numPr>
      <w:tabs>
        <w:tab w:val="left" w:pos="426"/>
      </w:tabs>
      <w:spacing w:before="24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394727"/>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D740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D7405"/>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15179446">
      <w:bodyDiv w:val="1"/>
      <w:marLeft w:val="0"/>
      <w:marRight w:val="0"/>
      <w:marTop w:val="0"/>
      <w:marBottom w:val="0"/>
      <w:divBdr>
        <w:top w:val="none" w:sz="0" w:space="0" w:color="auto"/>
        <w:left w:val="none" w:sz="0" w:space="0" w:color="auto"/>
        <w:bottom w:val="none" w:sz="0" w:space="0" w:color="auto"/>
        <w:right w:val="none" w:sz="0" w:space="0" w:color="auto"/>
      </w:divBdr>
      <w:divsChild>
        <w:div w:id="7709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08369319">
      <w:bodyDiv w:val="1"/>
      <w:marLeft w:val="0"/>
      <w:marRight w:val="0"/>
      <w:marTop w:val="0"/>
      <w:marBottom w:val="0"/>
      <w:divBdr>
        <w:top w:val="none" w:sz="0" w:space="0" w:color="auto"/>
        <w:left w:val="none" w:sz="0" w:space="0" w:color="auto"/>
        <w:bottom w:val="none" w:sz="0" w:space="0" w:color="auto"/>
        <w:right w:val="none" w:sz="0" w:space="0" w:color="auto"/>
      </w:divBdr>
      <w:divsChild>
        <w:div w:id="79941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659724">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598030059">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018131">
      <w:bodyDiv w:val="1"/>
      <w:marLeft w:val="0"/>
      <w:marRight w:val="0"/>
      <w:marTop w:val="0"/>
      <w:marBottom w:val="0"/>
      <w:divBdr>
        <w:top w:val="none" w:sz="0" w:space="0" w:color="auto"/>
        <w:left w:val="none" w:sz="0" w:space="0" w:color="auto"/>
        <w:bottom w:val="none" w:sz="0" w:space="0" w:color="auto"/>
        <w:right w:val="none" w:sz="0" w:space="0" w:color="auto"/>
      </w:divBdr>
    </w:div>
    <w:div w:id="909118558">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0793320">
      <w:bodyDiv w:val="1"/>
      <w:marLeft w:val="0"/>
      <w:marRight w:val="0"/>
      <w:marTop w:val="0"/>
      <w:marBottom w:val="0"/>
      <w:divBdr>
        <w:top w:val="none" w:sz="0" w:space="0" w:color="auto"/>
        <w:left w:val="none" w:sz="0" w:space="0" w:color="auto"/>
        <w:bottom w:val="none" w:sz="0" w:space="0" w:color="auto"/>
        <w:right w:val="none" w:sz="0" w:space="0" w:color="auto"/>
      </w:divBdr>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249007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595612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3199155">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36181687">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46935514">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797219051">
      <w:bodyDiv w:val="1"/>
      <w:marLeft w:val="0"/>
      <w:marRight w:val="0"/>
      <w:marTop w:val="0"/>
      <w:marBottom w:val="0"/>
      <w:divBdr>
        <w:top w:val="none" w:sz="0" w:space="0" w:color="auto"/>
        <w:left w:val="none" w:sz="0" w:space="0" w:color="auto"/>
        <w:bottom w:val="none" w:sz="0" w:space="0" w:color="auto"/>
        <w:right w:val="none" w:sz="0" w:space="0" w:color="auto"/>
      </w:divBdr>
    </w:div>
    <w:div w:id="1847011581">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200107911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e.ta-cayenne@juradm.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2AF5-F26B-4598-BE3F-361B1DC10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4367</Words>
  <Characters>24022</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2025-06-23T20:21:00Z</dcterms:created>
  <dcterms:modified xsi:type="dcterms:W3CDTF">2025-06-23T20:21:00Z</dcterms:modified>
</cp:coreProperties>
</file>