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F71B" w14:textId="77777777" w:rsidR="0058061B" w:rsidRPr="0058061B" w:rsidRDefault="00000000" w:rsidP="0058061B">
      <w:pPr>
        <w:pStyle w:val="Sansinterligne"/>
        <w:jc w:val="center"/>
        <w:rPr>
          <w:rFonts w:ascii="Times New Roman" w:hAnsi="Times New Roman"/>
        </w:rPr>
      </w:pPr>
      <w:bookmarkStart w:id="0" w:name="_Hlk19014300"/>
      <w:r>
        <w:rPr>
          <w:rFonts w:ascii="Aptos Display" w:eastAsia="Arial Narrow" w:hAnsi="Aptos Display" w:cs="Aptos Display"/>
          <w:noProof/>
        </w:rPr>
        <w:pict w14:anchorId="22E70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alt="Une image contenant texte, Police, logo, symbole&#10;&#10;Le contenu généré par l’IA peut être incorrect." style="width:299pt;height:57pt;visibility:visible">
            <v:imagedata r:id="rId11" o:title="Une image contenant texte, Police, logo, symbole&#10;&#10;Le contenu généré par l’IA peut être incorrect"/>
          </v:shape>
        </w:pict>
      </w:r>
    </w:p>
    <w:p w14:paraId="2FA5CC68" w14:textId="77777777" w:rsidR="0058061B" w:rsidRDefault="0058061B" w:rsidP="0058061B">
      <w:pPr>
        <w:pStyle w:val="Sansinterligne"/>
        <w:jc w:val="center"/>
        <w:rPr>
          <w:rFonts w:ascii="Times New Roman" w:hAnsi="Times New Roman"/>
        </w:rPr>
      </w:pPr>
    </w:p>
    <w:p w14:paraId="069F8687" w14:textId="77777777" w:rsidR="00322DF7" w:rsidRPr="0058061B" w:rsidRDefault="00322DF7" w:rsidP="0058061B">
      <w:pPr>
        <w:pStyle w:val="Sansinterligne"/>
        <w:jc w:val="center"/>
        <w:rPr>
          <w:rFonts w:ascii="Times New Roman" w:hAnsi="Times New Roman"/>
        </w:rPr>
      </w:pPr>
    </w:p>
    <w:p w14:paraId="30F8AD3B" w14:textId="657DFBC5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 xml:space="preserve">Consultation n° </w:t>
      </w:r>
      <w:r w:rsidRPr="00B219A1">
        <w:rPr>
          <w:rFonts w:ascii="Aptos Display" w:eastAsia="Arial Narrow" w:hAnsi="Aptos Display"/>
          <w:b/>
          <w:bCs/>
          <w:sz w:val="28"/>
          <w:szCs w:val="28"/>
        </w:rPr>
        <w:t>2025-EPA-</w:t>
      </w:r>
      <w:r w:rsidR="00B219A1" w:rsidRPr="00B219A1">
        <w:rPr>
          <w:rFonts w:ascii="Aptos Display" w:eastAsia="Arial Narrow" w:hAnsi="Aptos Display"/>
          <w:b/>
          <w:bCs/>
          <w:sz w:val="28"/>
          <w:szCs w:val="28"/>
        </w:rPr>
        <w:t>051</w:t>
      </w:r>
    </w:p>
    <w:p w14:paraId="4F1A6F26" w14:textId="77777777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>Marché Public de Services</w:t>
      </w:r>
    </w:p>
    <w:p w14:paraId="4426DFEB" w14:textId="77777777" w:rsidR="002C2C98" w:rsidRDefault="002C2C98" w:rsidP="0058061B">
      <w:pPr>
        <w:pStyle w:val="Sansinterligne"/>
        <w:jc w:val="center"/>
        <w:rPr>
          <w:rFonts w:ascii="Times New Roman" w:hAnsi="Times New Roman"/>
        </w:rPr>
      </w:pPr>
    </w:p>
    <w:p w14:paraId="22690F6B" w14:textId="77777777" w:rsidR="002C2C98" w:rsidRPr="00170194" w:rsidRDefault="002C2C98" w:rsidP="002C2C98">
      <w:pPr>
        <w:pStyle w:val="Sansinterligne"/>
        <w:jc w:val="center"/>
        <w:rPr>
          <w:rFonts w:ascii="Lato" w:hAnsi="Lato"/>
        </w:rPr>
      </w:pPr>
      <w:r w:rsidRPr="002C2C98">
        <w:rPr>
          <w:rFonts w:ascii="Aptos Display" w:eastAsia="Arial Narrow" w:hAnsi="Aptos Display" w:cs="Aptos Display"/>
          <w:b/>
          <w:sz w:val="28"/>
          <w:szCs w:val="28"/>
        </w:rPr>
        <w:tab/>
      </w:r>
    </w:p>
    <w:p w14:paraId="33813591" w14:textId="77777777" w:rsidR="002C2C98" w:rsidRPr="00C07DAB" w:rsidRDefault="002C2C98" w:rsidP="002C2C98">
      <w:pPr>
        <w:pStyle w:val="Sansinterligne"/>
        <w:pBdr>
          <w:top w:val="single" w:sz="12" w:space="1" w:color="31849B" w:shadow="1"/>
          <w:left w:val="single" w:sz="12" w:space="4" w:color="31849B" w:shadow="1"/>
          <w:bottom w:val="single" w:sz="12" w:space="1" w:color="31849B" w:shadow="1"/>
          <w:right w:val="single" w:sz="12" w:space="4" w:color="31849B" w:shadow="1"/>
        </w:pBdr>
        <w:shd w:val="clear" w:color="auto" w:fill="D9D9D9"/>
        <w:jc w:val="center"/>
        <w:rPr>
          <w:rFonts w:ascii="Lato" w:hAnsi="Lato"/>
          <w:b/>
          <w:color w:val="0070C0"/>
          <w:sz w:val="28"/>
          <w:szCs w:val="28"/>
        </w:rPr>
      </w:pP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PRESTATIONS DE </w:t>
      </w:r>
      <w:r>
        <w:rPr>
          <w:rFonts w:ascii="Lato" w:hAnsi="Lato"/>
          <w:b/>
          <w:bCs/>
          <w:color w:val="0070C0"/>
          <w:sz w:val="28"/>
          <w:szCs w:val="28"/>
        </w:rPr>
        <w:t xml:space="preserve">RESTAURATION VIA UNE </w:t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CAFETERIA </w:t>
      </w:r>
      <w:r>
        <w:br/>
      </w:r>
      <w:r>
        <w:rPr>
          <w:rFonts w:ascii="Lato" w:hAnsi="Lato"/>
          <w:b/>
          <w:bCs/>
          <w:color w:val="0070C0"/>
          <w:sz w:val="28"/>
          <w:szCs w:val="28"/>
        </w:rPr>
        <w:t>ET FRIGO</w:t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S CONNECTES </w:t>
      </w: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POUR </w:t>
      </w:r>
      <w:r>
        <w:rPr>
          <w:rFonts w:ascii="Lato" w:hAnsi="Lato"/>
          <w:b/>
          <w:bCs/>
          <w:color w:val="0070C0"/>
          <w:sz w:val="28"/>
          <w:szCs w:val="28"/>
        </w:rPr>
        <w:t>LE</w:t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 SITE DE JOUHAUX-TOUDIC</w:t>
      </w:r>
      <w:r>
        <w:rPr>
          <w:rFonts w:ascii="Lato" w:hAnsi="Lato"/>
          <w:b/>
          <w:bCs/>
          <w:color w:val="0070C0"/>
          <w:sz w:val="28"/>
          <w:szCs w:val="28"/>
        </w:rPr>
        <w:t xml:space="preserve"> DU GROUPE CCIR PARIS</w:t>
      </w:r>
      <w:r w:rsidR="00B026DB">
        <w:rPr>
          <w:rFonts w:ascii="Lato" w:hAnsi="Lato"/>
          <w:b/>
          <w:bCs/>
          <w:color w:val="0070C0"/>
          <w:sz w:val="28"/>
          <w:szCs w:val="28"/>
        </w:rPr>
        <w:t>-IDF</w:t>
      </w:r>
      <w:r>
        <w:br/>
      </w:r>
      <w:r w:rsidRPr="1EF56695">
        <w:rPr>
          <w:rFonts w:ascii="Lato" w:hAnsi="Lato"/>
          <w:b/>
          <w:color w:val="0070C0"/>
          <w:sz w:val="28"/>
          <w:szCs w:val="28"/>
        </w:rPr>
        <w:t>ET PRESTATIONS ANNEXES</w:t>
      </w:r>
    </w:p>
    <w:p w14:paraId="7EF0D044" w14:textId="77777777" w:rsidR="002C2C98" w:rsidRPr="00170194" w:rsidRDefault="002C2C98" w:rsidP="002C2C98">
      <w:pPr>
        <w:pStyle w:val="Sansinterligne"/>
        <w:pBdr>
          <w:top w:val="single" w:sz="12" w:space="1" w:color="31849B" w:shadow="1"/>
          <w:left w:val="single" w:sz="12" w:space="4" w:color="31849B" w:shadow="1"/>
          <w:bottom w:val="single" w:sz="12" w:space="1" w:color="31849B" w:shadow="1"/>
          <w:right w:val="single" w:sz="12" w:space="4" w:color="31849B" w:shadow="1"/>
        </w:pBdr>
        <w:shd w:val="clear" w:color="auto" w:fill="D9D9D9"/>
        <w:tabs>
          <w:tab w:val="center" w:pos="4536"/>
          <w:tab w:val="left" w:pos="7245"/>
        </w:tabs>
        <w:rPr>
          <w:rFonts w:ascii="Lato" w:hAnsi="Lato"/>
          <w:b/>
        </w:rPr>
      </w:pPr>
    </w:p>
    <w:p w14:paraId="7772C3AD" w14:textId="77777777" w:rsidR="003B0A86" w:rsidRPr="002C2C98" w:rsidRDefault="003B0A86" w:rsidP="00E411E0">
      <w:pPr>
        <w:pStyle w:val="Sansinterligne"/>
        <w:rPr>
          <w:b/>
          <w:sz w:val="36"/>
          <w:szCs w:val="36"/>
        </w:rPr>
      </w:pPr>
    </w:p>
    <w:p w14:paraId="08C9B12C" w14:textId="77777777" w:rsidR="0058061B" w:rsidRPr="002C2C98" w:rsidRDefault="0058061B" w:rsidP="0058061B">
      <w:pPr>
        <w:pStyle w:val="Sansinterligne"/>
        <w:jc w:val="center"/>
        <w:rPr>
          <w:rFonts w:ascii="Lato" w:hAnsi="Lato"/>
          <w:b/>
          <w:sz w:val="36"/>
          <w:szCs w:val="36"/>
        </w:rPr>
      </w:pPr>
      <w:r w:rsidRPr="002C2C98">
        <w:rPr>
          <w:rFonts w:ascii="Lato" w:hAnsi="Lato"/>
          <w:b/>
          <w:sz w:val="36"/>
          <w:szCs w:val="36"/>
        </w:rPr>
        <w:t>Cadre de Réponse Technique</w:t>
      </w:r>
    </w:p>
    <w:p w14:paraId="3C9E990F" w14:textId="77777777" w:rsidR="0058061B" w:rsidRPr="0003053A" w:rsidRDefault="0058061B" w:rsidP="0003053A">
      <w:pPr>
        <w:pStyle w:val="Sansinterligne"/>
        <w:spacing w:before="240"/>
        <w:jc w:val="center"/>
        <w:rPr>
          <w:rFonts w:ascii="Lato" w:hAnsi="Lato"/>
          <w:b/>
          <w:bCs/>
          <w:sz w:val="36"/>
          <w:szCs w:val="36"/>
        </w:rPr>
      </w:pPr>
      <w:r w:rsidRPr="002C2C98">
        <w:rPr>
          <w:rFonts w:ascii="Lato" w:hAnsi="Lato"/>
          <w:b/>
          <w:bCs/>
          <w:sz w:val="36"/>
          <w:szCs w:val="36"/>
        </w:rPr>
        <w:t>(CRT)</w:t>
      </w:r>
    </w:p>
    <w:bookmarkEnd w:id="0"/>
    <w:p w14:paraId="2B62B782" w14:textId="77777777" w:rsidR="00F62A0A" w:rsidRPr="00846868" w:rsidRDefault="00F62A0A" w:rsidP="00F62A0A">
      <w:pPr>
        <w:pStyle w:val="Sansinterligne"/>
        <w:jc w:val="both"/>
        <w:rPr>
          <w:rFonts w:ascii="Lato" w:hAnsi="Lato"/>
          <w:sz w:val="24"/>
          <w:szCs w:val="24"/>
        </w:rPr>
      </w:pPr>
    </w:p>
    <w:p w14:paraId="0526AEA7" w14:textId="77777777" w:rsidR="004155FA" w:rsidRDefault="00835DB3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  <w:r w:rsidRPr="00C438A8">
        <w:rPr>
          <w:rFonts w:ascii="Lato" w:hAnsi="Lato"/>
          <w:b/>
          <w:sz w:val="24"/>
          <w:szCs w:val="24"/>
          <w:u w:val="single"/>
        </w:rPr>
        <w:t>IMPORTANT</w:t>
      </w:r>
      <w:r w:rsidRPr="00C438A8">
        <w:rPr>
          <w:rFonts w:ascii="Lato" w:hAnsi="Lato"/>
          <w:b/>
          <w:sz w:val="24"/>
          <w:szCs w:val="24"/>
        </w:rPr>
        <w:t> :</w:t>
      </w:r>
    </w:p>
    <w:p w14:paraId="3806E787" w14:textId="77777777" w:rsidR="0012066F" w:rsidRPr="00C438A8" w:rsidRDefault="0012066F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BECFBFB" w14:textId="77777777" w:rsidR="00323D03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devra compléter le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C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R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T</w:t>
      </w:r>
      <w:r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ci-après afin de permettre l’analyse de son offre technique sur la base des critères techniques énoncés dans le règlement de consultation. </w:t>
      </w:r>
    </w:p>
    <w:p w14:paraId="4D8BD97F" w14:textId="77777777" w:rsidR="00BE3F52" w:rsidRPr="00742CDC" w:rsidRDefault="00BE3F52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0923CD28" w14:textId="77777777" w:rsidR="00742CDC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peut joindre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un mémoire technique 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au </w:t>
      </w:r>
      <w:r w:rsidRPr="00742CDC">
        <w:rPr>
          <w:rFonts w:ascii="Lato" w:eastAsia="Trebuchet MS" w:hAnsi="Lato" w:cs="Calibri"/>
          <w:b/>
          <w:sz w:val="24"/>
          <w:szCs w:val="24"/>
        </w:rPr>
        <w:t>C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Pr="00742CDC">
        <w:rPr>
          <w:rFonts w:ascii="Lato" w:eastAsia="Trebuchet MS" w:hAnsi="Lato" w:cs="Calibri"/>
          <w:b/>
          <w:sz w:val="24"/>
          <w:szCs w:val="24"/>
        </w:rPr>
        <w:t>R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Pr="00742CDC">
        <w:rPr>
          <w:rFonts w:ascii="Lato" w:eastAsia="Trebuchet MS" w:hAnsi="Lato" w:cs="Calibri"/>
          <w:b/>
          <w:sz w:val="24"/>
          <w:szCs w:val="24"/>
        </w:rPr>
        <w:t>T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. </w:t>
      </w:r>
    </w:p>
    <w:p w14:paraId="3D824036" w14:textId="77777777" w:rsidR="0003053A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>Auquel cas, il doit y faire référence en indiquant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, dans la colonne </w:t>
      </w:r>
      <w:r w:rsidR="00323D03" w:rsidRPr="00742CDC">
        <w:rPr>
          <w:rFonts w:ascii="Lato" w:eastAsia="Trebuchet MS" w:hAnsi="Lato" w:cs="Calibri"/>
          <w:bCs/>
          <w:i/>
          <w:iCs/>
          <w:sz w:val="24"/>
          <w:szCs w:val="24"/>
        </w:rPr>
        <w:t>« réponse du candidat sur ce critère »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 et pour à chaque sous-critère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concerné </w:t>
      </w:r>
      <w:r w:rsidRPr="00742CDC">
        <w:rPr>
          <w:rFonts w:ascii="Lato" w:eastAsia="Trebuchet MS" w:hAnsi="Lato" w:cs="Calibri"/>
          <w:bCs/>
          <w:sz w:val="24"/>
          <w:szCs w:val="24"/>
        </w:rPr>
        <w:t>l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a/</w:t>
      </w:r>
      <w:r w:rsidRPr="00742CDC">
        <w:rPr>
          <w:rFonts w:ascii="Lato" w:eastAsia="Trebuchet MS" w:hAnsi="Lato" w:cs="Calibri"/>
          <w:bCs/>
          <w:sz w:val="24"/>
          <w:szCs w:val="24"/>
        </w:rPr>
        <w:t>les page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correspondant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e(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à sa réponse dans le </w:t>
      </w:r>
      <w:r w:rsidRPr="00742CDC">
        <w:rPr>
          <w:rFonts w:ascii="Lato" w:eastAsia="Trebuchet MS" w:hAnsi="Lato" w:cs="Calibri"/>
          <w:b/>
          <w:sz w:val="24"/>
          <w:szCs w:val="24"/>
        </w:rPr>
        <w:t>Cadre de Réponse technique</w:t>
      </w:r>
      <w:r w:rsidRPr="00742CDC">
        <w:rPr>
          <w:rFonts w:ascii="Lato" w:eastAsia="Trebuchet MS" w:hAnsi="Lato" w:cs="Calibri"/>
          <w:bCs/>
          <w:sz w:val="24"/>
          <w:szCs w:val="24"/>
        </w:rPr>
        <w:t>.</w:t>
      </w:r>
    </w:p>
    <w:p w14:paraId="48E638CD" w14:textId="77777777" w:rsidR="00742CDC" w:rsidRPr="00742CDC" w:rsidRDefault="00742CDC" w:rsidP="00742CDC">
      <w:pPr>
        <w:spacing w:after="40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431DDA80" w14:textId="77777777" w:rsidR="0003053A" w:rsidRPr="00742CDC" w:rsidRDefault="0003053A" w:rsidP="005A6BCE">
      <w:pPr>
        <w:pStyle w:val="Sansinterligne"/>
        <w:jc w:val="both"/>
        <w:rPr>
          <w:rFonts w:ascii="Lato" w:hAnsi="Lato"/>
          <w:b/>
          <w:color w:val="FF0000"/>
          <w:sz w:val="24"/>
          <w:szCs w:val="24"/>
          <w:u w:val="single"/>
        </w:rPr>
      </w:pPr>
      <w:r w:rsidRPr="00742CDC">
        <w:rPr>
          <w:rFonts w:ascii="Lato" w:hAnsi="Lato"/>
          <w:b/>
          <w:color w:val="FF0000"/>
          <w:sz w:val="24"/>
          <w:szCs w:val="24"/>
        </w:rPr>
        <w:t>Toute proposition indiquée à l’offre Technique a valeur contractuelle.</w:t>
      </w:r>
    </w:p>
    <w:p w14:paraId="6B544C05" w14:textId="77777777" w:rsidR="00BE3F52" w:rsidRDefault="00BE3F52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p w14:paraId="1BF54EC2" w14:textId="77777777" w:rsidR="00AC3A15" w:rsidRPr="00742CDC" w:rsidRDefault="00AC3A15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L’Offre Technique est représentée par :</w:t>
      </w:r>
    </w:p>
    <w:p w14:paraId="2CDB3488" w14:textId="77777777" w:rsidR="00AC3A15" w:rsidRPr="00742CDC" w:rsidRDefault="00AC3A15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07B06E4" w14:textId="77777777" w:rsidR="00DA0DF2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Le Cadre de Réponse Technique</w:t>
      </w:r>
    </w:p>
    <w:p w14:paraId="3AC44F97" w14:textId="77777777" w:rsidR="00AC3A15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Annexe 1</w:t>
      </w:r>
      <w:r w:rsidR="00852960" w:rsidRPr="00742CDC">
        <w:rPr>
          <w:rFonts w:ascii="Lato" w:hAnsi="Lato"/>
          <w:bCs/>
          <w:sz w:val="24"/>
          <w:szCs w:val="24"/>
        </w:rPr>
        <w:t xml:space="preserve"> « </w:t>
      </w:r>
      <w:r w:rsidR="00AD6402">
        <w:rPr>
          <w:rFonts w:ascii="Lato" w:hAnsi="Lato"/>
          <w:bCs/>
          <w:sz w:val="24"/>
          <w:szCs w:val="24"/>
        </w:rPr>
        <w:t>Annexe_1_CRT_</w:t>
      </w:r>
      <w:r w:rsidR="00852960" w:rsidRPr="00742CDC">
        <w:rPr>
          <w:rFonts w:ascii="Lato" w:hAnsi="Lato"/>
          <w:bCs/>
          <w:sz w:val="24"/>
          <w:szCs w:val="24"/>
        </w:rPr>
        <w:t>Equipements</w:t>
      </w:r>
      <w:r w:rsidR="002C376F">
        <w:rPr>
          <w:rFonts w:ascii="Lato" w:hAnsi="Lato"/>
          <w:bCs/>
          <w:sz w:val="24"/>
          <w:szCs w:val="24"/>
        </w:rPr>
        <w:t>_</w:t>
      </w:r>
      <w:r w:rsidR="00852960" w:rsidRPr="00742CDC">
        <w:rPr>
          <w:rFonts w:ascii="Lato" w:hAnsi="Lato"/>
          <w:bCs/>
          <w:sz w:val="24"/>
          <w:szCs w:val="24"/>
        </w:rPr>
        <w:t>Titulaire »</w:t>
      </w:r>
    </w:p>
    <w:p w14:paraId="182E29F3" w14:textId="77777777" w:rsidR="0061491B" w:rsidRPr="00742CDC" w:rsidRDefault="00852960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Mémoire </w:t>
      </w:r>
      <w:r w:rsidR="00322DF7" w:rsidRPr="00742CDC">
        <w:rPr>
          <w:rFonts w:ascii="Lato" w:hAnsi="Lato"/>
          <w:bCs/>
          <w:sz w:val="24"/>
          <w:szCs w:val="24"/>
        </w:rPr>
        <w:t>tech</w:t>
      </w:r>
      <w:r w:rsidR="00E411E0" w:rsidRPr="00742CDC">
        <w:rPr>
          <w:rFonts w:ascii="Lato" w:hAnsi="Lato"/>
          <w:bCs/>
          <w:sz w:val="24"/>
          <w:szCs w:val="24"/>
        </w:rPr>
        <w:t>nique</w:t>
      </w:r>
      <w:r w:rsidRPr="00742CDC">
        <w:rPr>
          <w:rFonts w:ascii="Lato" w:hAnsi="Lato"/>
          <w:bCs/>
          <w:sz w:val="24"/>
          <w:szCs w:val="24"/>
        </w:rPr>
        <w:t xml:space="preserve"> (éventuel)</w:t>
      </w:r>
      <w:r w:rsidR="00E411E0" w:rsidRPr="00742CDC">
        <w:rPr>
          <w:rFonts w:ascii="Lato" w:hAnsi="Lato"/>
          <w:bCs/>
          <w:sz w:val="24"/>
          <w:szCs w:val="24"/>
        </w:rPr>
        <w:t> ;</w:t>
      </w:r>
    </w:p>
    <w:p w14:paraId="3E0C1DCD" w14:textId="77777777" w:rsidR="0061491B" w:rsidRPr="00742CDC" w:rsidRDefault="0061491B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1E02919" w14:textId="77777777" w:rsidR="00742CDC" w:rsidRPr="00742CDC" w:rsidRDefault="0061491B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L’ensemble est à remettre sous peine </w:t>
      </w:r>
      <w:r w:rsidR="007315B6" w:rsidRPr="00742CDC">
        <w:rPr>
          <w:rFonts w:ascii="Lato" w:hAnsi="Lato"/>
          <w:bCs/>
          <w:sz w:val="24"/>
          <w:szCs w:val="24"/>
        </w:rPr>
        <w:t>d’irrégularité de l’offre.</w:t>
      </w:r>
      <w:r w:rsidR="00742CDC" w:rsidRPr="00742CDC">
        <w:rPr>
          <w:rFonts w:ascii="Lato" w:hAnsi="Lato"/>
          <w:bCs/>
          <w:sz w:val="24"/>
          <w:szCs w:val="24"/>
        </w:rPr>
        <w:t xml:space="preserve"> </w:t>
      </w:r>
    </w:p>
    <w:p w14:paraId="3F9585F0" w14:textId="77777777" w:rsidR="004155FA" w:rsidRPr="00742CDC" w:rsidRDefault="004155FA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NE PAS REPRENDRE en l’état les éléments du CC</w:t>
      </w:r>
      <w:r w:rsidR="00846868" w:rsidRPr="00742CDC">
        <w:rPr>
          <w:rFonts w:ascii="Lato" w:hAnsi="Lato"/>
          <w:bCs/>
          <w:sz w:val="24"/>
          <w:szCs w:val="24"/>
        </w:rPr>
        <w:t>T</w:t>
      </w:r>
      <w:r w:rsidR="00EE40F7" w:rsidRPr="00742CDC">
        <w:rPr>
          <w:rFonts w:ascii="Lato" w:hAnsi="Lato"/>
          <w:bCs/>
          <w:sz w:val="24"/>
          <w:szCs w:val="24"/>
        </w:rPr>
        <w:t>P</w:t>
      </w:r>
      <w:r w:rsidR="00322DF7" w:rsidRPr="00742CDC">
        <w:rPr>
          <w:rFonts w:ascii="Lato" w:hAnsi="Lato"/>
          <w:bCs/>
          <w:sz w:val="24"/>
          <w:szCs w:val="24"/>
        </w:rPr>
        <w:t>. T</w:t>
      </w:r>
      <w:r w:rsidRPr="00742CDC">
        <w:rPr>
          <w:rFonts w:ascii="Lato" w:hAnsi="Lato"/>
          <w:bCs/>
          <w:sz w:val="24"/>
          <w:szCs w:val="24"/>
        </w:rPr>
        <w:t>out copier/coller sera con</w:t>
      </w:r>
      <w:r w:rsidR="007315B6" w:rsidRPr="00742CDC">
        <w:rPr>
          <w:rFonts w:ascii="Lato" w:hAnsi="Lato"/>
          <w:bCs/>
          <w:sz w:val="24"/>
          <w:szCs w:val="24"/>
        </w:rPr>
        <w:t>sidéré comme « non pertinent ».</w:t>
      </w:r>
    </w:p>
    <w:tbl>
      <w:tblPr>
        <w:tblW w:w="52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7"/>
        <w:gridCol w:w="5055"/>
      </w:tblGrid>
      <w:tr w:rsidR="00742CDC" w:rsidRPr="00633CCE" w14:paraId="756F6AAF" w14:textId="77777777" w:rsidTr="00AA58AE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66402AB7" w14:textId="06034937" w:rsidR="00742CDC" w:rsidRPr="00B51852" w:rsidRDefault="00742CDC" w:rsidP="00130D8E">
            <w:pPr>
              <w:spacing w:before="100" w:beforeAutospacing="1" w:after="100" w:afterAutospacing="1" w:line="240" w:lineRule="auto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lastRenderedPageBreak/>
              <w:t>Critère Valeur technique</w:t>
            </w:r>
            <w:r w:rsidR="00173522">
              <w:rPr>
                <w:rFonts w:eastAsia="Trebuchet MS" w:cs="Calibri"/>
                <w:b/>
                <w:sz w:val="28"/>
              </w:rPr>
              <w:t xml:space="preserve"> (45 points)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46B3A937" w14:textId="77777777" w:rsidR="00460DDB" w:rsidRPr="00B51852" w:rsidRDefault="00742CDC" w:rsidP="00B51852">
            <w:pPr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Réponse du candidat </w:t>
            </w:r>
            <w:r w:rsidR="00460DDB">
              <w:rPr>
                <w:rFonts w:eastAsia="Trebuchet MS" w:cs="Calibri"/>
                <w:b/>
                <w:sz w:val="28"/>
              </w:rPr>
              <w:t>sur ce critère</w:t>
            </w:r>
          </w:p>
        </w:tc>
      </w:tr>
      <w:tr w:rsidR="00B8753D" w:rsidRPr="00AD28F4" w14:paraId="55D0EAA2" w14:textId="77777777" w:rsidTr="004F4337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14:paraId="4E5CB542" w14:textId="78B3AAF3" w:rsidR="00B8753D" w:rsidRPr="00FA2CA3" w:rsidRDefault="00B8753D" w:rsidP="00130D8E">
            <w:pPr>
              <w:spacing w:before="40" w:after="40"/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</w:pPr>
            <w:r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Sous-critère</w:t>
            </w:r>
            <w:r w:rsidR="00FA2CA3"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1</w:t>
            </w:r>
            <w:r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- </w:t>
            </w:r>
            <w:r w:rsidR="00DC1922"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Phase de déploiement : Méthodologie, moyens humains et matériels mobilisés</w:t>
            </w:r>
            <w:r w:rsidR="00316D96"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(5 points)</w:t>
            </w:r>
          </w:p>
          <w:p w14:paraId="55A27E37" w14:textId="16DBB0A6" w:rsidR="00B8753D" w:rsidRPr="00B51852" w:rsidRDefault="00B8753D" w:rsidP="00032837">
            <w:pPr>
              <w:spacing w:before="40" w:after="40"/>
              <w:ind w:left="554" w:hanging="426"/>
              <w:rPr>
                <w:rFonts w:eastAsia="Trebuchet MS" w:cs="Calibri"/>
                <w:bCs/>
                <w:sz w:val="24"/>
                <w:szCs w:val="24"/>
              </w:rPr>
            </w:pP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Ce sous-critère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 xml:space="preserve">sera apprécié au regard des 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éléments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>suivants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> : </w:t>
            </w:r>
          </w:p>
        </w:tc>
      </w:tr>
      <w:tr w:rsidR="00742CDC" w:rsidRPr="00AD28F4" w14:paraId="109D3361" w14:textId="77777777" w:rsidTr="00AA58AE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385A9A88" w14:textId="65CE65A7" w:rsidR="00742CDC" w:rsidRDefault="00742CDC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Planning de déploiement, coordination des prestations dans le temps</w:t>
            </w:r>
            <w:r w:rsidR="00BE006F">
              <w:rPr>
                <w:rFonts w:eastAsia="Trebuchet MS" w:cs="Calibri"/>
                <w:bCs/>
              </w:rPr>
              <w:t xml:space="preserve"> et moyens mobilisés (humains et techniques)</w:t>
            </w:r>
            <w:r w:rsidR="0065571F">
              <w:rPr>
                <w:rFonts w:eastAsia="Trebuchet MS" w:cs="Calibri"/>
                <w:bCs/>
              </w:rPr>
              <w:t>, en adéquation avec les objectifs de déploiement fixés dans le CCTP</w:t>
            </w:r>
          </w:p>
          <w:p w14:paraId="4AC61CD9" w14:textId="209E333E" w:rsidR="00BE006F" w:rsidRPr="00032837" w:rsidRDefault="00BE006F" w:rsidP="00FF3600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D4D7C10" w14:textId="321E7C2A" w:rsidR="00742CDC" w:rsidRPr="00B51852" w:rsidRDefault="00742CDC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BB3908" w:rsidRPr="00AD28F4" w14:paraId="4803D8CF" w14:textId="77777777" w:rsidTr="00AA58AE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562506D" w14:textId="272E2417" w:rsidR="00FF3600" w:rsidRDefault="00FF3600" w:rsidP="00FF3600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Le prestataire doit indiquer sa bonne compréhension des enjeux de cette prestation, notamment la phase de montée en charge, y compris au regard du personnel mobilisé. </w:t>
            </w:r>
          </w:p>
          <w:p w14:paraId="62598D55" w14:textId="7BCA6845" w:rsidR="00BB3908" w:rsidRPr="00032837" w:rsidRDefault="00BB3908" w:rsidP="00FF3600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08FCEF9" w14:textId="77777777" w:rsidR="00BB3908" w:rsidRPr="00B51852" w:rsidRDefault="00BB3908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BB3908" w:rsidRPr="00AD28F4" w14:paraId="6E6C4FAB" w14:textId="77777777" w:rsidTr="00AA58AE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307823A" w14:textId="1F0F2770" w:rsidR="00BB3908" w:rsidRPr="00032837" w:rsidRDefault="00FF3600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Le prestataire indique comment il envisage de déclencher l’adhésion à son offre des utilisateurs du site, pour assurer un bon fonctionnement dès le démarrage des prestations.</w:t>
            </w:r>
          </w:p>
        </w:tc>
        <w:tc>
          <w:tcPr>
            <w:tcW w:w="2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321BC549" w14:textId="77777777" w:rsidR="00BB3908" w:rsidRPr="00B51852" w:rsidRDefault="00BB3908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144903" w:rsidRPr="00AD28F4" w14:paraId="5AAEC4ED" w14:textId="77777777" w:rsidTr="00AA58AE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7EB769B6" w14:textId="6680B04B" w:rsidR="00144903" w:rsidRDefault="00144903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Outils informatiques </w:t>
            </w:r>
            <w:r w:rsidR="0062159F">
              <w:rPr>
                <w:rFonts w:eastAsia="Trebuchet MS" w:cs="Calibri"/>
                <w:bCs/>
              </w:rPr>
              <w:t>déployés</w:t>
            </w:r>
          </w:p>
          <w:p w14:paraId="0FF66DEA" w14:textId="388A1297" w:rsidR="005A4804" w:rsidRDefault="005A4804" w:rsidP="005A4804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Le prestataire indique les solutions mises en place pour la gestion (commandes et leur suivi) des prestations de Room service et Crystal </w:t>
            </w:r>
          </w:p>
        </w:tc>
        <w:tc>
          <w:tcPr>
            <w:tcW w:w="2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7BE35131" w14:textId="77777777" w:rsidR="00144903" w:rsidRPr="00B51852" w:rsidRDefault="00144903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5A4804" w:rsidRPr="00AD28F4" w14:paraId="12C2AF33" w14:textId="77777777" w:rsidTr="00AA58AE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2DA61EB" w14:textId="786031BB" w:rsidR="005A4804" w:rsidRDefault="00094E3A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Moyens de paiements à disposition</w:t>
            </w:r>
            <w:r>
              <w:rPr>
                <w:rFonts w:eastAsia="Trebuchet MS" w:cs="Calibri"/>
                <w:bCs/>
              </w:rPr>
              <w:t xml:space="preserve"> (titres restaurant</w:t>
            </w:r>
            <w:r w:rsidR="003314DF">
              <w:rPr>
                <w:rFonts w:eastAsia="Trebuchet MS" w:cs="Calibri"/>
                <w:bCs/>
              </w:rPr>
              <w:t>, payement des utilisateurs extérieurs, prévention des éventuels comptes débiteurs / créditeurs…</w:t>
            </w:r>
            <w:r w:rsidRPr="00032837">
              <w:rPr>
                <w:rFonts w:eastAsia="Trebuchet MS" w:cs="Calibri"/>
                <w:bCs/>
              </w:rPr>
              <w:t>)</w:t>
            </w:r>
          </w:p>
        </w:tc>
        <w:tc>
          <w:tcPr>
            <w:tcW w:w="2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EEB44FF" w14:textId="77777777" w:rsidR="005A4804" w:rsidRPr="00B51852" w:rsidRDefault="005A4804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D04F72" w:rsidRPr="00AD28F4" w14:paraId="1D63BB1B" w14:textId="77777777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E8E8E8"/>
          </w:tcPr>
          <w:p w14:paraId="10BD2B21" w14:textId="39D71352" w:rsidR="00D04F72" w:rsidRPr="004B6E41" w:rsidRDefault="00D04F72" w:rsidP="00D04F72">
            <w:pPr>
              <w:spacing w:before="40" w:after="40"/>
              <w:rPr>
                <w:rFonts w:eastAsia="Trebuchet MS" w:cs="Calibri"/>
                <w:b/>
                <w:i/>
                <w:iCs/>
                <w:sz w:val="24"/>
                <w:szCs w:val="24"/>
              </w:rPr>
            </w:pP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Sous-critère </w:t>
            </w: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>2</w:t>
            </w: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- Phase de </w:t>
            </w:r>
            <w:r w:rsidR="004B6E41"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>fonctionnement</w:t>
            </w: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: Méthodologie, moyens humains et matériels mobilisés (</w:t>
            </w: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>2</w:t>
            </w:r>
            <w:r w:rsidRPr="004B6E41">
              <w:rPr>
                <w:rFonts w:eastAsia="Trebuchet MS" w:cs="Calibri"/>
                <w:b/>
                <w:i/>
                <w:iCs/>
                <w:sz w:val="24"/>
                <w:szCs w:val="24"/>
              </w:rPr>
              <w:t>5 points)</w:t>
            </w:r>
          </w:p>
          <w:p w14:paraId="0CE3E20D" w14:textId="442C48BC" w:rsidR="00D04F72" w:rsidRDefault="00D04F72" w:rsidP="00D04F7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Ce sous-critère </w:t>
            </w:r>
            <w:r>
              <w:rPr>
                <w:rFonts w:eastAsia="Trebuchet MS" w:cs="Calibri"/>
                <w:bCs/>
                <w:sz w:val="24"/>
                <w:szCs w:val="24"/>
              </w:rPr>
              <w:t xml:space="preserve">sera apprécié au regard des 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éléments </w:t>
            </w:r>
            <w:r>
              <w:rPr>
                <w:rFonts w:eastAsia="Trebuchet MS" w:cs="Calibri"/>
                <w:bCs/>
                <w:sz w:val="24"/>
                <w:szCs w:val="24"/>
              </w:rPr>
              <w:t>suivants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> : </w:t>
            </w:r>
          </w:p>
        </w:tc>
      </w:tr>
      <w:tr w:rsidR="0075738A" w:rsidRPr="00AD28F4" w14:paraId="2BEAE215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4F2963" w14:textId="08C2EBF7" w:rsidR="00837177" w:rsidRDefault="0075738A" w:rsidP="00837177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Description de la phase de fonctionnement après le déploiement</w:t>
            </w:r>
            <w:r w:rsidR="007B4E85">
              <w:rPr>
                <w:rFonts w:eastAsia="Trebuchet MS" w:cs="Calibri"/>
                <w:bCs/>
              </w:rPr>
              <w:t> : organisation détaillée de</w:t>
            </w:r>
            <w:r w:rsidR="00307ACC">
              <w:rPr>
                <w:rFonts w:eastAsia="Trebuchet MS" w:cs="Calibri"/>
                <w:bCs/>
              </w:rPr>
              <w:t>s</w:t>
            </w:r>
            <w:r w:rsidR="007B4E85">
              <w:rPr>
                <w:rFonts w:eastAsia="Trebuchet MS" w:cs="Calibri"/>
                <w:bCs/>
              </w:rPr>
              <w:t xml:space="preserve"> prestation</w:t>
            </w:r>
            <w:r w:rsidR="00307ACC">
              <w:rPr>
                <w:rFonts w:eastAsia="Trebuchet MS" w:cs="Calibri"/>
                <w:bCs/>
              </w:rPr>
              <w:t xml:space="preserve">s (offre comptoir, frigos connectés, </w:t>
            </w:r>
            <w:proofErr w:type="spellStart"/>
            <w:r w:rsidR="00307ACC">
              <w:rPr>
                <w:rFonts w:eastAsia="Trebuchet MS" w:cs="Calibri"/>
                <w:bCs/>
              </w:rPr>
              <w:t>crystal</w:t>
            </w:r>
            <w:proofErr w:type="spellEnd"/>
            <w:r w:rsidR="00307ACC">
              <w:rPr>
                <w:rFonts w:eastAsia="Trebuchet MS" w:cs="Calibri"/>
                <w:bCs/>
              </w:rPr>
              <w:t xml:space="preserve"> et room services…</w:t>
            </w:r>
            <w:r w:rsidR="00E5436E">
              <w:rPr>
                <w:rFonts w:eastAsia="Trebuchet MS" w:cs="Calibri"/>
                <w:bCs/>
              </w:rPr>
              <w:t xml:space="preserve">, ainsi que le cas échéant </w:t>
            </w:r>
            <w:r w:rsidR="00A57456">
              <w:rPr>
                <w:rFonts w:eastAsia="Trebuchet MS" w:cs="Calibri"/>
                <w:bCs/>
              </w:rPr>
              <w:t xml:space="preserve">la prestation « Clic &amp; </w:t>
            </w:r>
            <w:proofErr w:type="spellStart"/>
            <w:r w:rsidR="00A57456">
              <w:rPr>
                <w:rFonts w:eastAsia="Trebuchet MS" w:cs="Calibri"/>
                <w:bCs/>
              </w:rPr>
              <w:t>collect</w:t>
            </w:r>
            <w:proofErr w:type="spellEnd"/>
            <w:r w:rsidR="00A57456">
              <w:rPr>
                <w:rFonts w:eastAsia="Trebuchet MS" w:cs="Calibri"/>
                <w:bCs/>
              </w:rPr>
              <w:t> »</w:t>
            </w:r>
            <w:r w:rsidR="00307ACC">
              <w:rPr>
                <w:rFonts w:eastAsia="Trebuchet MS" w:cs="Calibri"/>
                <w:bCs/>
              </w:rPr>
              <w:t>)</w:t>
            </w:r>
            <w:r w:rsidR="007B4E85">
              <w:rPr>
                <w:rFonts w:eastAsia="Trebuchet MS" w:cs="Calibri"/>
                <w:bCs/>
              </w:rPr>
              <w:t xml:space="preserve"> au quotidien, moyens humains et techniques</w:t>
            </w:r>
            <w:r w:rsidR="0062159F">
              <w:rPr>
                <w:rFonts w:eastAsia="Trebuchet MS" w:cs="Calibri"/>
                <w:bCs/>
              </w:rPr>
              <w:t xml:space="preserve"> mobilisés</w:t>
            </w:r>
            <w:r w:rsidR="007B4E85">
              <w:rPr>
                <w:rFonts w:eastAsia="Trebuchet MS" w:cs="Calibri"/>
                <w:bCs/>
              </w:rPr>
              <w:t>…</w:t>
            </w:r>
          </w:p>
          <w:p w14:paraId="10A74193" w14:textId="1B850106" w:rsidR="007B4E85" w:rsidRPr="00837177" w:rsidRDefault="007B4E85" w:rsidP="00837177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B5939" w14:textId="77777777" w:rsidR="0075738A" w:rsidRPr="00B51852" w:rsidRDefault="0075738A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D123ED" w:rsidRPr="00AD28F4" w14:paraId="2BE52AB4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A51BD7" w14:textId="77777777" w:rsidR="00D123ED" w:rsidRDefault="00D123ED" w:rsidP="00837177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Adéquation des moyens humains avec les enjeux de la prestation</w:t>
            </w:r>
            <w:r>
              <w:rPr>
                <w:rFonts w:eastAsia="Trebuchet MS" w:cs="Calibri"/>
                <w:bCs/>
              </w:rPr>
              <w:t xml:space="preserve"> (profils, dont expérience &amp; compétences ; processus de recrutement, formation…) ; des CV des personnels pressentis peuvent être fournis à l’appui</w:t>
            </w:r>
          </w:p>
          <w:p w14:paraId="6CC506F4" w14:textId="6E5C3FCF" w:rsidR="00D123ED" w:rsidRDefault="00D123ED" w:rsidP="00D123ED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8B2EE" w14:textId="77777777" w:rsidR="00D123ED" w:rsidRPr="00B51852" w:rsidRDefault="00D123ED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D123ED" w:rsidRPr="00AD28F4" w14:paraId="36015A23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822F7D" w14:textId="76977847" w:rsidR="00D123ED" w:rsidRDefault="00D123ED" w:rsidP="00837177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Mesures visant à garantir la continuité de service : disponibilités des produits</w:t>
            </w:r>
            <w:r>
              <w:rPr>
                <w:rFonts w:eastAsia="Trebuchet MS" w:cs="Calibri"/>
                <w:bCs/>
              </w:rPr>
              <w:t>,</w:t>
            </w:r>
            <w:r w:rsidRPr="00032837">
              <w:rPr>
                <w:rFonts w:eastAsia="Trebuchet MS" w:cs="Calibri"/>
                <w:bCs/>
              </w:rPr>
              <w:t xml:space="preserve"> délai</w:t>
            </w:r>
            <w:r>
              <w:rPr>
                <w:rFonts w:eastAsia="Trebuchet MS" w:cs="Calibri"/>
                <w:bCs/>
              </w:rPr>
              <w:t>s</w:t>
            </w:r>
            <w:r w:rsidRPr="00032837">
              <w:rPr>
                <w:rFonts w:eastAsia="Trebuchet MS" w:cs="Calibri"/>
                <w:bCs/>
              </w:rPr>
              <w:t xml:space="preserve"> d’intervention en cas de dysfonctionnement</w:t>
            </w:r>
            <w:r>
              <w:rPr>
                <w:rFonts w:eastAsia="Trebuchet MS" w:cs="Calibri"/>
                <w:bCs/>
              </w:rPr>
              <w:t xml:space="preserve">, interventions de </w:t>
            </w:r>
            <w:r>
              <w:rPr>
                <w:rFonts w:eastAsia="Trebuchet MS" w:cs="Calibri"/>
                <w:bCs/>
              </w:rPr>
              <w:lastRenderedPageBreak/>
              <w:t>maintenance et de propreté sur son équipement (hors interventions de maintenance / propreté à la charge de la CCIR Paris-IDF)</w:t>
            </w:r>
          </w:p>
          <w:p w14:paraId="6D996D62" w14:textId="36813814" w:rsidR="00D123ED" w:rsidRPr="00032837" w:rsidRDefault="00D123ED" w:rsidP="00D123ED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47E8" w14:textId="77777777" w:rsidR="00D123ED" w:rsidRPr="00B51852" w:rsidRDefault="00D123ED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837177" w:rsidRPr="00AD28F4" w14:paraId="28894E01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63FD6" w14:textId="77777777" w:rsidR="00837177" w:rsidRDefault="00837177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837177">
              <w:rPr>
                <w:rFonts w:eastAsia="Trebuchet MS" w:cs="Calibri"/>
                <w:bCs/>
              </w:rPr>
              <w:t>Le prestataire décrit en particulier les modalités et les moyens de production des repas : élaboration des menus, cuisine centrale interne ou externe, capacité de la cuisine centrale, recours à des productions extérieures (ex. traiteurs…), répartition entre les différentes solutions le cas échéant…</w:t>
            </w:r>
          </w:p>
          <w:p w14:paraId="46FE5CFB" w14:textId="58850AE3" w:rsidR="00837177" w:rsidRDefault="00837177" w:rsidP="00837177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1F60E" w14:textId="77777777" w:rsidR="00837177" w:rsidRPr="00B51852" w:rsidRDefault="00837177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0E69AC3E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ADFEE" w14:textId="13741CB2" w:rsidR="00286EB0" w:rsidRDefault="00EF7721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Le prestataire décrit le </w:t>
            </w:r>
            <w:r w:rsidRPr="00032837">
              <w:rPr>
                <w:rFonts w:eastAsia="Trebuchet MS" w:cs="Calibri"/>
                <w:bCs/>
              </w:rPr>
              <w:t xml:space="preserve">Plan de performance </w:t>
            </w:r>
            <w:r>
              <w:rPr>
                <w:rFonts w:eastAsia="Trebuchet MS" w:cs="Calibri"/>
                <w:bCs/>
              </w:rPr>
              <w:t xml:space="preserve">proposés </w:t>
            </w:r>
            <w:r w:rsidRPr="00032837">
              <w:rPr>
                <w:rFonts w:eastAsia="Trebuchet MS" w:cs="Calibri"/>
                <w:bCs/>
              </w:rPr>
              <w:t>(enquêtes satisfactions, amélioration de l’offre</w:t>
            </w:r>
            <w:r>
              <w:rPr>
                <w:rFonts w:eastAsia="Trebuchet MS" w:cs="Calibri"/>
                <w:bCs/>
              </w:rPr>
              <w:t xml:space="preserve"> …</w:t>
            </w:r>
            <w:r w:rsidRPr="00032837">
              <w:rPr>
                <w:rFonts w:eastAsia="Trebuchet MS" w:cs="Calibri"/>
                <w:bCs/>
              </w:rPr>
              <w:t>)</w:t>
            </w:r>
            <w:r w:rsidR="00F040D9">
              <w:rPr>
                <w:rFonts w:eastAsia="Trebuchet MS" w:cs="Calibri"/>
                <w:bCs/>
              </w:rPr>
              <w:t>, afin de maintenir l’adhésion à son offre</w:t>
            </w:r>
            <w:r w:rsidR="007C27D9">
              <w:rPr>
                <w:rFonts w:eastAsia="Trebuchet MS" w:cs="Calibri"/>
                <w:bCs/>
              </w:rPr>
              <w:t xml:space="preserve"> des utilisateurs de la prestation</w:t>
            </w:r>
          </w:p>
          <w:p w14:paraId="79C8C13D" w14:textId="424B3AC6" w:rsidR="004B5663" w:rsidRPr="00032837" w:rsidRDefault="004B5663" w:rsidP="004B5663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A396C" w14:textId="77777777" w:rsidR="00286EB0" w:rsidRPr="00B51852" w:rsidRDefault="00286EB0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377339B7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7584A" w14:textId="05D8E89A" w:rsidR="00286EB0" w:rsidRDefault="00286EB0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 xml:space="preserve">Gestion de la communication et </w:t>
            </w:r>
            <w:r w:rsidR="007C27D9">
              <w:rPr>
                <w:rFonts w:eastAsia="Trebuchet MS" w:cs="Calibri"/>
                <w:bCs/>
              </w:rPr>
              <w:t>de l’</w:t>
            </w:r>
            <w:r w:rsidRPr="00032837">
              <w:rPr>
                <w:rFonts w:eastAsia="Trebuchet MS" w:cs="Calibri"/>
                <w:bCs/>
              </w:rPr>
              <w:t>information</w:t>
            </w:r>
            <w:r w:rsidR="00540290">
              <w:rPr>
                <w:rFonts w:eastAsia="Trebuchet MS" w:cs="Calibri"/>
                <w:bCs/>
              </w:rPr>
              <w:t xml:space="preserve"> globale</w:t>
            </w:r>
          </w:p>
          <w:p w14:paraId="07018F5C" w14:textId="2D90A3D5" w:rsidR="00540290" w:rsidRPr="00032837" w:rsidRDefault="00540290" w:rsidP="00540290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55ED0" w14:textId="77777777" w:rsidR="00286EB0" w:rsidRPr="00B51852" w:rsidRDefault="00286EB0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3C9EA59B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8A841" w14:textId="77777777" w:rsidR="00286EB0" w:rsidRDefault="00286EB0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proofErr w:type="spellStart"/>
            <w:r w:rsidRPr="00032837">
              <w:rPr>
                <w:rFonts w:eastAsia="Trebuchet MS" w:cs="Calibri"/>
                <w:bCs/>
              </w:rPr>
              <w:t>Reporting</w:t>
            </w:r>
            <w:proofErr w:type="spellEnd"/>
            <w:r w:rsidR="007C27D9">
              <w:rPr>
                <w:rFonts w:eastAsia="Trebuchet MS" w:cs="Calibri"/>
                <w:bCs/>
              </w:rPr>
              <w:t xml:space="preserve"> proposé</w:t>
            </w:r>
          </w:p>
          <w:p w14:paraId="00893DE6" w14:textId="340527FD" w:rsidR="00540290" w:rsidRPr="00032837" w:rsidRDefault="00540290" w:rsidP="00540290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855C1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66AA88FF" w14:textId="77777777" w:rsidTr="00032837">
        <w:trPr>
          <w:jc w:val="center"/>
        </w:trPr>
        <w:tc>
          <w:tcPr>
            <w:tcW w:w="2591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595A876" w14:textId="77777777" w:rsidR="00286EB0" w:rsidRDefault="00286EB0" w:rsidP="002A6BCB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Organisation relative à la fin d’exécution du marché</w:t>
            </w:r>
          </w:p>
          <w:p w14:paraId="2D43FE25" w14:textId="77777777" w:rsidR="00540290" w:rsidRPr="00AA58AE" w:rsidRDefault="00540290" w:rsidP="00AA3ABC">
            <w:pPr>
              <w:spacing w:before="40" w:after="40" w:line="240" w:lineRule="auto"/>
              <w:ind w:left="412"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4799088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6A46C5BF" w14:textId="77777777" w:rsidTr="004F4337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14:paraId="37568570" w14:textId="257107B6" w:rsidR="00286EB0" w:rsidRPr="004E3036" w:rsidRDefault="00286EB0" w:rsidP="00FA2CA3">
            <w:pPr>
              <w:spacing w:before="40" w:after="40"/>
              <w:jc w:val="both"/>
              <w:rPr>
                <w:rFonts w:eastAsia="Trebuchet MS" w:cs="Calibri"/>
                <w:b/>
                <w:i/>
                <w:iCs/>
                <w:sz w:val="24"/>
                <w:szCs w:val="24"/>
              </w:rPr>
            </w:pP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>Sous-critère n°</w:t>
            </w:r>
            <w:r w:rsidR="00DC1922">
              <w:rPr>
                <w:rFonts w:eastAsia="Trebuchet MS" w:cs="Calibri"/>
                <w:b/>
                <w:i/>
                <w:iCs/>
                <w:sz w:val="24"/>
                <w:szCs w:val="24"/>
              </w:rPr>
              <w:t>3</w:t>
            </w: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- Qualité de l’offre</w:t>
            </w:r>
            <w:r w:rsidR="00DC1922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de</w:t>
            </w: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repas, </w:t>
            </w:r>
            <w:r w:rsidR="00DC1922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de consommation et des </w:t>
            </w: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>Animations</w:t>
            </w:r>
            <w:r w:rsidR="00FA2CA3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(15 points)</w:t>
            </w:r>
          </w:p>
          <w:p w14:paraId="0D49FB9F" w14:textId="59A132EA" w:rsidR="00286EB0" w:rsidRPr="00B51852" w:rsidRDefault="00286EB0" w:rsidP="004E3036">
            <w:pPr>
              <w:spacing w:before="40" w:after="40"/>
              <w:ind w:left="554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Ce sous-critère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 xml:space="preserve">est apprécié au regard des 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éléments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>suivants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 :</w:t>
            </w:r>
          </w:p>
        </w:tc>
      </w:tr>
      <w:tr w:rsidR="00286EB0" w:rsidRPr="00AD28F4" w14:paraId="62EA4CC3" w14:textId="77777777" w:rsidTr="00B51852">
        <w:trPr>
          <w:jc w:val="center"/>
        </w:trPr>
        <w:tc>
          <w:tcPr>
            <w:tcW w:w="2591" w:type="pct"/>
            <w:tcBorders>
              <w:top w:val="single" w:sz="8" w:space="0" w:color="auto"/>
            </w:tcBorders>
            <w:shd w:val="clear" w:color="auto" w:fill="auto"/>
          </w:tcPr>
          <w:p w14:paraId="381D1910" w14:textId="73E5F4DF" w:rsidR="00286EB0" w:rsidRPr="00032837" w:rsidRDefault="00286EB0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Fra</w:t>
            </w:r>
            <w:r w:rsidR="00DC1922">
              <w:rPr>
                <w:rFonts w:eastAsia="Trebuchet MS" w:cs="Calibri"/>
                <w:bCs/>
              </w:rPr>
              <w:t>î</w:t>
            </w:r>
            <w:r w:rsidRPr="00032837">
              <w:rPr>
                <w:rFonts w:eastAsia="Trebuchet MS" w:cs="Calibri"/>
                <w:bCs/>
              </w:rPr>
              <w:t>cheur et saveur des produits</w:t>
            </w:r>
          </w:p>
        </w:tc>
        <w:tc>
          <w:tcPr>
            <w:tcW w:w="2409" w:type="pct"/>
            <w:tcBorders>
              <w:top w:val="single" w:sz="8" w:space="0" w:color="auto"/>
            </w:tcBorders>
            <w:shd w:val="clear" w:color="auto" w:fill="auto"/>
          </w:tcPr>
          <w:p w14:paraId="4F574B23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5044C42D" w14:textId="77777777" w:rsidTr="00B51852">
        <w:trPr>
          <w:jc w:val="center"/>
        </w:trPr>
        <w:tc>
          <w:tcPr>
            <w:tcW w:w="2591" w:type="pct"/>
            <w:shd w:val="clear" w:color="auto" w:fill="auto"/>
          </w:tcPr>
          <w:p w14:paraId="61439382" w14:textId="77777777" w:rsidR="0061480E" w:rsidRDefault="0061480E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La diversité des produits </w:t>
            </w:r>
          </w:p>
          <w:p w14:paraId="518FC6E1" w14:textId="04E6D73D" w:rsidR="00286EB0" w:rsidRPr="00032837" w:rsidRDefault="0061480E" w:rsidP="0061480E">
            <w:pPr>
              <w:spacing w:before="40" w:after="40" w:line="240" w:lineRule="auto"/>
              <w:ind w:left="408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(</w:t>
            </w:r>
            <w:proofErr w:type="gramStart"/>
            <w:r>
              <w:rPr>
                <w:rFonts w:eastAsia="Trebuchet MS" w:cs="Calibri"/>
                <w:bCs/>
              </w:rPr>
              <w:t>cf.</w:t>
            </w:r>
            <w:proofErr w:type="gramEnd"/>
            <w:r>
              <w:rPr>
                <w:rFonts w:eastAsia="Trebuchet MS" w:cs="Calibri"/>
                <w:bCs/>
              </w:rPr>
              <w:t xml:space="preserve"> </w:t>
            </w:r>
            <w:r w:rsidR="00286EB0" w:rsidRPr="00032837">
              <w:rPr>
                <w:rFonts w:eastAsia="Trebuchet MS" w:cs="Calibri"/>
                <w:bCs/>
              </w:rPr>
              <w:t>Présentation régulière de nouveaux produits</w:t>
            </w:r>
            <w:r>
              <w:rPr>
                <w:rFonts w:eastAsia="Trebuchet MS" w:cs="Calibri"/>
                <w:bCs/>
              </w:rPr>
              <w:t xml:space="preserve">, rotation des menus, </w:t>
            </w:r>
            <w:r w:rsidR="00420245">
              <w:rPr>
                <w:rFonts w:eastAsia="Trebuchet MS" w:cs="Calibri"/>
                <w:bCs/>
              </w:rPr>
              <w:t>diversité de l’offre…</w:t>
            </w:r>
            <w:r w:rsidR="00286EB0" w:rsidRPr="00032837">
              <w:rPr>
                <w:rFonts w:eastAsia="Trebuchet MS" w:cs="Calibri"/>
                <w:bCs/>
              </w:rPr>
              <w:t>)</w:t>
            </w:r>
          </w:p>
        </w:tc>
        <w:tc>
          <w:tcPr>
            <w:tcW w:w="2409" w:type="pct"/>
            <w:shd w:val="clear" w:color="auto" w:fill="auto"/>
          </w:tcPr>
          <w:p w14:paraId="13CD911D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24F2DF06" w14:textId="77777777" w:rsidTr="00B51852">
        <w:trPr>
          <w:jc w:val="center"/>
        </w:trPr>
        <w:tc>
          <w:tcPr>
            <w:tcW w:w="2591" w:type="pct"/>
            <w:shd w:val="clear" w:color="auto" w:fill="auto"/>
          </w:tcPr>
          <w:p w14:paraId="7926C67D" w14:textId="77777777" w:rsidR="00286EB0" w:rsidRPr="00032837" w:rsidRDefault="00286EB0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Traçabilité des produits, gestion des approvisionnements, des stocks et des Dates Limites de Consommation</w:t>
            </w:r>
          </w:p>
        </w:tc>
        <w:tc>
          <w:tcPr>
            <w:tcW w:w="2409" w:type="pct"/>
            <w:shd w:val="clear" w:color="auto" w:fill="auto"/>
          </w:tcPr>
          <w:p w14:paraId="5F99A8F0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7702E" w:rsidRPr="00AD28F4" w14:paraId="2DC26791" w14:textId="77777777" w:rsidTr="00B51852">
        <w:trPr>
          <w:jc w:val="center"/>
        </w:trPr>
        <w:tc>
          <w:tcPr>
            <w:tcW w:w="2591" w:type="pct"/>
            <w:shd w:val="clear" w:color="auto" w:fill="auto"/>
          </w:tcPr>
          <w:p w14:paraId="20577EAC" w14:textId="5249256D" w:rsidR="00A7702E" w:rsidRPr="00032837" w:rsidRDefault="00A7702E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Niveau d’information concernant les plats et consommations proposés à destination des utilisateurs (ex. : calories, allergène…)</w:t>
            </w:r>
          </w:p>
        </w:tc>
        <w:tc>
          <w:tcPr>
            <w:tcW w:w="2409" w:type="pct"/>
            <w:shd w:val="clear" w:color="auto" w:fill="auto"/>
          </w:tcPr>
          <w:p w14:paraId="57A34607" w14:textId="77777777" w:rsidR="00A7702E" w:rsidRPr="00B51852" w:rsidRDefault="00A7702E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051700F6" w14:textId="77777777" w:rsidTr="00B51852">
        <w:trPr>
          <w:jc w:val="center"/>
        </w:trPr>
        <w:tc>
          <w:tcPr>
            <w:tcW w:w="2591" w:type="pct"/>
            <w:shd w:val="clear" w:color="auto" w:fill="auto"/>
          </w:tcPr>
          <w:p w14:paraId="1462A8DF" w14:textId="77777777" w:rsidR="00286EB0" w:rsidRPr="00032837" w:rsidRDefault="00286EB0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Offre complémentaire proposée</w:t>
            </w:r>
          </w:p>
        </w:tc>
        <w:tc>
          <w:tcPr>
            <w:tcW w:w="2409" w:type="pct"/>
            <w:shd w:val="clear" w:color="auto" w:fill="auto"/>
          </w:tcPr>
          <w:p w14:paraId="27F535A0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286EB0" w:rsidRPr="00AD28F4" w14:paraId="62FEF649" w14:textId="77777777" w:rsidTr="00032837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auto"/>
          </w:tcPr>
          <w:p w14:paraId="5E8C9BEE" w14:textId="77777777" w:rsidR="00032837" w:rsidRPr="00032837" w:rsidRDefault="00286EB0" w:rsidP="002A6BCB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Animations (thèmes, fréquence, format)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auto"/>
          </w:tcPr>
          <w:p w14:paraId="5346ED00" w14:textId="77777777" w:rsidR="00286EB0" w:rsidRPr="00B51852" w:rsidRDefault="00286EB0" w:rsidP="00286EB0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3B92FA19" w14:textId="77777777" w:rsidR="00032837" w:rsidRDefault="00032837" w:rsidP="00742CDC">
      <w:pPr>
        <w:spacing w:before="40" w:after="40"/>
        <w:jc w:val="both"/>
        <w:rPr>
          <w:rFonts w:eastAsia="Trebuchet MS" w:cs="Calibri"/>
          <w:bCs/>
          <w:sz w:val="28"/>
        </w:rPr>
      </w:pPr>
    </w:p>
    <w:p w14:paraId="109164A1" w14:textId="77777777" w:rsidR="00032837" w:rsidRPr="00AD28F4" w:rsidRDefault="00032837" w:rsidP="00742CDC">
      <w:pPr>
        <w:spacing w:before="40" w:after="40"/>
        <w:jc w:val="both"/>
        <w:rPr>
          <w:rFonts w:eastAsia="Trebuchet MS" w:cs="Calibri"/>
          <w:bCs/>
          <w:sz w:val="28"/>
        </w:rPr>
      </w:pPr>
    </w:p>
    <w:tbl>
      <w:tblPr>
        <w:tblW w:w="52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7"/>
        <w:gridCol w:w="5055"/>
      </w:tblGrid>
      <w:tr w:rsidR="00FA5C13" w:rsidRPr="00B51852" w14:paraId="6006612D" w14:textId="77777777" w:rsidTr="00B51852">
        <w:tc>
          <w:tcPr>
            <w:tcW w:w="2591" w:type="pct"/>
            <w:shd w:val="clear" w:color="auto" w:fill="C1E4F5"/>
            <w:vAlign w:val="center"/>
          </w:tcPr>
          <w:p w14:paraId="34CE3C45" w14:textId="169D3E29" w:rsidR="00FA5C13" w:rsidRPr="00B51852" w:rsidRDefault="00FA5C13" w:rsidP="002A6BCB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ind w:left="462"/>
              <w:jc w:val="both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Critère </w:t>
            </w:r>
            <w:r w:rsidR="003648C2" w:rsidRPr="00B51852">
              <w:rPr>
                <w:rFonts w:eastAsia="Trebuchet MS" w:cs="Calibri"/>
                <w:b/>
                <w:sz w:val="28"/>
              </w:rPr>
              <w:t>RSE</w:t>
            </w:r>
            <w:r w:rsidR="00420245">
              <w:rPr>
                <w:rFonts w:eastAsia="Trebuchet MS" w:cs="Calibri"/>
                <w:b/>
                <w:sz w:val="28"/>
              </w:rPr>
              <w:t xml:space="preserve"> (10 points)</w:t>
            </w:r>
          </w:p>
        </w:tc>
        <w:tc>
          <w:tcPr>
            <w:tcW w:w="2409" w:type="pct"/>
            <w:shd w:val="clear" w:color="auto" w:fill="C1E4F5"/>
            <w:vAlign w:val="center"/>
          </w:tcPr>
          <w:p w14:paraId="66EAFD5A" w14:textId="77777777" w:rsidR="00FA5C13" w:rsidRPr="00B51852" w:rsidRDefault="00FA5C13" w:rsidP="00B51852">
            <w:pPr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>Réponse du candidat sur ce critère</w:t>
            </w:r>
          </w:p>
        </w:tc>
      </w:tr>
      <w:tr w:rsidR="00FA5C13" w:rsidRPr="00B51852" w14:paraId="36BDC8F7" w14:textId="77777777" w:rsidTr="00B51852">
        <w:tc>
          <w:tcPr>
            <w:tcW w:w="2591" w:type="pct"/>
            <w:tcBorders>
              <w:bottom w:val="nil"/>
            </w:tcBorders>
            <w:shd w:val="clear" w:color="auto" w:fill="auto"/>
          </w:tcPr>
          <w:p w14:paraId="6FCAE25F" w14:textId="79312757" w:rsidR="00FA5C13" w:rsidRPr="00032837" w:rsidRDefault="003648C2" w:rsidP="00032837">
            <w:pPr>
              <w:spacing w:before="40" w:after="40"/>
              <w:ind w:left="36"/>
              <w:rPr>
                <w:rFonts w:eastAsia="Trebuchet MS" w:cs="Calibri"/>
                <w:b/>
                <w:i/>
                <w:iCs/>
              </w:rPr>
            </w:pPr>
            <w:r w:rsidRPr="00032837">
              <w:rPr>
                <w:rFonts w:eastAsia="Trebuchet MS" w:cs="Calibri"/>
                <w:b/>
                <w:i/>
                <w:iCs/>
              </w:rPr>
              <w:t xml:space="preserve">Ce critère </w:t>
            </w:r>
            <w:r w:rsidR="00420245">
              <w:rPr>
                <w:rFonts w:eastAsia="Trebuchet MS" w:cs="Calibri"/>
                <w:b/>
                <w:i/>
                <w:iCs/>
              </w:rPr>
              <w:t>est apprécié au regard d</w:t>
            </w:r>
            <w:r w:rsidRPr="00032837">
              <w:rPr>
                <w:rFonts w:eastAsia="Trebuchet MS" w:cs="Calibri"/>
                <w:b/>
                <w:i/>
                <w:iCs/>
              </w:rPr>
              <w:t>es éléments suivants :</w:t>
            </w:r>
          </w:p>
          <w:p w14:paraId="555B4D59" w14:textId="2259B8FB" w:rsidR="003648C2" w:rsidRPr="00032837" w:rsidRDefault="003648C2" w:rsidP="002A6BCB">
            <w:pPr>
              <w:numPr>
                <w:ilvl w:val="0"/>
                <w:numId w:val="9"/>
              </w:numPr>
              <w:spacing w:before="40" w:after="40" w:line="240" w:lineRule="auto"/>
              <w:ind w:left="320" w:right="8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lastRenderedPageBreak/>
              <w:t>Filière d’approvisionnement : recours aux produits locaux, durables, circuit-court dans le cadre de l’exécution du marché</w:t>
            </w:r>
          </w:p>
        </w:tc>
        <w:tc>
          <w:tcPr>
            <w:tcW w:w="2409" w:type="pct"/>
            <w:tcBorders>
              <w:bottom w:val="nil"/>
            </w:tcBorders>
            <w:shd w:val="clear" w:color="auto" w:fill="auto"/>
          </w:tcPr>
          <w:p w14:paraId="2AB32C78" w14:textId="77777777" w:rsidR="00FA5C13" w:rsidRPr="00B51852" w:rsidRDefault="00FA5C13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FA5C13" w:rsidRPr="00B51852" w14:paraId="114EA3DC" w14:textId="77777777" w:rsidTr="00B51852">
        <w:tc>
          <w:tcPr>
            <w:tcW w:w="2591" w:type="pct"/>
            <w:shd w:val="clear" w:color="auto" w:fill="auto"/>
          </w:tcPr>
          <w:p w14:paraId="0B36684B" w14:textId="579AF755" w:rsidR="00E373DF" w:rsidRDefault="00B219A1" w:rsidP="002A6BCB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 w:line="240" w:lineRule="auto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Engagement</w:t>
            </w:r>
            <w:r w:rsidR="00E373DF">
              <w:rPr>
                <w:rFonts w:eastAsia="Trebuchet MS" w:cs="Calibri"/>
                <w:bCs/>
              </w:rPr>
              <w:t>s</w:t>
            </w:r>
            <w:r>
              <w:rPr>
                <w:rFonts w:eastAsia="Trebuchet MS" w:cs="Calibri"/>
                <w:bCs/>
              </w:rPr>
              <w:t xml:space="preserve"> d</w:t>
            </w:r>
            <w:r w:rsidR="00E373DF">
              <w:rPr>
                <w:rFonts w:eastAsia="Trebuchet MS" w:cs="Calibri"/>
                <w:bCs/>
              </w:rPr>
              <w:t>u</w:t>
            </w:r>
            <w:r>
              <w:rPr>
                <w:rFonts w:eastAsia="Trebuchet MS" w:cs="Calibri"/>
                <w:bCs/>
              </w:rPr>
              <w:t xml:space="preserve"> </w:t>
            </w:r>
            <w:r w:rsidR="003648C2" w:rsidRPr="00032837">
              <w:rPr>
                <w:rFonts w:eastAsia="Trebuchet MS" w:cs="Calibri"/>
                <w:bCs/>
              </w:rPr>
              <w:t>Taux moyen</w:t>
            </w:r>
            <w:r w:rsidR="00E373DF">
              <w:rPr>
                <w:rFonts w:eastAsia="Trebuchet MS" w:cs="Calibri"/>
                <w:bCs/>
              </w:rPr>
              <w:t xml:space="preserve"> des achats de</w:t>
            </w:r>
            <w:r w:rsidR="003648C2" w:rsidRPr="00032837">
              <w:rPr>
                <w:rFonts w:eastAsia="Trebuchet MS" w:cs="Calibri"/>
                <w:bCs/>
              </w:rPr>
              <w:t xml:space="preserve"> produits durables que le Titulaire compte atteindre et les modalités d’information en la matière</w:t>
            </w:r>
            <w:r w:rsidR="00E373DF">
              <w:rPr>
                <w:rFonts w:eastAsia="Trebuchet MS" w:cs="Calibri"/>
                <w:bCs/>
              </w:rPr>
              <w:t xml:space="preserve"> </w:t>
            </w:r>
            <w:r w:rsidRPr="00E373DF">
              <w:rPr>
                <w:rFonts w:eastAsia="Trebuchet MS" w:cs="Calibri"/>
                <w:bCs/>
              </w:rPr>
              <w:t xml:space="preserve">(cf. loi </w:t>
            </w:r>
            <w:proofErr w:type="spellStart"/>
            <w:r w:rsidRPr="00E373DF">
              <w:rPr>
                <w:rFonts w:eastAsia="Trebuchet MS" w:cs="Calibri"/>
                <w:bCs/>
              </w:rPr>
              <w:t>Egalim</w:t>
            </w:r>
            <w:proofErr w:type="spellEnd"/>
            <w:r w:rsidRPr="00E373DF">
              <w:rPr>
                <w:rFonts w:eastAsia="Trebuchet MS" w:cs="Calibri"/>
                <w:bCs/>
              </w:rPr>
              <w:t>…)</w:t>
            </w:r>
          </w:p>
          <w:p w14:paraId="29D38F9D" w14:textId="40586759" w:rsidR="00E373DF" w:rsidRPr="00032837" w:rsidRDefault="00E373DF" w:rsidP="002A6BCB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 w:line="240" w:lineRule="auto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Autres engagements au regard des produits durables</w:t>
            </w:r>
          </w:p>
        </w:tc>
        <w:tc>
          <w:tcPr>
            <w:tcW w:w="2409" w:type="pct"/>
            <w:shd w:val="clear" w:color="auto" w:fill="auto"/>
          </w:tcPr>
          <w:p w14:paraId="34393262" w14:textId="77777777" w:rsidR="00FA5C13" w:rsidRPr="00B51852" w:rsidRDefault="00FA5C13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3648C2" w:rsidRPr="00B51852" w14:paraId="2D08DAA2" w14:textId="77777777" w:rsidTr="00B51852">
        <w:tc>
          <w:tcPr>
            <w:tcW w:w="2591" w:type="pct"/>
            <w:shd w:val="clear" w:color="auto" w:fill="auto"/>
          </w:tcPr>
          <w:p w14:paraId="10F0E2A0" w14:textId="41D5F06E" w:rsidR="003648C2" w:rsidRPr="00032837" w:rsidRDefault="00B219A1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Engagement</w:t>
            </w:r>
            <w:r w:rsidR="00E373DF">
              <w:rPr>
                <w:rFonts w:eastAsia="Trebuchet MS" w:cs="Calibri"/>
                <w:bCs/>
              </w:rPr>
              <w:t>s</w:t>
            </w:r>
            <w:r>
              <w:rPr>
                <w:rFonts w:eastAsia="Trebuchet MS" w:cs="Calibri"/>
                <w:bCs/>
              </w:rPr>
              <w:t xml:space="preserve"> du </w:t>
            </w:r>
            <w:r w:rsidR="003648C2" w:rsidRPr="00032837">
              <w:rPr>
                <w:rFonts w:eastAsia="Trebuchet MS" w:cs="Calibri"/>
                <w:bCs/>
              </w:rPr>
              <w:t>Taux moyen d</w:t>
            </w:r>
            <w:r w:rsidR="00E373DF">
              <w:rPr>
                <w:rFonts w:eastAsia="Trebuchet MS" w:cs="Calibri"/>
                <w:bCs/>
              </w:rPr>
              <w:t>es achats de</w:t>
            </w:r>
            <w:r w:rsidR="003648C2" w:rsidRPr="00032837">
              <w:rPr>
                <w:rFonts w:eastAsia="Trebuchet MS" w:cs="Calibri"/>
                <w:bCs/>
              </w:rPr>
              <w:t xml:space="preserve"> produits de saison qu’il compte atteindre</w:t>
            </w:r>
          </w:p>
        </w:tc>
        <w:tc>
          <w:tcPr>
            <w:tcW w:w="2409" w:type="pct"/>
            <w:shd w:val="clear" w:color="auto" w:fill="auto"/>
          </w:tcPr>
          <w:p w14:paraId="0432D458" w14:textId="77777777" w:rsidR="003648C2" w:rsidRPr="00B51852" w:rsidRDefault="003648C2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3648C2" w:rsidRPr="00B51852" w14:paraId="13273E28" w14:textId="77777777" w:rsidTr="00B51852">
        <w:tc>
          <w:tcPr>
            <w:tcW w:w="2591" w:type="pct"/>
            <w:shd w:val="clear" w:color="auto" w:fill="auto"/>
          </w:tcPr>
          <w:p w14:paraId="47B84833" w14:textId="30B5C2D1" w:rsidR="003648C2" w:rsidRPr="00032837" w:rsidRDefault="00C179CF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/>
                <w:i/>
                <w:iCs/>
              </w:rPr>
            </w:pPr>
            <w:r w:rsidRPr="00032837">
              <w:rPr>
                <w:rFonts w:eastAsia="Trebuchet MS" w:cs="Calibri"/>
                <w:bCs/>
              </w:rPr>
              <w:t xml:space="preserve">Modalités de lutte anti-gaspillage </w:t>
            </w:r>
            <w:r w:rsidR="00B219A1">
              <w:rPr>
                <w:rFonts w:eastAsia="Trebuchet MS" w:cs="Calibri"/>
                <w:bCs/>
              </w:rPr>
              <w:t xml:space="preserve">alimentaire </w:t>
            </w:r>
            <w:r w:rsidRPr="00032837">
              <w:rPr>
                <w:rFonts w:eastAsia="Trebuchet MS" w:cs="Calibri"/>
                <w:bCs/>
              </w:rPr>
              <w:t xml:space="preserve">(moyens pour limiter la production de déchets, produits atteignant la DLC et </w:t>
            </w:r>
            <w:r w:rsidR="00E373DF">
              <w:rPr>
                <w:rFonts w:eastAsia="Trebuchet MS" w:cs="Calibri"/>
                <w:bCs/>
              </w:rPr>
              <w:t xml:space="preserve">gestion des </w:t>
            </w:r>
            <w:r w:rsidRPr="00032837">
              <w:rPr>
                <w:rFonts w:eastAsia="Trebuchet MS" w:cs="Calibri"/>
                <w:bCs/>
              </w:rPr>
              <w:t>invendus</w:t>
            </w:r>
            <w:r w:rsidR="00E373DF">
              <w:rPr>
                <w:rFonts w:eastAsia="Trebuchet MS" w:cs="Calibri"/>
                <w:bCs/>
              </w:rPr>
              <w:t>…</w:t>
            </w:r>
            <w:r w:rsidRPr="00032837">
              <w:rPr>
                <w:rFonts w:eastAsia="Trebuchet MS" w:cs="Calibri"/>
                <w:bCs/>
              </w:rPr>
              <w:t>)</w:t>
            </w:r>
          </w:p>
        </w:tc>
        <w:tc>
          <w:tcPr>
            <w:tcW w:w="2409" w:type="pct"/>
            <w:shd w:val="clear" w:color="auto" w:fill="auto"/>
          </w:tcPr>
          <w:p w14:paraId="03B6B415" w14:textId="77777777" w:rsidR="003648C2" w:rsidRPr="00B51852" w:rsidRDefault="003648C2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B219A1" w:rsidRPr="00B51852" w14:paraId="2EB0AFF2" w14:textId="77777777" w:rsidTr="00B51852">
        <w:tc>
          <w:tcPr>
            <w:tcW w:w="2591" w:type="pct"/>
            <w:shd w:val="clear" w:color="auto" w:fill="auto"/>
          </w:tcPr>
          <w:p w14:paraId="427BD218" w14:textId="06EACBAD" w:rsidR="00B219A1" w:rsidRPr="00032837" w:rsidRDefault="00B219A1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 xml:space="preserve">Modalités de </w:t>
            </w:r>
            <w:r>
              <w:rPr>
                <w:rFonts w:eastAsia="Trebuchet MS" w:cs="Calibri"/>
                <w:bCs/>
              </w:rPr>
              <w:t>limitation</w:t>
            </w:r>
            <w:r w:rsidRPr="00032837">
              <w:rPr>
                <w:rFonts w:eastAsia="Trebuchet MS" w:cs="Calibri"/>
                <w:bCs/>
              </w:rPr>
              <w:t xml:space="preserve"> des produits d’emballage (moyens pour limiter la production de déchets)</w:t>
            </w:r>
          </w:p>
        </w:tc>
        <w:tc>
          <w:tcPr>
            <w:tcW w:w="2409" w:type="pct"/>
            <w:shd w:val="clear" w:color="auto" w:fill="auto"/>
          </w:tcPr>
          <w:p w14:paraId="2337CC98" w14:textId="77777777" w:rsidR="00B219A1" w:rsidRPr="00B51852" w:rsidRDefault="00B219A1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3648C2" w:rsidRPr="00B51852" w14:paraId="2D1BE7F8" w14:textId="77777777" w:rsidTr="00B51852">
        <w:tc>
          <w:tcPr>
            <w:tcW w:w="2591" w:type="pct"/>
            <w:shd w:val="clear" w:color="auto" w:fill="auto"/>
          </w:tcPr>
          <w:p w14:paraId="638844AB" w14:textId="594AAE89" w:rsidR="003648C2" w:rsidRPr="00032837" w:rsidRDefault="00C179CF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Sobriété électrique (caractéristiques énergétiques et réparabilité des équipements déployés sur site</w:t>
            </w:r>
            <w:r w:rsidR="00E373DF">
              <w:rPr>
                <w:rFonts w:eastAsia="Trebuchet MS" w:cs="Calibri"/>
                <w:bCs/>
              </w:rPr>
              <w:t>)</w:t>
            </w:r>
          </w:p>
        </w:tc>
        <w:tc>
          <w:tcPr>
            <w:tcW w:w="2409" w:type="pct"/>
            <w:shd w:val="clear" w:color="auto" w:fill="auto"/>
          </w:tcPr>
          <w:p w14:paraId="7DBF408A" w14:textId="77777777" w:rsidR="003648C2" w:rsidRPr="00B51852" w:rsidRDefault="003648C2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3648C2" w:rsidRPr="00B51852" w14:paraId="470445D3" w14:textId="77777777" w:rsidTr="00B51852">
        <w:tc>
          <w:tcPr>
            <w:tcW w:w="2591" w:type="pct"/>
            <w:shd w:val="clear" w:color="auto" w:fill="auto"/>
          </w:tcPr>
          <w:p w14:paraId="229ED60F" w14:textId="77777777" w:rsidR="003648C2" w:rsidRPr="00032837" w:rsidRDefault="00C179CF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Réduction de l’empreinte carbone (moyens mis en œuvre dans la chaine de production et le transport des denrées)</w:t>
            </w:r>
          </w:p>
        </w:tc>
        <w:tc>
          <w:tcPr>
            <w:tcW w:w="2409" w:type="pct"/>
            <w:shd w:val="clear" w:color="auto" w:fill="auto"/>
          </w:tcPr>
          <w:p w14:paraId="4286C36F" w14:textId="77777777" w:rsidR="003648C2" w:rsidRPr="00B51852" w:rsidRDefault="003648C2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F718D5" w:rsidRPr="00B51852" w14:paraId="5A87F416" w14:textId="77777777" w:rsidTr="00B51852">
        <w:tc>
          <w:tcPr>
            <w:tcW w:w="2591" w:type="pct"/>
            <w:shd w:val="clear" w:color="auto" w:fill="auto"/>
          </w:tcPr>
          <w:p w14:paraId="4DBED6AE" w14:textId="11726450" w:rsidR="00F718D5" w:rsidRPr="00032837" w:rsidRDefault="00F718D5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Impact env</w:t>
            </w:r>
            <w:r w:rsidR="000D37B1">
              <w:rPr>
                <w:rFonts w:eastAsia="Trebuchet MS" w:cs="Calibri"/>
                <w:bCs/>
              </w:rPr>
              <w:t>i</w:t>
            </w:r>
            <w:r>
              <w:rPr>
                <w:rFonts w:eastAsia="Trebuchet MS" w:cs="Calibri"/>
                <w:bCs/>
              </w:rPr>
              <w:t>ronnement</w:t>
            </w:r>
            <w:r w:rsidR="000D37B1">
              <w:rPr>
                <w:rFonts w:eastAsia="Trebuchet MS" w:cs="Calibri"/>
                <w:bCs/>
              </w:rPr>
              <w:t>al des produits de nettoyage utilisés</w:t>
            </w:r>
          </w:p>
        </w:tc>
        <w:tc>
          <w:tcPr>
            <w:tcW w:w="2409" w:type="pct"/>
            <w:shd w:val="clear" w:color="auto" w:fill="auto"/>
          </w:tcPr>
          <w:p w14:paraId="2D3EBA90" w14:textId="77777777" w:rsidR="00F718D5" w:rsidRPr="00B51852" w:rsidRDefault="00F718D5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C179CF" w:rsidRPr="00B51852" w14:paraId="52C9E754" w14:textId="77777777" w:rsidTr="00B51852">
        <w:tc>
          <w:tcPr>
            <w:tcW w:w="2591" w:type="pct"/>
            <w:shd w:val="clear" w:color="auto" w:fill="auto"/>
          </w:tcPr>
          <w:p w14:paraId="09F79AF4" w14:textId="77777777" w:rsidR="00C179CF" w:rsidRPr="00032837" w:rsidRDefault="00C179CF" w:rsidP="002A6BCB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Engagements en faveur de l’emploi de personnes éloignées du marché du travail dans le cadre de l’exécution du présent marché</w:t>
            </w:r>
          </w:p>
        </w:tc>
        <w:tc>
          <w:tcPr>
            <w:tcW w:w="2409" w:type="pct"/>
            <w:shd w:val="clear" w:color="auto" w:fill="auto"/>
          </w:tcPr>
          <w:p w14:paraId="7B003A4F" w14:textId="77777777" w:rsidR="00C179CF" w:rsidRPr="00B51852" w:rsidRDefault="00C179CF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26BC5A75" w14:textId="77777777" w:rsidR="005362F4" w:rsidRPr="00032837" w:rsidRDefault="005362F4" w:rsidP="00032837">
      <w:pPr>
        <w:tabs>
          <w:tab w:val="left" w:pos="579"/>
          <w:tab w:val="left" w:pos="1701"/>
        </w:tabs>
        <w:spacing w:line="300" w:lineRule="exact"/>
        <w:jc w:val="both"/>
        <w:rPr>
          <w:rFonts w:ascii="Aptos" w:hAnsi="Aptos" w:cs="Aptos"/>
          <w:b/>
          <w:bCs/>
          <w:color w:val="000000"/>
        </w:rPr>
      </w:pPr>
    </w:p>
    <w:sectPr w:rsidR="005362F4" w:rsidRPr="00032837" w:rsidSect="004F4337">
      <w:pgSz w:w="11906" w:h="16838"/>
      <w:pgMar w:top="1440" w:right="1080" w:bottom="1440" w:left="1080" w:header="708" w:footer="708" w:gutter="0"/>
      <w:pgBorders w:offsetFrom="page">
        <w:bottom w:val="single" w:sz="8" w:space="24" w:color="A6A6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3C99" w14:textId="77777777" w:rsidR="005015AD" w:rsidRDefault="005015AD" w:rsidP="00B50E2C">
      <w:pPr>
        <w:spacing w:after="0" w:line="240" w:lineRule="auto"/>
      </w:pPr>
      <w:r>
        <w:separator/>
      </w:r>
    </w:p>
  </w:endnote>
  <w:endnote w:type="continuationSeparator" w:id="0">
    <w:p w14:paraId="1702F8FB" w14:textId="77777777" w:rsidR="005015AD" w:rsidRDefault="005015AD" w:rsidP="00B5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28AF5D0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9977" w14:textId="77777777" w:rsidR="005015AD" w:rsidRDefault="005015AD" w:rsidP="00B50E2C">
      <w:pPr>
        <w:spacing w:after="0" w:line="240" w:lineRule="auto"/>
      </w:pPr>
      <w:r>
        <w:separator/>
      </w:r>
    </w:p>
  </w:footnote>
  <w:footnote w:type="continuationSeparator" w:id="0">
    <w:p w14:paraId="1D2D5011" w14:textId="77777777" w:rsidR="005015AD" w:rsidRDefault="005015AD" w:rsidP="00B5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092D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76939"/>
    <w:multiLevelType w:val="multilevel"/>
    <w:tmpl w:val="BDCE3D9E"/>
    <w:styleLink w:val="111111"/>
    <w:lvl w:ilvl="0">
      <w:start w:val="1"/>
      <w:numFmt w:val="decimal"/>
      <w:isLgl/>
      <w:suff w:val="space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8A518B"/>
    <w:multiLevelType w:val="hybridMultilevel"/>
    <w:tmpl w:val="15026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B1D85"/>
    <w:multiLevelType w:val="multilevel"/>
    <w:tmpl w:val="4F0C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13BF0"/>
    <w:multiLevelType w:val="hybridMultilevel"/>
    <w:tmpl w:val="42D2D4C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DC52974"/>
    <w:multiLevelType w:val="hybridMultilevel"/>
    <w:tmpl w:val="DC46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86558"/>
    <w:multiLevelType w:val="multilevel"/>
    <w:tmpl w:val="362C9E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E81FA0"/>
    <w:multiLevelType w:val="multilevel"/>
    <w:tmpl w:val="3BD2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67F39"/>
    <w:multiLevelType w:val="multilevel"/>
    <w:tmpl w:val="D2C0986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ED1196"/>
    <w:multiLevelType w:val="multilevel"/>
    <w:tmpl w:val="D33ADA0C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EAC1B0D"/>
    <w:multiLevelType w:val="hybridMultilevel"/>
    <w:tmpl w:val="F84AB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21C54"/>
    <w:multiLevelType w:val="hybridMultilevel"/>
    <w:tmpl w:val="E278A84C"/>
    <w:lvl w:ilvl="0" w:tplc="040C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 w16cid:durableId="180583141">
    <w:abstractNumId w:val="8"/>
  </w:num>
  <w:num w:numId="2" w16cid:durableId="1639798474">
    <w:abstractNumId w:val="0"/>
  </w:num>
  <w:num w:numId="3" w16cid:durableId="473454434">
    <w:abstractNumId w:val="1"/>
  </w:num>
  <w:num w:numId="4" w16cid:durableId="50933897">
    <w:abstractNumId w:val="4"/>
  </w:num>
  <w:num w:numId="5" w16cid:durableId="929630272">
    <w:abstractNumId w:val="9"/>
  </w:num>
  <w:num w:numId="6" w16cid:durableId="761489645">
    <w:abstractNumId w:val="7"/>
  </w:num>
  <w:num w:numId="7" w16cid:durableId="554194871">
    <w:abstractNumId w:val="3"/>
  </w:num>
  <w:num w:numId="8" w16cid:durableId="1538346913">
    <w:abstractNumId w:val="6"/>
  </w:num>
  <w:num w:numId="9" w16cid:durableId="167915137">
    <w:abstractNumId w:val="5"/>
  </w:num>
  <w:num w:numId="10" w16cid:durableId="2012487086">
    <w:abstractNumId w:val="11"/>
  </w:num>
  <w:num w:numId="11" w16cid:durableId="1732536079">
    <w:abstractNumId w:val="10"/>
  </w:num>
  <w:num w:numId="12" w16cid:durableId="22741988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55FA"/>
    <w:rsid w:val="00000774"/>
    <w:rsid w:val="0003053A"/>
    <w:rsid w:val="00032837"/>
    <w:rsid w:val="000364DE"/>
    <w:rsid w:val="00051DBF"/>
    <w:rsid w:val="000575EF"/>
    <w:rsid w:val="00057CB4"/>
    <w:rsid w:val="0006343D"/>
    <w:rsid w:val="00085713"/>
    <w:rsid w:val="00091E33"/>
    <w:rsid w:val="00092103"/>
    <w:rsid w:val="0009408B"/>
    <w:rsid w:val="00094E3A"/>
    <w:rsid w:val="000A489E"/>
    <w:rsid w:val="000B136E"/>
    <w:rsid w:val="000B3404"/>
    <w:rsid w:val="000B4749"/>
    <w:rsid w:val="000C2A68"/>
    <w:rsid w:val="000D00FD"/>
    <w:rsid w:val="000D37B1"/>
    <w:rsid w:val="000E0309"/>
    <w:rsid w:val="000E236B"/>
    <w:rsid w:val="000F1C58"/>
    <w:rsid w:val="0010389D"/>
    <w:rsid w:val="0012066F"/>
    <w:rsid w:val="00130D8E"/>
    <w:rsid w:val="00131411"/>
    <w:rsid w:val="00135796"/>
    <w:rsid w:val="00135897"/>
    <w:rsid w:val="001444C2"/>
    <w:rsid w:val="00144903"/>
    <w:rsid w:val="001550F2"/>
    <w:rsid w:val="001556DF"/>
    <w:rsid w:val="00173522"/>
    <w:rsid w:val="00175E60"/>
    <w:rsid w:val="00184462"/>
    <w:rsid w:val="0018769C"/>
    <w:rsid w:val="00192172"/>
    <w:rsid w:val="001B3612"/>
    <w:rsid w:val="001C52E4"/>
    <w:rsid w:val="001D056E"/>
    <w:rsid w:val="001F3236"/>
    <w:rsid w:val="001F5D62"/>
    <w:rsid w:val="00200B59"/>
    <w:rsid w:val="002010CC"/>
    <w:rsid w:val="002234BA"/>
    <w:rsid w:val="002331C8"/>
    <w:rsid w:val="00252A11"/>
    <w:rsid w:val="0025712E"/>
    <w:rsid w:val="00270392"/>
    <w:rsid w:val="00271192"/>
    <w:rsid w:val="00286EB0"/>
    <w:rsid w:val="00287912"/>
    <w:rsid w:val="00290F13"/>
    <w:rsid w:val="00291DBC"/>
    <w:rsid w:val="002929A2"/>
    <w:rsid w:val="002A0A8C"/>
    <w:rsid w:val="002A6BCB"/>
    <w:rsid w:val="002B3B4E"/>
    <w:rsid w:val="002C2C98"/>
    <w:rsid w:val="002C376F"/>
    <w:rsid w:val="002D0B3F"/>
    <w:rsid w:val="002D3407"/>
    <w:rsid w:val="002D51E8"/>
    <w:rsid w:val="002D5C05"/>
    <w:rsid w:val="002D76E9"/>
    <w:rsid w:val="002D7E4D"/>
    <w:rsid w:val="002E3927"/>
    <w:rsid w:val="002E75E3"/>
    <w:rsid w:val="00307ACC"/>
    <w:rsid w:val="00310E70"/>
    <w:rsid w:val="00316D96"/>
    <w:rsid w:val="00322DF7"/>
    <w:rsid w:val="00323D03"/>
    <w:rsid w:val="003314DF"/>
    <w:rsid w:val="00334723"/>
    <w:rsid w:val="00346762"/>
    <w:rsid w:val="0035608E"/>
    <w:rsid w:val="003648C2"/>
    <w:rsid w:val="0037268C"/>
    <w:rsid w:val="00380A18"/>
    <w:rsid w:val="00391117"/>
    <w:rsid w:val="00393466"/>
    <w:rsid w:val="003B0A86"/>
    <w:rsid w:val="003D0FEF"/>
    <w:rsid w:val="003D43D3"/>
    <w:rsid w:val="003D70C1"/>
    <w:rsid w:val="003E2D8C"/>
    <w:rsid w:val="003E32AE"/>
    <w:rsid w:val="003E6A7F"/>
    <w:rsid w:val="003F5EA9"/>
    <w:rsid w:val="00402B27"/>
    <w:rsid w:val="004043F5"/>
    <w:rsid w:val="004155FA"/>
    <w:rsid w:val="004170EE"/>
    <w:rsid w:val="00420245"/>
    <w:rsid w:val="00424C26"/>
    <w:rsid w:val="00430832"/>
    <w:rsid w:val="00447BC8"/>
    <w:rsid w:val="00447C65"/>
    <w:rsid w:val="0045231B"/>
    <w:rsid w:val="00460DDB"/>
    <w:rsid w:val="00482AF9"/>
    <w:rsid w:val="004911D8"/>
    <w:rsid w:val="00493228"/>
    <w:rsid w:val="004B5663"/>
    <w:rsid w:val="004B6E41"/>
    <w:rsid w:val="004C1AD6"/>
    <w:rsid w:val="004C71FC"/>
    <w:rsid w:val="004D670C"/>
    <w:rsid w:val="004E3036"/>
    <w:rsid w:val="004E56D2"/>
    <w:rsid w:val="004E58A6"/>
    <w:rsid w:val="004F269C"/>
    <w:rsid w:val="004F4337"/>
    <w:rsid w:val="005015AD"/>
    <w:rsid w:val="005049DA"/>
    <w:rsid w:val="005154F5"/>
    <w:rsid w:val="00520017"/>
    <w:rsid w:val="005362F4"/>
    <w:rsid w:val="00540290"/>
    <w:rsid w:val="00543A05"/>
    <w:rsid w:val="00543DDE"/>
    <w:rsid w:val="00545B5A"/>
    <w:rsid w:val="0055495E"/>
    <w:rsid w:val="00555629"/>
    <w:rsid w:val="0058061B"/>
    <w:rsid w:val="00587B88"/>
    <w:rsid w:val="00593825"/>
    <w:rsid w:val="005964EC"/>
    <w:rsid w:val="005A1F66"/>
    <w:rsid w:val="005A4804"/>
    <w:rsid w:val="005A6BCE"/>
    <w:rsid w:val="005B6898"/>
    <w:rsid w:val="005C35EF"/>
    <w:rsid w:val="005C63BA"/>
    <w:rsid w:val="005D2445"/>
    <w:rsid w:val="005E1498"/>
    <w:rsid w:val="0061480E"/>
    <w:rsid w:val="0061491B"/>
    <w:rsid w:val="0062159F"/>
    <w:rsid w:val="00623740"/>
    <w:rsid w:val="00630AC2"/>
    <w:rsid w:val="00635672"/>
    <w:rsid w:val="0065571F"/>
    <w:rsid w:val="0068146E"/>
    <w:rsid w:val="00683BA2"/>
    <w:rsid w:val="00685B5E"/>
    <w:rsid w:val="00692798"/>
    <w:rsid w:val="00694270"/>
    <w:rsid w:val="00694E4B"/>
    <w:rsid w:val="0069541F"/>
    <w:rsid w:val="00696D2E"/>
    <w:rsid w:val="006A05D7"/>
    <w:rsid w:val="006A4020"/>
    <w:rsid w:val="006B5F87"/>
    <w:rsid w:val="006C5C8D"/>
    <w:rsid w:val="00700A1B"/>
    <w:rsid w:val="00705E91"/>
    <w:rsid w:val="0071306E"/>
    <w:rsid w:val="00713789"/>
    <w:rsid w:val="0073010B"/>
    <w:rsid w:val="00730A41"/>
    <w:rsid w:val="007315B6"/>
    <w:rsid w:val="00741FE3"/>
    <w:rsid w:val="00742CDC"/>
    <w:rsid w:val="00750583"/>
    <w:rsid w:val="0075738A"/>
    <w:rsid w:val="00760A59"/>
    <w:rsid w:val="00762402"/>
    <w:rsid w:val="00762AC0"/>
    <w:rsid w:val="00765792"/>
    <w:rsid w:val="00770DCB"/>
    <w:rsid w:val="00790B75"/>
    <w:rsid w:val="007B4E85"/>
    <w:rsid w:val="007C27D9"/>
    <w:rsid w:val="007C556D"/>
    <w:rsid w:val="007E6D37"/>
    <w:rsid w:val="007F3F2C"/>
    <w:rsid w:val="00807D92"/>
    <w:rsid w:val="00827CE2"/>
    <w:rsid w:val="00831A17"/>
    <w:rsid w:val="00835DB3"/>
    <w:rsid w:val="00837177"/>
    <w:rsid w:val="00846868"/>
    <w:rsid w:val="00852960"/>
    <w:rsid w:val="00865CDB"/>
    <w:rsid w:val="0087245E"/>
    <w:rsid w:val="008A43D6"/>
    <w:rsid w:val="008B31F0"/>
    <w:rsid w:val="008B5645"/>
    <w:rsid w:val="008B5C62"/>
    <w:rsid w:val="008D3100"/>
    <w:rsid w:val="008F07C5"/>
    <w:rsid w:val="00900EAF"/>
    <w:rsid w:val="00902656"/>
    <w:rsid w:val="0090303E"/>
    <w:rsid w:val="00905C97"/>
    <w:rsid w:val="00911042"/>
    <w:rsid w:val="00912485"/>
    <w:rsid w:val="009206A9"/>
    <w:rsid w:val="00926ECF"/>
    <w:rsid w:val="009307B9"/>
    <w:rsid w:val="009458E8"/>
    <w:rsid w:val="009628E7"/>
    <w:rsid w:val="0096517D"/>
    <w:rsid w:val="00971078"/>
    <w:rsid w:val="009738F2"/>
    <w:rsid w:val="009A203C"/>
    <w:rsid w:val="009B4ADB"/>
    <w:rsid w:val="009C4B85"/>
    <w:rsid w:val="009C702C"/>
    <w:rsid w:val="009E1AB7"/>
    <w:rsid w:val="009E403F"/>
    <w:rsid w:val="009F6FD5"/>
    <w:rsid w:val="00A24895"/>
    <w:rsid w:val="00A3746F"/>
    <w:rsid w:val="00A46915"/>
    <w:rsid w:val="00A52EE1"/>
    <w:rsid w:val="00A551E0"/>
    <w:rsid w:val="00A55AD6"/>
    <w:rsid w:val="00A57065"/>
    <w:rsid w:val="00A57456"/>
    <w:rsid w:val="00A7702E"/>
    <w:rsid w:val="00AA3ABC"/>
    <w:rsid w:val="00AA58AE"/>
    <w:rsid w:val="00AA7502"/>
    <w:rsid w:val="00AB5263"/>
    <w:rsid w:val="00AC3A15"/>
    <w:rsid w:val="00AD6402"/>
    <w:rsid w:val="00AE0001"/>
    <w:rsid w:val="00AE48C1"/>
    <w:rsid w:val="00B026DB"/>
    <w:rsid w:val="00B15F37"/>
    <w:rsid w:val="00B16B6B"/>
    <w:rsid w:val="00B1711C"/>
    <w:rsid w:val="00B219A1"/>
    <w:rsid w:val="00B46A42"/>
    <w:rsid w:val="00B50E2C"/>
    <w:rsid w:val="00B51852"/>
    <w:rsid w:val="00B52B3B"/>
    <w:rsid w:val="00B60931"/>
    <w:rsid w:val="00B70E6D"/>
    <w:rsid w:val="00B8464A"/>
    <w:rsid w:val="00B8659B"/>
    <w:rsid w:val="00B8753D"/>
    <w:rsid w:val="00B9554B"/>
    <w:rsid w:val="00BA00CA"/>
    <w:rsid w:val="00BA77D6"/>
    <w:rsid w:val="00BB3908"/>
    <w:rsid w:val="00BE006F"/>
    <w:rsid w:val="00BE3F52"/>
    <w:rsid w:val="00C02D13"/>
    <w:rsid w:val="00C179CF"/>
    <w:rsid w:val="00C20513"/>
    <w:rsid w:val="00C268A3"/>
    <w:rsid w:val="00C27F17"/>
    <w:rsid w:val="00C40B2B"/>
    <w:rsid w:val="00C42874"/>
    <w:rsid w:val="00C438A8"/>
    <w:rsid w:val="00C77685"/>
    <w:rsid w:val="00C909BD"/>
    <w:rsid w:val="00C93C5A"/>
    <w:rsid w:val="00CC7C07"/>
    <w:rsid w:val="00D001B7"/>
    <w:rsid w:val="00D01F17"/>
    <w:rsid w:val="00D03FCA"/>
    <w:rsid w:val="00D04F72"/>
    <w:rsid w:val="00D055B0"/>
    <w:rsid w:val="00D123ED"/>
    <w:rsid w:val="00D143DA"/>
    <w:rsid w:val="00D37C40"/>
    <w:rsid w:val="00D53FC8"/>
    <w:rsid w:val="00D54699"/>
    <w:rsid w:val="00D5475D"/>
    <w:rsid w:val="00D622EA"/>
    <w:rsid w:val="00D65ECC"/>
    <w:rsid w:val="00D73A8B"/>
    <w:rsid w:val="00D848AA"/>
    <w:rsid w:val="00D87E08"/>
    <w:rsid w:val="00D9119C"/>
    <w:rsid w:val="00D92A98"/>
    <w:rsid w:val="00DA0DF2"/>
    <w:rsid w:val="00DA1D9D"/>
    <w:rsid w:val="00DA4FE1"/>
    <w:rsid w:val="00DB2CD5"/>
    <w:rsid w:val="00DB4405"/>
    <w:rsid w:val="00DC1922"/>
    <w:rsid w:val="00DD7E93"/>
    <w:rsid w:val="00DE240A"/>
    <w:rsid w:val="00DE4E18"/>
    <w:rsid w:val="00DF2F85"/>
    <w:rsid w:val="00DF3D7A"/>
    <w:rsid w:val="00DF5BC3"/>
    <w:rsid w:val="00E027C8"/>
    <w:rsid w:val="00E132D2"/>
    <w:rsid w:val="00E26F64"/>
    <w:rsid w:val="00E31F3A"/>
    <w:rsid w:val="00E373DF"/>
    <w:rsid w:val="00E411E0"/>
    <w:rsid w:val="00E460F6"/>
    <w:rsid w:val="00E469EA"/>
    <w:rsid w:val="00E5436E"/>
    <w:rsid w:val="00E60909"/>
    <w:rsid w:val="00E81CE9"/>
    <w:rsid w:val="00E87477"/>
    <w:rsid w:val="00EA029E"/>
    <w:rsid w:val="00EA02E5"/>
    <w:rsid w:val="00EA4AFB"/>
    <w:rsid w:val="00EC5BE6"/>
    <w:rsid w:val="00ED1700"/>
    <w:rsid w:val="00EE192D"/>
    <w:rsid w:val="00EE40F7"/>
    <w:rsid w:val="00EF211E"/>
    <w:rsid w:val="00EF7721"/>
    <w:rsid w:val="00F040D9"/>
    <w:rsid w:val="00F11724"/>
    <w:rsid w:val="00F17650"/>
    <w:rsid w:val="00F30007"/>
    <w:rsid w:val="00F42B5D"/>
    <w:rsid w:val="00F47EA1"/>
    <w:rsid w:val="00F52ED6"/>
    <w:rsid w:val="00F62A0A"/>
    <w:rsid w:val="00F718D5"/>
    <w:rsid w:val="00F71AB2"/>
    <w:rsid w:val="00F72D29"/>
    <w:rsid w:val="00F72EA8"/>
    <w:rsid w:val="00FA2CA3"/>
    <w:rsid w:val="00FA5C13"/>
    <w:rsid w:val="00FB16A2"/>
    <w:rsid w:val="00FB2647"/>
    <w:rsid w:val="00FC021A"/>
    <w:rsid w:val="00FD3109"/>
    <w:rsid w:val="00FD3FA3"/>
    <w:rsid w:val="00FD6FE3"/>
    <w:rsid w:val="00FE01E4"/>
    <w:rsid w:val="00FE703D"/>
    <w:rsid w:val="00FF3600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9E06"/>
  <w15:chartTrackingRefBased/>
  <w15:docId w15:val="{AD0515BD-9574-4EB3-B9D1-194C13F0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CA3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aliases w:val="H1,Titre1,cat_titre,Titre point,t1,chapitre,Level a,Titre 11,t1.T1.Titre 1,1,fjb1,h1,stydde,Chapter,Tempo Heading 1,l1,level 1,level1,1titre,1titre1,1titre2,1titre3,1titre4,1titre5,1titre6,I1,a,Fonction d'Optivity,Head 1,Head 11,Head 12,Head 111"/>
    <w:basedOn w:val="Normal"/>
    <w:next w:val="Normal"/>
    <w:link w:val="Titre1Car"/>
    <w:qFormat/>
    <w:rsid w:val="004155FA"/>
    <w:pPr>
      <w:pageBreakBefore/>
      <w:numPr>
        <w:numId w:val="1"/>
      </w:numPr>
      <w:jc w:val="both"/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">
    <w:name w:val="heading 2"/>
    <w:aliases w:val="heading 2,Heading 2 Hidden,H2,Titre2,Heading 2,Titre 2-CAT,t2,chapitre 1.1,paragraphe,h2,Titre 2 SQ,T2,Heading2,Heading21,Titre 21,t2.T2,Titre X.X.,2,Chapitre 1.,Bold 14,L2,Paragrf 2,Noname,head 2,header2,h21,head 21,header21,h22,head 22,H21"/>
    <w:basedOn w:val="Normal"/>
    <w:link w:val="Titre2Car"/>
    <w:qFormat/>
    <w:rsid w:val="004155FA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0000"/>
      <w:sz w:val="24"/>
      <w:szCs w:val="36"/>
      <w:lang w:val="x-none" w:eastAsia="x-none"/>
    </w:rPr>
  </w:style>
  <w:style w:type="paragraph" w:styleId="Titre3">
    <w:name w:val="heading 3"/>
    <w:aliases w:val="H3,Titre3,Heading 3,t3,h3,chapitre 1.1.1,T3,Titre 31,t3.T3,l3,CT,3,module,Chapitre 1.1.,y,summit,Bold 12,L3,Paragrf 3,Section,Head 3,Tempo Heading 3,heading 3,3rd level,Controls,noname,list 3,Contrat 3,3 bullet,b,h31,L31,h32,L32,h311,L311,h33"/>
    <w:basedOn w:val="Normal"/>
    <w:next w:val="Normal"/>
    <w:link w:val="Titre3Car"/>
    <w:unhideWhenUsed/>
    <w:qFormat/>
    <w:rsid w:val="004155FA"/>
    <w:pPr>
      <w:keepNext/>
      <w:keepLines/>
      <w:numPr>
        <w:ilvl w:val="2"/>
        <w:numId w:val="1"/>
      </w:numPr>
      <w:spacing w:before="200" w:after="0"/>
      <w:outlineLvl w:val="2"/>
    </w:pPr>
    <w:rPr>
      <w:rFonts w:eastAsia="MS Gothic"/>
      <w:b/>
      <w:bCs/>
      <w:color w:val="000000"/>
    </w:rPr>
  </w:style>
  <w:style w:type="paragraph" w:styleId="Titre4">
    <w:name w:val="heading 4"/>
    <w:aliases w:val="H4,Titre4,Heading 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qFormat/>
    <w:rsid w:val="004155F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Titre5">
    <w:name w:val="heading 5"/>
    <w:aliases w:val="H5"/>
    <w:basedOn w:val="Normal"/>
    <w:next w:val="Normal"/>
    <w:link w:val="Titre5Car"/>
    <w:unhideWhenUsed/>
    <w:qFormat/>
    <w:rsid w:val="004155FA"/>
    <w:pPr>
      <w:keepNext/>
      <w:keepLines/>
      <w:numPr>
        <w:ilvl w:val="4"/>
        <w:numId w:val="1"/>
      </w:numPr>
      <w:spacing w:before="200" w:after="0"/>
      <w:outlineLvl w:val="4"/>
    </w:pPr>
    <w:rPr>
      <w:rFonts w:eastAsia="MS Gothic"/>
      <w:color w:val="243F60"/>
    </w:rPr>
  </w:style>
  <w:style w:type="paragraph" w:styleId="Titre6">
    <w:name w:val="heading 6"/>
    <w:aliases w:val="Annexe"/>
    <w:basedOn w:val="Normal"/>
    <w:next w:val="Normal"/>
    <w:link w:val="Titre6Car"/>
    <w:unhideWhenUsed/>
    <w:qFormat/>
    <w:rsid w:val="004155FA"/>
    <w:pPr>
      <w:keepNext/>
      <w:keepLines/>
      <w:numPr>
        <w:ilvl w:val="5"/>
        <w:numId w:val="1"/>
      </w:numPr>
      <w:spacing w:before="200" w:after="0"/>
      <w:outlineLvl w:val="5"/>
    </w:pPr>
    <w:rPr>
      <w:rFonts w:eastAsia="MS Gothic"/>
      <w:i/>
      <w:iCs/>
      <w:color w:val="243F60"/>
    </w:rPr>
  </w:style>
  <w:style w:type="paragraph" w:styleId="Titre7">
    <w:name w:val="heading 7"/>
    <w:aliases w:val="H7,Annexe 1"/>
    <w:basedOn w:val="Normal"/>
    <w:next w:val="Normal"/>
    <w:link w:val="Titre7Car"/>
    <w:unhideWhenUsed/>
    <w:qFormat/>
    <w:rsid w:val="004155FA"/>
    <w:pPr>
      <w:keepNext/>
      <w:keepLines/>
      <w:numPr>
        <w:ilvl w:val="6"/>
        <w:numId w:val="1"/>
      </w:numPr>
      <w:spacing w:before="200" w:after="0"/>
      <w:outlineLvl w:val="6"/>
    </w:pPr>
    <w:rPr>
      <w:rFonts w:eastAsia="MS Gothic"/>
      <w:i/>
      <w:iCs/>
      <w:color w:val="404040"/>
    </w:rPr>
  </w:style>
  <w:style w:type="paragraph" w:styleId="Titre8">
    <w:name w:val="heading 8"/>
    <w:aliases w:val="Annexe 2"/>
    <w:basedOn w:val="Normal"/>
    <w:next w:val="Normal"/>
    <w:link w:val="Titre8Car"/>
    <w:unhideWhenUsed/>
    <w:qFormat/>
    <w:rsid w:val="004155FA"/>
    <w:pPr>
      <w:keepNext/>
      <w:keepLines/>
      <w:numPr>
        <w:ilvl w:val="7"/>
        <w:numId w:val="1"/>
      </w:numPr>
      <w:spacing w:before="200" w:after="0"/>
      <w:outlineLvl w:val="7"/>
    </w:pPr>
    <w:rPr>
      <w:rFonts w:eastAsia="MS Gothic"/>
      <w:color w:val="404040"/>
      <w:sz w:val="20"/>
      <w:szCs w:val="20"/>
    </w:rPr>
  </w:style>
  <w:style w:type="paragraph" w:styleId="Titre9">
    <w:name w:val="heading 9"/>
    <w:aliases w:val="Annexe 3"/>
    <w:basedOn w:val="Normal"/>
    <w:next w:val="Normal"/>
    <w:link w:val="Titre9Car"/>
    <w:unhideWhenUsed/>
    <w:qFormat/>
    <w:rsid w:val="004155FA"/>
    <w:pPr>
      <w:keepNext/>
      <w:keepLines/>
      <w:numPr>
        <w:ilvl w:val="8"/>
        <w:numId w:val="1"/>
      </w:numPr>
      <w:spacing w:before="200" w:after="0"/>
      <w:outlineLvl w:val="8"/>
    </w:pPr>
    <w:rPr>
      <w:rFonts w:eastAsia="MS Gothic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155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CorpsdetexteCar">
    <w:name w:val="Corps de texte Car"/>
    <w:link w:val="Corpsdetexte"/>
    <w:rsid w:val="004155FA"/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paragraph" w:customStyle="1" w:styleId="Corpsdetexte21">
    <w:name w:val="Corps de texte 21"/>
    <w:basedOn w:val="Normal"/>
    <w:rsid w:val="004155FA"/>
    <w:pPr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fr-FR"/>
    </w:rPr>
  </w:style>
  <w:style w:type="paragraph" w:styleId="Sansinterligne">
    <w:name w:val="No Spacing"/>
    <w:aliases w:val="Trebuchet,Times New Roman"/>
    <w:link w:val="SansinterligneCar"/>
    <w:uiPriority w:val="1"/>
    <w:qFormat/>
    <w:rsid w:val="004155FA"/>
    <w:rPr>
      <w:sz w:val="22"/>
      <w:szCs w:val="22"/>
      <w:lang w:eastAsia="en-US"/>
    </w:rPr>
  </w:style>
  <w:style w:type="character" w:customStyle="1" w:styleId="SansinterligneCar">
    <w:name w:val="Sans interligne Car"/>
    <w:aliases w:val="Trebuchet Car,Times New Roman Car"/>
    <w:link w:val="Sansinterligne"/>
    <w:uiPriority w:val="1"/>
    <w:rsid w:val="004155FA"/>
    <w:rPr>
      <w:sz w:val="22"/>
      <w:szCs w:val="22"/>
      <w:lang w:eastAsia="en-US"/>
    </w:rPr>
  </w:style>
  <w:style w:type="character" w:customStyle="1" w:styleId="Titre1Car">
    <w:name w:val="Titre 1 Car"/>
    <w:aliases w:val="H1 Car,Titre1 Car,cat_titre Car,Titre point Car,t1 Car,chapitre Car,Level a Car,Titre 11 Car,t1.T1.Titre 1 Car,1 Car,fjb1 Car,h1 Car,stydde Car,Chapter Car,Tempo Heading 1 Car,l1 Car,level 1 Car,level1 Car,1titre Car,1titre1 Car,1titre2 Car"/>
    <w:link w:val="Titre1"/>
    <w:rsid w:val="004155FA"/>
    <w:rPr>
      <w:rFonts w:ascii="TTE28AF5D0t00" w:hAnsi="TTE28AF5D0t00" w:cs="TTE28AF5D0t00"/>
      <w:b/>
      <w:sz w:val="28"/>
      <w:szCs w:val="28"/>
    </w:rPr>
  </w:style>
  <w:style w:type="character" w:customStyle="1" w:styleId="Titre2Car">
    <w:name w:val="Titre 2 Car"/>
    <w:aliases w:val="heading 2 Car,Heading 2 Hidden Car,H2 Car,Titre2 Car,Heading 2 Car,Titre 2-CAT Car,t2 Car,chapitre 1.1 Car,paragraphe Car,h2 Car,Titre 2 SQ Car,T2 Car,Heading2 Car,Heading21 Car,Titre 21 Car,t2.T2 Car,Titre X.X. Car,2 Car,Chapitre 1. Car"/>
    <w:link w:val="Titre2"/>
    <w:rsid w:val="004155FA"/>
    <w:rPr>
      <w:rFonts w:eastAsia="Times New Roman"/>
      <w:b/>
      <w:bCs/>
      <w:color w:val="000000"/>
      <w:sz w:val="24"/>
      <w:szCs w:val="36"/>
      <w:lang w:val="x-none" w:eastAsia="x-none"/>
    </w:rPr>
  </w:style>
  <w:style w:type="character" w:customStyle="1" w:styleId="Titre3Car">
    <w:name w:val="Titre 3 Car"/>
    <w:aliases w:val="H3 Car,Titre3 Car,Heading 3 Car,t3 Car,h3 Car,chapitre 1.1.1 Car,T3 Car,Titre 31 Car,t3.T3 Car,l3 Car,CT Car,3 Car,module Car,Chapitre 1.1. Car,y Car,summit Car,Bold 12 Car,L3 Car,Paragrf 3 Car,Section Car,Head 3 Car,Tempo Heading 3 Car"/>
    <w:link w:val="Titre3"/>
    <w:rsid w:val="004155FA"/>
    <w:rPr>
      <w:rFonts w:eastAsia="MS Gothic"/>
      <w:b/>
      <w:bCs/>
      <w:color w:val="000000"/>
      <w:sz w:val="22"/>
      <w:szCs w:val="22"/>
      <w:lang w:eastAsia="en-US"/>
    </w:rPr>
  </w:style>
  <w:style w:type="character" w:customStyle="1" w:styleId="Titre4Car">
    <w:name w:val="Titre 4 Car"/>
    <w:aliases w:val="H4 Car,Titre4 Car,Heading 4 Car,h4 Car,T4 Car,t4 Car,Chapitre 1.1.1. Car,l4 Car,I4 Car,Map Title Car,4 Car,4heading Car,list 4 Car,mh1l Car,Module heading 1 large (18 points) Car,Head 4 Car,chapitre 1.1.1.1 Car,Contrat 4 Car,Titre 41 Car"/>
    <w:link w:val="Titre4"/>
    <w:rsid w:val="004155FA"/>
    <w:rPr>
      <w:rFonts w:eastAsia="Times New Roman"/>
      <w:b/>
      <w:bCs/>
      <w:sz w:val="28"/>
      <w:szCs w:val="28"/>
      <w:lang w:val="x-none" w:eastAsia="en-US"/>
    </w:rPr>
  </w:style>
  <w:style w:type="character" w:customStyle="1" w:styleId="Titre5Car">
    <w:name w:val="Titre 5 Car"/>
    <w:aliases w:val="H5 Car"/>
    <w:link w:val="Titre5"/>
    <w:rsid w:val="004155FA"/>
    <w:rPr>
      <w:rFonts w:eastAsia="MS Gothic"/>
      <w:color w:val="243F60"/>
      <w:sz w:val="22"/>
      <w:szCs w:val="22"/>
      <w:lang w:eastAsia="en-US"/>
    </w:rPr>
  </w:style>
  <w:style w:type="character" w:customStyle="1" w:styleId="Titre6Car">
    <w:name w:val="Titre 6 Car"/>
    <w:aliases w:val="Annexe Car"/>
    <w:link w:val="Titre6"/>
    <w:rsid w:val="004155FA"/>
    <w:rPr>
      <w:rFonts w:eastAsia="MS Gothic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aliases w:val="H7 Car,Annexe 1 Car"/>
    <w:link w:val="Titre7"/>
    <w:rsid w:val="004155FA"/>
    <w:rPr>
      <w:rFonts w:eastAsia="MS Gothic"/>
      <w:i/>
      <w:iCs/>
      <w:color w:val="404040"/>
      <w:sz w:val="22"/>
      <w:szCs w:val="22"/>
      <w:lang w:eastAsia="en-US"/>
    </w:rPr>
  </w:style>
  <w:style w:type="character" w:customStyle="1" w:styleId="Titre8Car">
    <w:name w:val="Titre 8 Car"/>
    <w:aliases w:val="Annexe 2 Car"/>
    <w:link w:val="Titre8"/>
    <w:rsid w:val="004155FA"/>
    <w:rPr>
      <w:rFonts w:eastAsia="MS Gothic"/>
      <w:color w:val="404040"/>
      <w:lang w:eastAsia="en-US"/>
    </w:rPr>
  </w:style>
  <w:style w:type="character" w:customStyle="1" w:styleId="Titre9Car">
    <w:name w:val="Titre 9 Car"/>
    <w:aliases w:val="Annexe 3 Car"/>
    <w:link w:val="Titre9"/>
    <w:rsid w:val="004155FA"/>
    <w:rPr>
      <w:rFonts w:eastAsia="MS Gothic"/>
      <w:i/>
      <w:iCs/>
      <w:color w:val="404040"/>
      <w:lang w:eastAsia="en-US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B60931"/>
    <w:pPr>
      <w:spacing w:after="80" w:line="240" w:lineRule="auto"/>
      <w:ind w:left="708"/>
    </w:p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locked/>
    <w:rsid w:val="00B60931"/>
    <w:rPr>
      <w:sz w:val="22"/>
      <w:szCs w:val="22"/>
      <w:lang w:eastAsia="en-US"/>
    </w:rPr>
  </w:style>
  <w:style w:type="paragraph" w:customStyle="1" w:styleId="Niveauducommentaire21">
    <w:name w:val="Niveau du commentaire : 21"/>
    <w:basedOn w:val="Normal"/>
    <w:uiPriority w:val="1"/>
    <w:qFormat/>
    <w:rsid w:val="00B15F37"/>
    <w:pPr>
      <w:keepNext/>
      <w:numPr>
        <w:ilvl w:val="1"/>
        <w:numId w:val="2"/>
      </w:numPr>
      <w:spacing w:after="0"/>
      <w:contextualSpacing/>
      <w:outlineLvl w:val="1"/>
    </w:pPr>
    <w:rPr>
      <w:rFonts w:ascii="Verdana" w:hAnsi="Verdana"/>
    </w:rPr>
  </w:style>
  <w:style w:type="paragraph" w:styleId="En-tte">
    <w:name w:val="header"/>
    <w:basedOn w:val="Normal"/>
    <w:link w:val="En-tt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50E2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50E2C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68146E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B9554B"/>
    <w:rPr>
      <w:color w:val="0000FF"/>
      <w:u w:val="single"/>
    </w:rPr>
  </w:style>
  <w:style w:type="paragraph" w:customStyle="1" w:styleId="Normal1">
    <w:name w:val="Normal1"/>
    <w:basedOn w:val="Normal"/>
    <w:rsid w:val="00322DF7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/>
      <w:lang w:eastAsia="fr-FR"/>
    </w:rPr>
  </w:style>
  <w:style w:type="paragraph" w:styleId="NormalWeb">
    <w:name w:val="Normal (Web)"/>
    <w:basedOn w:val="Normal"/>
    <w:uiPriority w:val="99"/>
    <w:unhideWhenUsed/>
    <w:rsid w:val="004C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numbering" w:styleId="111111">
    <w:name w:val="Outline List 2"/>
    <w:basedOn w:val="Aucuneliste"/>
    <w:rsid w:val="009E1AB7"/>
    <w:pPr>
      <w:numPr>
        <w:numId w:val="3"/>
      </w:numPr>
    </w:pPr>
  </w:style>
  <w:style w:type="paragraph" w:customStyle="1" w:styleId="Style1">
    <w:name w:val="Style1"/>
    <w:basedOn w:val="Titre1"/>
    <w:autoRedefine/>
    <w:qFormat/>
    <w:rsid w:val="00742CDC"/>
    <w:pPr>
      <w:keepNext/>
      <w:pageBreakBefore w:val="0"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tabs>
        <w:tab w:val="clear" w:pos="720"/>
      </w:tabs>
      <w:spacing w:before="480" w:after="120"/>
      <w:ind w:hanging="360"/>
    </w:pPr>
    <w:rPr>
      <w:rFonts w:ascii="Trebuchet MS" w:eastAsia="Aptos" w:hAnsi="Trebuchet MS" w:cs="Times New Roman"/>
      <w:b w:val="0"/>
      <w:color w:val="1F3864"/>
      <w:kern w:val="2"/>
      <w:sz w:val="22"/>
      <w:szCs w:val="36"/>
      <w:shd w:val="clear" w:color="auto" w:fill="FFF2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4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2E2AF47102445A1E441B22F60535B" ma:contentTypeVersion="9" ma:contentTypeDescription="Crée un document." ma:contentTypeScope="" ma:versionID="16cac8f7746ef68d0eba292da018e05a">
  <xsd:schema xmlns:xsd="http://www.w3.org/2001/XMLSchema" xmlns:xs="http://www.w3.org/2001/XMLSchema" xmlns:p="http://schemas.microsoft.com/office/2006/metadata/properties" xmlns:ns2="c9b4ba3e-b653-4962-9026-4d63e69a6a73" targetNamespace="http://schemas.microsoft.com/office/2006/metadata/properties" ma:root="true" ma:fieldsID="a1076be4119462e0cca7fb1ca1238898" ns2:_="">
    <xsd:import namespace="c9b4ba3e-b653-4962-9026-4d63e69a6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4ba3e-b653-4962-9026-4d63e69a6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070A4-6640-4091-A58D-15438F1F5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70854-6FB5-4450-9632-B64866EA5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b4ba3e-b653-4962-9026-4d63e69a6a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55FAF-F5EF-43DC-BC17-15F692A3BC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B60C7-6714-4F29-98DA-24AAB94790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866</Words>
  <Characters>4775</Characters>
  <Application>Microsoft Office Word</Application>
  <DocSecurity>0</DocSecurity>
  <Lines>79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INA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Duranton</dc:creator>
  <cp:keywords/>
  <cp:lastModifiedBy>PETTE Frederique</cp:lastModifiedBy>
  <cp:revision>39</cp:revision>
  <cp:lastPrinted>2025-06-20T09:08:00Z</cp:lastPrinted>
  <dcterms:created xsi:type="dcterms:W3CDTF">2025-06-19T10:46:00Z</dcterms:created>
  <dcterms:modified xsi:type="dcterms:W3CDTF">2025-06-20T13:04:00Z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0x010100A352E2AF47102445A1E441B22F60535B</vt:lpwstr>
  </property>
</Properties>
</file>