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482710" w:rsidRPr="00C27AC7" w:rsidRDefault="006D2F0B" w:rsidP="005846FB">
      <w:pPr>
        <w:tabs>
          <w:tab w:val="left" w:pos="426"/>
          <w:tab w:val="left" w:pos="851"/>
        </w:tabs>
        <w:jc w:val="both"/>
        <w:rPr>
          <w:rFonts w:asciiTheme="minorHAnsi" w:hAnsiTheme="minorHAnsi" w:cstheme="minorHAnsi"/>
          <w:szCs w:val="26"/>
          <w:highlight w:val="yellow"/>
        </w:rPr>
      </w:pPr>
      <w:sdt>
        <w:sdtPr>
          <w:rPr>
            <w:rFonts w:asciiTheme="minorHAnsi" w:hAnsiTheme="minorHAnsi" w:cstheme="minorHAnsi"/>
            <w:szCs w:val="26"/>
          </w:rPr>
          <w:id w:val="756488475"/>
          <w:placeholder>
            <w:docPart w:val="BB9303C7638249428E6323A3F5DC7D35"/>
          </w:placeholder>
          <w:text/>
        </w:sdtPr>
        <w:sdtContent>
          <w:r>
            <w:rPr>
              <w:rFonts w:asciiTheme="minorHAnsi" w:hAnsiTheme="minorHAnsi" w:cstheme="minorHAnsi"/>
              <w:szCs w:val="26"/>
            </w:rPr>
            <w:t>L</w:t>
          </w:r>
          <w:r w:rsidRPr="006D2F0B">
            <w:rPr>
              <w:rFonts w:asciiTheme="minorHAnsi" w:hAnsiTheme="minorHAnsi" w:cstheme="minorHAnsi"/>
              <w:szCs w:val="26"/>
            </w:rPr>
            <w:t>a fourniture de vins et de champagnes au profit de l’Escadron de Transport 60 (ET 60)</w:t>
          </w:r>
        </w:sdtContent>
      </w:sdt>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6D2F0B">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6D2F0B">
        <w:rPr>
          <w:rFonts w:asciiTheme="minorHAnsi" w:hAnsiTheme="minorHAnsi" w:cstheme="minorHAnsi"/>
          <w:szCs w:val="26"/>
        </w:rPr>
        <w:t>1593000-6</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Default="00F648C3" w:rsidP="00140176">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r w:rsidR="006D2F0B">
        <w:rPr>
          <w:rFonts w:asciiTheme="minorHAnsi" w:hAnsiTheme="minorHAnsi" w:cstheme="minorHAnsi"/>
          <w:szCs w:val="26"/>
        </w:rPr>
        <w:t>à l’ensemble du marché public.</w:t>
      </w: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A83B56" w:rsidRPr="006D2F0B" w:rsidRDefault="009B1CD0" w:rsidP="006D2F0B">
      <w:pPr>
        <w:tabs>
          <w:tab w:val="left" w:pos="851"/>
        </w:tabs>
        <w:spacing w:before="240"/>
        <w:jc w:val="both"/>
        <w:rPr>
          <w:rFonts w:asciiTheme="minorHAnsi" w:hAnsiTheme="minorHAnsi" w:cstheme="minorHAnsi"/>
          <w:szCs w:val="26"/>
        </w:rPr>
      </w:pPr>
      <w:r w:rsidRPr="006D2F0B">
        <w:rPr>
          <w:rFonts w:asciiTheme="minorHAnsi" w:hAnsiTheme="minorHAnsi" w:cstheme="minorHAnsi"/>
          <w:szCs w:val="26"/>
        </w:rPr>
        <w:t>Ap</w:t>
      </w:r>
      <w:r w:rsidR="00C5526F" w:rsidRPr="006D2F0B">
        <w:rPr>
          <w:rFonts w:asciiTheme="minorHAnsi" w:hAnsiTheme="minorHAnsi" w:cstheme="minorHAnsi"/>
          <w:szCs w:val="26"/>
        </w:rPr>
        <w:t xml:space="preserve">rès avoir pris connaissance de toutes les </w:t>
      </w:r>
      <w:r w:rsidRPr="006D2F0B">
        <w:rPr>
          <w:rFonts w:asciiTheme="minorHAnsi" w:hAnsiTheme="minorHAnsi" w:cstheme="minorHAnsi"/>
          <w:szCs w:val="26"/>
        </w:rPr>
        <w:t xml:space="preserve">pièces </w:t>
      </w:r>
      <w:r w:rsidR="00C5526F" w:rsidRPr="006D2F0B">
        <w:rPr>
          <w:rFonts w:asciiTheme="minorHAnsi" w:hAnsiTheme="minorHAnsi" w:cstheme="minorHAnsi"/>
          <w:szCs w:val="26"/>
        </w:rPr>
        <w:t>énumérées à l’article 1.1 du CCP n°</w:t>
      </w:r>
      <w:r w:rsidR="006D2F0B" w:rsidRPr="006D2F0B">
        <w:rPr>
          <w:rFonts w:asciiTheme="minorHAnsi" w:hAnsiTheme="minorHAnsi" w:cstheme="minorHAnsi"/>
          <w:szCs w:val="26"/>
        </w:rPr>
        <w:t xml:space="preserve"> DAF_2024_001957 </w:t>
      </w:r>
      <w:r w:rsidR="00C5526F" w:rsidRPr="006D2F0B">
        <w:rPr>
          <w:rFonts w:asciiTheme="minorHAnsi" w:hAnsiTheme="minorHAnsi" w:cstheme="minorHAnsi"/>
          <w:szCs w:val="26"/>
        </w:rPr>
        <w:t xml:space="preserve">et </w:t>
      </w:r>
      <w:r w:rsidRPr="006D2F0B">
        <w:rPr>
          <w:rFonts w:asciiTheme="minorHAnsi" w:hAnsiTheme="minorHAnsi" w:cstheme="minorHAnsi"/>
          <w:szCs w:val="26"/>
        </w:rPr>
        <w:t>constitutives</w:t>
      </w:r>
      <w:r w:rsidR="00603870" w:rsidRPr="006D2F0B">
        <w:rPr>
          <w:rFonts w:asciiTheme="minorHAnsi" w:hAnsiTheme="minorHAnsi" w:cstheme="minorHAnsi"/>
          <w:szCs w:val="26"/>
        </w:rPr>
        <w:t xml:space="preserve"> </w:t>
      </w:r>
      <w:r w:rsidRPr="006D2F0B">
        <w:rPr>
          <w:rFonts w:asciiTheme="minorHAnsi" w:hAnsiTheme="minorHAnsi" w:cstheme="minorHAnsi"/>
          <w:szCs w:val="26"/>
        </w:rPr>
        <w:t xml:space="preserve">du marché </w:t>
      </w:r>
      <w:r w:rsidR="00FE48C9" w:rsidRPr="006D2F0B">
        <w:rPr>
          <w:rFonts w:asciiTheme="minorHAnsi" w:hAnsiTheme="minorHAnsi" w:cstheme="minorHAnsi"/>
          <w:szCs w:val="26"/>
        </w:rPr>
        <w:t>public</w:t>
      </w:r>
      <w:r w:rsidR="006D2F0B" w:rsidRPr="006D2F0B">
        <w:rPr>
          <w:rFonts w:asciiTheme="minorHAnsi" w:hAnsiTheme="minorHAnsi" w:cstheme="minorHAnsi"/>
          <w:szCs w:val="26"/>
        </w:rPr>
        <w:t xml:space="preserve"> </w:t>
      </w:r>
      <w:r w:rsidR="003543CF" w:rsidRPr="006D2F0B">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A6203"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6A6203"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6A6203"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6A6203"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6A6203"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A6203"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6A6203"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6D2F0B">
        <w:rPr>
          <w:rFonts w:asciiTheme="minorHAnsi" w:hAnsiTheme="minorHAnsi" w:cstheme="minorHAnsi"/>
          <w:szCs w:val="26"/>
        </w:rPr>
        <w:t>à</w:t>
      </w:r>
      <w:proofErr w:type="gramEnd"/>
      <w:r w:rsidRPr="006D2F0B">
        <w:rPr>
          <w:rFonts w:asciiTheme="minorHAnsi" w:hAnsiTheme="minorHAnsi" w:cstheme="minorHAnsi"/>
          <w:szCs w:val="26"/>
        </w:rPr>
        <w:t xml:space="preserve"> livrer les fournitures demandées aux prix indiqués dans l’annexe financière en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6A6203"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6D2F0B">
        <w:rPr>
          <w:rFonts w:asciiTheme="minorHAnsi" w:hAnsiTheme="minorHAnsi" w:cstheme="minorHAnsi"/>
          <w:b/>
          <w:szCs w:val="26"/>
        </w:rPr>
        <w:t>4</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6D2F0B">
        <w:rPr>
          <w:rFonts w:asciiTheme="minorHAnsi" w:hAnsiTheme="minorHAnsi" w:cstheme="minorHAnsi"/>
          <w:b/>
          <w:szCs w:val="26"/>
        </w:rPr>
        <w:t>5</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6D2F0B" w:rsidRDefault="00140176" w:rsidP="00140176">
      <w:pPr>
        <w:tabs>
          <w:tab w:val="left" w:pos="576"/>
          <w:tab w:val="left" w:pos="851"/>
        </w:tabs>
        <w:jc w:val="both"/>
        <w:rPr>
          <w:rFonts w:asciiTheme="minorHAnsi" w:hAnsiTheme="minorHAnsi" w:cstheme="minorHAnsi"/>
          <w:i/>
          <w:szCs w:val="26"/>
        </w:rPr>
      </w:pPr>
      <w:r w:rsidRPr="006D2F0B">
        <w:rPr>
          <w:rFonts w:asciiTheme="minorHAnsi" w:hAnsiTheme="minorHAnsi" w:cstheme="minorHAnsi"/>
          <w:szCs w:val="26"/>
        </w:rPr>
        <w:t xml:space="preserve">La durée d’exécution du marché public est de </w:t>
      </w:r>
      <w:r w:rsidR="006D2F0B" w:rsidRPr="006D2F0B">
        <w:rPr>
          <w:rFonts w:asciiTheme="minorHAnsi" w:hAnsiTheme="minorHAnsi" w:cstheme="minorHAnsi"/>
          <w:szCs w:val="26"/>
        </w:rPr>
        <w:t>12</w:t>
      </w:r>
      <w:r w:rsidRPr="006D2F0B">
        <w:rPr>
          <w:rFonts w:asciiTheme="minorHAnsi" w:hAnsiTheme="minorHAnsi" w:cstheme="minorHAnsi"/>
          <w:szCs w:val="26"/>
        </w:rPr>
        <w:t xml:space="preserve"> mois à compter de :</w:t>
      </w:r>
    </w:p>
    <w:p w:rsidR="00140176" w:rsidRPr="006D2F0B" w:rsidRDefault="00140176" w:rsidP="00140176">
      <w:pPr>
        <w:tabs>
          <w:tab w:val="left" w:pos="851"/>
        </w:tabs>
        <w:spacing w:before="120"/>
        <w:ind w:left="567"/>
        <w:jc w:val="both"/>
        <w:rPr>
          <w:rFonts w:asciiTheme="minorHAnsi" w:hAnsiTheme="minorHAnsi" w:cstheme="minorHAnsi"/>
          <w:szCs w:val="26"/>
        </w:rPr>
      </w:pPr>
      <w:r w:rsidRPr="006D2F0B">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6D2F0B" w:rsidRPr="006D2F0B">
            <w:rPr>
              <w:rFonts w:ascii="MS Gothic" w:eastAsia="MS Gothic" w:hAnsi="MS Gothic" w:cstheme="minorHAnsi" w:hint="eastAsia"/>
              <w:szCs w:val="26"/>
            </w:rPr>
            <w:t>☒</w:t>
          </w:r>
        </w:sdtContent>
      </w:sdt>
      <w:r w:rsidRPr="006D2F0B">
        <w:rPr>
          <w:rFonts w:asciiTheme="minorHAnsi" w:hAnsiTheme="minorHAnsi" w:cstheme="minorHAnsi"/>
          <w:szCs w:val="26"/>
        </w:rPr>
        <w:tab/>
        <w:t xml:space="preserve"> </w:t>
      </w:r>
      <w:proofErr w:type="gramStart"/>
      <w:r w:rsidRPr="006D2F0B">
        <w:rPr>
          <w:rFonts w:asciiTheme="minorHAnsi" w:hAnsiTheme="minorHAnsi" w:cstheme="minorHAnsi"/>
          <w:szCs w:val="26"/>
        </w:rPr>
        <w:t>la</w:t>
      </w:r>
      <w:proofErr w:type="gramEnd"/>
      <w:r w:rsidRPr="006D2F0B">
        <w:rPr>
          <w:rFonts w:asciiTheme="minorHAnsi" w:hAnsiTheme="minorHAnsi" w:cstheme="minorHAnsi"/>
          <w:szCs w:val="26"/>
        </w:rPr>
        <w:t xml:space="preserve"> date de réception de la notification du marché public ;</w:t>
      </w:r>
    </w:p>
    <w:p w:rsidR="00140176" w:rsidRPr="006D2F0B" w:rsidRDefault="00140176" w:rsidP="00140176">
      <w:pPr>
        <w:tabs>
          <w:tab w:val="left" w:pos="851"/>
        </w:tabs>
        <w:spacing w:before="120"/>
        <w:ind w:left="567"/>
        <w:jc w:val="both"/>
        <w:rPr>
          <w:rFonts w:asciiTheme="minorHAnsi" w:hAnsiTheme="minorHAnsi" w:cstheme="minorHAnsi"/>
          <w:szCs w:val="26"/>
        </w:rPr>
      </w:pPr>
      <w:r w:rsidRPr="006D2F0B">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6D2F0B">
            <w:rPr>
              <w:rFonts w:ascii="Segoe UI Symbol" w:eastAsia="MS Gothic" w:hAnsi="Segoe UI Symbol" w:cs="Segoe UI Symbol"/>
              <w:szCs w:val="26"/>
            </w:rPr>
            <w:t>☐</w:t>
          </w:r>
        </w:sdtContent>
      </w:sdt>
      <w:r w:rsidRPr="006D2F0B">
        <w:rPr>
          <w:rFonts w:asciiTheme="minorHAnsi" w:hAnsiTheme="minorHAnsi" w:cstheme="minorHAnsi"/>
          <w:szCs w:val="26"/>
        </w:rPr>
        <w:t xml:space="preserve"> </w:t>
      </w:r>
      <w:proofErr w:type="gramStart"/>
      <w:r w:rsidRPr="006D2F0B">
        <w:rPr>
          <w:rFonts w:asciiTheme="minorHAnsi" w:hAnsiTheme="minorHAnsi" w:cstheme="minorHAnsi"/>
          <w:szCs w:val="26"/>
        </w:rPr>
        <w:t>la</w:t>
      </w:r>
      <w:proofErr w:type="gramEnd"/>
      <w:r w:rsidRPr="006D2F0B">
        <w:rPr>
          <w:rFonts w:asciiTheme="minorHAnsi" w:hAnsiTheme="minorHAnsi" w:cstheme="minorHAnsi"/>
          <w:szCs w:val="26"/>
        </w:rPr>
        <w:t xml:space="preserve"> date de notification de l’ordre de service ;</w:t>
      </w:r>
    </w:p>
    <w:p w:rsidR="00140176" w:rsidRPr="006D2F0B" w:rsidRDefault="00140176" w:rsidP="00140176">
      <w:pPr>
        <w:tabs>
          <w:tab w:val="left" w:pos="851"/>
        </w:tabs>
        <w:spacing w:before="120"/>
        <w:ind w:left="1134" w:hanging="567"/>
        <w:jc w:val="both"/>
        <w:rPr>
          <w:rFonts w:asciiTheme="minorHAnsi" w:hAnsiTheme="minorHAnsi" w:cstheme="minorHAnsi"/>
          <w:b/>
          <w:szCs w:val="26"/>
        </w:rPr>
      </w:pPr>
      <w:r w:rsidRPr="006D2F0B">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6D2F0B">
            <w:rPr>
              <w:rFonts w:ascii="Segoe UI Symbol" w:eastAsia="MS Gothic" w:hAnsi="Segoe UI Symbol" w:cs="Segoe UI Symbol"/>
              <w:szCs w:val="26"/>
            </w:rPr>
            <w:t>☐</w:t>
          </w:r>
        </w:sdtContent>
      </w:sdt>
      <w:r w:rsidRPr="006D2F0B">
        <w:rPr>
          <w:rFonts w:asciiTheme="minorHAnsi" w:hAnsiTheme="minorHAnsi" w:cstheme="minorHAnsi"/>
          <w:szCs w:val="26"/>
        </w:rPr>
        <w:t xml:space="preserve"> </w:t>
      </w:r>
      <w:proofErr w:type="gramStart"/>
      <w:r w:rsidRPr="006D2F0B">
        <w:rPr>
          <w:rFonts w:asciiTheme="minorHAnsi" w:hAnsiTheme="minorHAnsi" w:cstheme="minorHAnsi"/>
          <w:szCs w:val="26"/>
        </w:rPr>
        <w:t>la</w:t>
      </w:r>
      <w:proofErr w:type="gramEnd"/>
      <w:r w:rsidRPr="006D2F0B">
        <w:rPr>
          <w:rFonts w:asciiTheme="minorHAnsi" w:hAnsiTheme="minorHAnsi" w:cstheme="minorHAnsi"/>
          <w:szCs w:val="26"/>
        </w:rPr>
        <w:t xml:space="preserve"> date de début d’exécution prévue par le marché public.</w:t>
      </w:r>
    </w:p>
    <w:p w:rsidR="00140176" w:rsidRPr="006D2F0B"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6D2F0B"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6D2F0B">
        <w:rPr>
          <w:rFonts w:asciiTheme="minorHAnsi" w:hAnsiTheme="minorHAnsi" w:cstheme="minorHAnsi"/>
          <w:szCs w:val="26"/>
        </w:rPr>
        <w:t>Le marché public est reconductible :</w:t>
      </w:r>
      <w:r w:rsidRPr="006D2F0B">
        <w:rPr>
          <w:rFonts w:asciiTheme="minorHAnsi" w:hAnsiTheme="minorHAnsi" w:cstheme="minorHAnsi"/>
          <w:szCs w:val="26"/>
        </w:rPr>
        <w:tab/>
      </w:r>
      <w:r w:rsidRPr="006D2F0B">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6D2F0B">
            <w:rPr>
              <w:rFonts w:ascii="Segoe UI Symbol" w:eastAsia="MS Gothic" w:hAnsi="Segoe UI Symbol" w:cs="Segoe UI Symbol"/>
              <w:szCs w:val="26"/>
            </w:rPr>
            <w:t>☐</w:t>
          </w:r>
        </w:sdtContent>
      </w:sdt>
      <w:r w:rsidRPr="006D2F0B">
        <w:rPr>
          <w:rFonts w:asciiTheme="minorHAnsi" w:hAnsiTheme="minorHAnsi" w:cstheme="minorHAnsi"/>
          <w:szCs w:val="26"/>
        </w:rPr>
        <w:tab/>
        <w:t>Non</w:t>
      </w:r>
      <w:r w:rsidRPr="006D2F0B">
        <w:rPr>
          <w:rFonts w:asciiTheme="minorHAnsi" w:hAnsiTheme="minorHAnsi" w:cstheme="minorHAnsi"/>
          <w:szCs w:val="26"/>
        </w:rPr>
        <w:tab/>
      </w:r>
      <w:r w:rsidRPr="006D2F0B">
        <w:rPr>
          <w:rFonts w:asciiTheme="minorHAnsi" w:hAnsiTheme="minorHAnsi" w:cstheme="minorHAnsi"/>
          <w:szCs w:val="26"/>
        </w:rPr>
        <w:tab/>
      </w:r>
      <w:r w:rsidRPr="006D2F0B">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6D2F0B" w:rsidRPr="006D2F0B">
            <w:rPr>
              <w:rFonts w:ascii="MS Gothic" w:eastAsia="MS Gothic" w:hAnsi="MS Gothic" w:cstheme="minorHAnsi" w:hint="eastAsia"/>
              <w:szCs w:val="26"/>
            </w:rPr>
            <w:t>☒</w:t>
          </w:r>
        </w:sdtContent>
      </w:sdt>
      <w:r w:rsidRPr="006D2F0B">
        <w:rPr>
          <w:rFonts w:asciiTheme="minorHAnsi" w:hAnsiTheme="minorHAnsi" w:cstheme="minorHAnsi"/>
          <w:szCs w:val="26"/>
        </w:rPr>
        <w:tab/>
        <w:t>Oui</w:t>
      </w:r>
    </w:p>
    <w:p w:rsidR="00140176" w:rsidRPr="006D2F0B" w:rsidRDefault="00140176" w:rsidP="00140176">
      <w:pPr>
        <w:tabs>
          <w:tab w:val="left" w:pos="426"/>
          <w:tab w:val="left" w:pos="851"/>
        </w:tabs>
        <w:jc w:val="both"/>
        <w:rPr>
          <w:rFonts w:asciiTheme="minorHAnsi" w:hAnsiTheme="minorHAnsi" w:cstheme="minorHAnsi"/>
          <w:szCs w:val="26"/>
        </w:rPr>
      </w:pPr>
    </w:p>
    <w:p w:rsidR="00140176" w:rsidRPr="006D2F0B" w:rsidRDefault="00140176" w:rsidP="00140176">
      <w:pPr>
        <w:tabs>
          <w:tab w:val="left" w:pos="426"/>
          <w:tab w:val="left" w:pos="851"/>
        </w:tabs>
        <w:jc w:val="both"/>
        <w:rPr>
          <w:rFonts w:asciiTheme="minorHAnsi" w:hAnsiTheme="minorHAnsi" w:cstheme="minorHAnsi"/>
          <w:szCs w:val="26"/>
        </w:rPr>
      </w:pPr>
      <w:r w:rsidRPr="006D2F0B">
        <w:rPr>
          <w:rFonts w:asciiTheme="minorHAnsi" w:hAnsiTheme="minorHAnsi" w:cstheme="minorHAnsi"/>
          <w:szCs w:val="26"/>
        </w:rPr>
        <w:t>Si oui, préciser :</w:t>
      </w:r>
    </w:p>
    <w:p w:rsidR="00140176" w:rsidRPr="006D2F0B"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6D2F0B">
        <w:rPr>
          <w:rFonts w:asciiTheme="minorHAnsi" w:hAnsiTheme="minorHAnsi" w:cstheme="minorHAnsi"/>
          <w:szCs w:val="26"/>
        </w:rPr>
        <w:t xml:space="preserve">Nombre de reconductions : </w:t>
      </w:r>
      <w:r w:rsidR="006D2F0B" w:rsidRPr="006D2F0B">
        <w:rPr>
          <w:rFonts w:asciiTheme="minorHAnsi" w:hAnsiTheme="minorHAnsi" w:cstheme="minorHAnsi"/>
          <w:szCs w:val="26"/>
        </w:rPr>
        <w:t>3</w:t>
      </w:r>
    </w:p>
    <w:p w:rsidR="00140176" w:rsidRPr="006D2F0B"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6D2F0B">
        <w:rPr>
          <w:rFonts w:asciiTheme="minorHAnsi" w:hAnsiTheme="minorHAnsi" w:cstheme="minorHAnsi"/>
          <w:szCs w:val="26"/>
        </w:rPr>
        <w:t xml:space="preserve">Durée des reconductions : </w:t>
      </w:r>
      <w:r w:rsidR="006D2F0B" w:rsidRPr="006D2F0B">
        <w:rPr>
          <w:rFonts w:asciiTheme="minorHAnsi" w:hAnsiTheme="minorHAnsi" w:cstheme="minorHAnsi"/>
          <w:szCs w:val="26"/>
        </w:rPr>
        <w:t>12 mois</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lastRenderedPageBreak/>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6A6203"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6A6203"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6A6203"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6A6203"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6A6203"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6A6203"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6A6203"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w:t>
      </w:r>
      <w:r w:rsidRPr="006D2F0B">
        <w:rPr>
          <w:rFonts w:asciiTheme="minorHAnsi" w:hAnsiTheme="minorHAnsi" w:cstheme="minorHAnsi"/>
          <w:szCs w:val="26"/>
        </w:rPr>
        <w:t xml:space="preserve">01 39 21 </w:t>
      </w:r>
      <w:sdt>
        <w:sdtPr>
          <w:rPr>
            <w:rFonts w:asciiTheme="minorHAnsi" w:hAnsiTheme="minorHAnsi" w:cstheme="minorHAnsi"/>
            <w:szCs w:val="26"/>
          </w:rPr>
          <w:id w:val="-751888659"/>
          <w:placeholder>
            <w:docPart w:val="F8E59317A098472291D57866619360AD"/>
          </w:placeholder>
          <w:text/>
        </w:sdtPr>
        <w:sdtEndPr/>
        <w:sdtContent>
          <w:r w:rsidR="006D2F0B" w:rsidRPr="006D2F0B">
            <w:rPr>
              <w:rFonts w:asciiTheme="minorHAnsi" w:hAnsiTheme="minorHAnsi" w:cstheme="minorHAnsi"/>
              <w:szCs w:val="26"/>
            </w:rPr>
            <w:t>29 58</w:t>
          </w:r>
        </w:sdtContent>
      </w:sdt>
      <w:r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9B1CD0"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AF143B" w:rsidRPr="00C27AC7" w:rsidRDefault="00AF143B" w:rsidP="00AF143B">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AF143B" w:rsidRPr="00C27AC7" w:rsidRDefault="00AF143B" w:rsidP="00AF143B">
      <w:pPr>
        <w:keepNext/>
        <w:tabs>
          <w:tab w:val="left" w:pos="851"/>
        </w:tabs>
        <w:jc w:val="both"/>
        <w:rPr>
          <w:rFonts w:asciiTheme="minorHAnsi" w:hAnsiTheme="minorHAnsi" w:cstheme="minorHAnsi"/>
          <w:i/>
          <w:szCs w:val="26"/>
        </w:rPr>
      </w:pPr>
    </w:p>
    <w:p w:rsidR="00AF143B" w:rsidRDefault="00AF143B" w:rsidP="00AF143B">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AF143B" w:rsidRDefault="00AF143B" w:rsidP="00AF143B">
      <w:pPr>
        <w:keepNext/>
        <w:jc w:val="both"/>
        <w:rPr>
          <w:rFonts w:asciiTheme="minorHAnsi" w:hAnsiTheme="minorHAnsi" w:cstheme="minorHAnsi"/>
          <w:bCs/>
          <w:szCs w:val="26"/>
        </w:rPr>
      </w:pPr>
    </w:p>
    <w:p w:rsidR="00AF143B" w:rsidRDefault="00AF143B" w:rsidP="00AF143B">
      <w:pPr>
        <w:keepNext/>
        <w:jc w:val="both"/>
        <w:rPr>
          <w:rFonts w:asciiTheme="minorHAnsi" w:hAnsiTheme="minorHAnsi" w:cstheme="minorHAnsi"/>
          <w:bCs/>
          <w:szCs w:val="26"/>
        </w:rPr>
      </w:pPr>
    </w:p>
    <w:p w:rsidR="00AF143B" w:rsidRPr="00C27AC7" w:rsidRDefault="00AF143B" w:rsidP="00AF143B">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Pr="00C27AC7" w:rsidRDefault="00AF143B"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6D2F0B" w:rsidRDefault="00140176" w:rsidP="00140176">
      <w:pPr>
        <w:keepNext/>
        <w:jc w:val="both"/>
        <w:rPr>
          <w:rFonts w:asciiTheme="minorHAnsi" w:hAnsiTheme="minorHAnsi" w:cstheme="minorHAnsi"/>
          <w:szCs w:val="26"/>
        </w:rPr>
      </w:pPr>
      <w:r w:rsidRPr="006D2F0B">
        <w:rPr>
          <w:rFonts w:asciiTheme="minorHAnsi" w:hAnsiTheme="minorHAnsi" w:cstheme="minorHAnsi"/>
          <w:szCs w:val="26"/>
        </w:rPr>
        <w:t>Annexe 1 – tableau</w:t>
      </w:r>
      <w:r w:rsidR="006D2F0B" w:rsidRPr="006D2F0B">
        <w:rPr>
          <w:rFonts w:asciiTheme="minorHAnsi" w:hAnsiTheme="minorHAnsi" w:cstheme="minorHAnsi"/>
          <w:szCs w:val="26"/>
        </w:rPr>
        <w:t>x</w:t>
      </w:r>
      <w:r w:rsidRPr="006D2F0B">
        <w:rPr>
          <w:rFonts w:asciiTheme="minorHAnsi" w:hAnsiTheme="minorHAnsi" w:cstheme="minorHAnsi"/>
          <w:szCs w:val="26"/>
        </w:rPr>
        <w:t xml:space="preserve"> de prix</w:t>
      </w:r>
      <w:r w:rsidR="006D2F0B" w:rsidRPr="006D2F0B">
        <w:rPr>
          <w:rFonts w:asciiTheme="minorHAnsi" w:hAnsiTheme="minorHAnsi" w:cstheme="minorHAnsi"/>
          <w:szCs w:val="26"/>
        </w:rPr>
        <w:t xml:space="preserve"> (poste 1 et poste </w:t>
      </w:r>
      <w:r w:rsidR="006A6203">
        <w:rPr>
          <w:rFonts w:asciiTheme="minorHAnsi" w:hAnsiTheme="minorHAnsi" w:cstheme="minorHAnsi"/>
          <w:szCs w:val="26"/>
        </w:rPr>
        <w:t>4</w:t>
      </w:r>
      <w:bookmarkStart w:id="0" w:name="_GoBack"/>
      <w:bookmarkEnd w:id="0"/>
      <w:r w:rsidR="006D2F0B" w:rsidRPr="006D2F0B">
        <w:rPr>
          <w:rFonts w:asciiTheme="minorHAnsi" w:hAnsiTheme="minorHAnsi" w:cstheme="minorHAnsi"/>
          <w:szCs w:val="26"/>
        </w:rPr>
        <w:t>)</w:t>
      </w:r>
    </w:p>
    <w:p w:rsidR="006D2F0B" w:rsidRPr="006D2F0B" w:rsidRDefault="006D2F0B" w:rsidP="00140176">
      <w:pPr>
        <w:keepNext/>
        <w:jc w:val="both"/>
        <w:rPr>
          <w:rFonts w:asciiTheme="minorHAnsi" w:hAnsiTheme="minorHAnsi" w:cstheme="minorHAnsi"/>
          <w:szCs w:val="26"/>
        </w:rPr>
      </w:pPr>
      <w:r w:rsidRPr="006D2F0B">
        <w:rPr>
          <w:rFonts w:asciiTheme="minorHAnsi" w:hAnsiTheme="minorHAnsi" w:cstheme="minorHAnsi"/>
          <w:szCs w:val="26"/>
        </w:rPr>
        <w:t xml:space="preserve">Annexe 2 </w:t>
      </w:r>
      <w:r w:rsidRPr="006D2F0B">
        <w:rPr>
          <w:rFonts w:asciiTheme="minorHAnsi" w:hAnsiTheme="minorHAnsi" w:cstheme="minorHAnsi"/>
          <w:szCs w:val="26"/>
        </w:rPr>
        <w:t>–</w:t>
      </w:r>
      <w:r w:rsidRPr="006D2F0B">
        <w:rPr>
          <w:rFonts w:asciiTheme="minorHAnsi" w:hAnsiTheme="minorHAnsi" w:cstheme="minorHAnsi"/>
          <w:szCs w:val="26"/>
        </w:rPr>
        <w:t xml:space="preserve"> Catalogue minimal du titulaire (poste 2)</w:t>
      </w:r>
    </w:p>
    <w:p w:rsidR="00140176" w:rsidRPr="006D2F0B" w:rsidRDefault="006D2F0B"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3</w:t>
      </w:r>
      <w:r w:rsidR="00140176" w:rsidRPr="006D2F0B">
        <w:rPr>
          <w:rFonts w:asciiTheme="minorHAnsi" w:hAnsiTheme="minorHAnsi" w:cstheme="minorHAnsi"/>
          <w:szCs w:val="26"/>
        </w:rPr>
        <w:t xml:space="preserve"> – annexe complémentaire contenant :</w:t>
      </w:r>
    </w:p>
    <w:p w:rsidR="00140176" w:rsidRPr="006D2F0B"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6D2F0B">
        <w:rPr>
          <w:rFonts w:asciiTheme="minorHAnsi" w:hAnsiTheme="minorHAnsi" w:cstheme="minorHAnsi"/>
          <w:szCs w:val="26"/>
        </w:rPr>
        <w:t xml:space="preserve"> </w:t>
      </w:r>
      <w:proofErr w:type="gramStart"/>
      <w:r w:rsidRPr="006D2F0B">
        <w:rPr>
          <w:rFonts w:asciiTheme="minorHAnsi" w:hAnsiTheme="minorHAnsi" w:cstheme="minorHAnsi"/>
          <w:szCs w:val="26"/>
        </w:rPr>
        <w:t>le</w:t>
      </w:r>
      <w:proofErr w:type="gramEnd"/>
      <w:r w:rsidRPr="006D2F0B">
        <w:rPr>
          <w:rFonts w:asciiTheme="minorHAnsi" w:hAnsiTheme="minorHAnsi" w:cstheme="minorHAnsi"/>
          <w:szCs w:val="26"/>
        </w:rPr>
        <w:t xml:space="preserve"> numéro du marché public ; </w:t>
      </w:r>
    </w:p>
    <w:p w:rsidR="00140176" w:rsidRPr="006D2F0B"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6D2F0B">
        <w:rPr>
          <w:rFonts w:asciiTheme="minorHAnsi" w:hAnsiTheme="minorHAnsi" w:cstheme="minorHAnsi"/>
          <w:szCs w:val="26"/>
        </w:rPr>
        <w:t xml:space="preserve"> </w:t>
      </w:r>
      <w:proofErr w:type="gramStart"/>
      <w:r w:rsidRPr="006D2F0B">
        <w:rPr>
          <w:rFonts w:asciiTheme="minorHAnsi" w:hAnsiTheme="minorHAnsi" w:cstheme="minorHAnsi"/>
          <w:szCs w:val="26"/>
        </w:rPr>
        <w:t>le</w:t>
      </w:r>
      <w:proofErr w:type="gramEnd"/>
      <w:r w:rsidRPr="006D2F0B">
        <w:rPr>
          <w:rFonts w:asciiTheme="minorHAnsi" w:hAnsiTheme="minorHAnsi" w:cstheme="minorHAnsi"/>
          <w:szCs w:val="26"/>
        </w:rPr>
        <w:t xml:space="preserv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C1" w:rsidRDefault="00EC42C1">
      <w:r>
        <w:separator/>
      </w:r>
    </w:p>
  </w:endnote>
  <w:endnote w:type="continuationSeparator" w:id="0">
    <w:p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6A6203">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6A6203">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C1" w:rsidRDefault="00EC42C1">
      <w:r>
        <w:separator/>
      </w:r>
    </w:p>
  </w:footnote>
  <w:footnote w:type="continuationSeparator" w:id="0">
    <w:p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A6203"/>
    <w:rsid w:val="006B5057"/>
    <w:rsid w:val="006B78B7"/>
    <w:rsid w:val="006C4338"/>
    <w:rsid w:val="006C5061"/>
    <w:rsid w:val="006D0D8D"/>
    <w:rsid w:val="006D1A42"/>
    <w:rsid w:val="006D2F0B"/>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143B"/>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oNotEmbedSmartTags/>
  <w:decimalSymbol w:val=","/>
  <w:listSeparator w:val=";"/>
  <w14:docId w14:val="5E1AE79B"/>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74271-86A8-4512-83F8-4A1F112B8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23</TotalTime>
  <Pages>6</Pages>
  <Words>1416</Words>
  <Characters>7789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9187</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VAUCHEL Marika SA CE MINDEF</cp:lastModifiedBy>
  <cp:revision>15</cp:revision>
  <cp:lastPrinted>2016-11-04T12:53:00Z</cp:lastPrinted>
  <dcterms:created xsi:type="dcterms:W3CDTF">2023-11-27T09:15:00Z</dcterms:created>
  <dcterms:modified xsi:type="dcterms:W3CDTF">2025-06-20T12:30:00Z</dcterms:modified>
</cp:coreProperties>
</file>