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10348"/>
      </w:tblGrid>
      <w:tr w:rsidR="00B91897" w:rsidRPr="00C0568C" w14:paraId="2D454C48" w14:textId="77777777" w:rsidTr="00C0568C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00C8AA98" w14:textId="77777777" w:rsidR="00B91897" w:rsidRPr="00C0568C" w:rsidRDefault="00B91897" w:rsidP="006866E2">
            <w:pPr>
              <w:jc w:val="center"/>
              <w:rPr>
                <w:rFonts w:ascii="Marianne" w:hAnsi="Marianne"/>
                <w:szCs w:val="20"/>
              </w:rPr>
            </w:pPr>
            <w:bookmarkStart w:id="0" w:name="_Hlk201220982"/>
            <w:r w:rsidRPr="00C0568C">
              <w:rPr>
                <w:rFonts w:ascii="Marianne" w:hAnsi="Marianne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FD7E810" wp14:editId="0269FD8C">
                  <wp:simplePos x="0" y="0"/>
                  <wp:positionH relativeFrom="column">
                    <wp:posOffset>2463082</wp:posOffset>
                  </wp:positionH>
                  <wp:positionV relativeFrom="paragraph">
                    <wp:posOffset>95416</wp:posOffset>
                  </wp:positionV>
                  <wp:extent cx="1616075" cy="616585"/>
                  <wp:effectExtent l="0" t="0" r="3175" b="0"/>
                  <wp:wrapTopAndBottom/>
                  <wp:docPr id="2" name="Image 2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1897" w:rsidRPr="00C0568C" w14:paraId="013BDE30" w14:textId="77777777" w:rsidTr="00C0568C"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14:paraId="5B04B364" w14:textId="77777777" w:rsidR="00B91897" w:rsidRPr="00C0568C" w:rsidRDefault="00B91897" w:rsidP="006866E2">
            <w:pPr>
              <w:widowControl w:val="0"/>
              <w:pBdr>
                <w:top w:val="double" w:sz="6" w:space="10" w:color="auto"/>
                <w:left w:val="double" w:sz="6" w:space="0" w:color="auto"/>
                <w:bottom w:val="double" w:sz="6" w:space="10" w:color="auto"/>
                <w:right w:val="double" w:sz="6" w:space="0" w:color="auto"/>
              </w:pBdr>
              <w:shd w:val="pct60" w:color="auto" w:fill="auto"/>
              <w:jc w:val="center"/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</w:pPr>
            <w:r w:rsidRPr="00C0568C">
              <w:rPr>
                <w:rFonts w:ascii="Marianne" w:hAnsi="Marianne" w:cs="Arial"/>
                <w:b/>
                <w:color w:val="FFFFFF"/>
                <w:spacing w:val="80"/>
                <w:sz w:val="22"/>
                <w:szCs w:val="22"/>
              </w:rPr>
              <w:t>MARCHES DE L'OFFICE NATIONAL DES FORÊTS</w:t>
            </w:r>
          </w:p>
          <w:p w14:paraId="5E62E170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p w14:paraId="126F64ED" w14:textId="747DA5FF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C0568C">
              <w:rPr>
                <w:rFonts w:ascii="Marianne" w:hAnsi="Marianne" w:cs="Arial"/>
                <w:b/>
                <w:sz w:val="22"/>
                <w:szCs w:val="22"/>
              </w:rPr>
              <w:t xml:space="preserve">DIRECTION </w:t>
            </w:r>
            <w:r w:rsidR="00CA12AA">
              <w:rPr>
                <w:rFonts w:ascii="Marianne" w:hAnsi="Marianne" w:cs="Arial"/>
                <w:b/>
                <w:sz w:val="22"/>
                <w:szCs w:val="22"/>
              </w:rPr>
              <w:t>DE LA COMMUNICATION</w:t>
            </w:r>
          </w:p>
          <w:p w14:paraId="567F8667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</w:p>
          <w:tbl>
            <w:tblPr>
              <w:tblW w:w="102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31"/>
            </w:tblGrid>
            <w:tr w:rsidR="00B91897" w:rsidRPr="00C0568C" w14:paraId="494A178D" w14:textId="77777777" w:rsidTr="00C0568C">
              <w:trPr>
                <w:trHeight w:val="1569"/>
              </w:trPr>
              <w:tc>
                <w:tcPr>
                  <w:tcW w:w="10231" w:type="dxa"/>
                  <w:hideMark/>
                </w:tcPr>
                <w:p w14:paraId="755400FF" w14:textId="77777777" w:rsidR="00B91897" w:rsidRPr="00C0568C" w:rsidRDefault="00B91897" w:rsidP="00B91897">
                  <w:pPr>
                    <w:spacing w:before="100" w:beforeAutospacing="1" w:after="100" w:afterAutospacing="1"/>
                    <w:jc w:val="center"/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sz w:val="22"/>
                      <w:szCs w:val="22"/>
                    </w:rPr>
                    <w:t>CADRE dE mémoire technique</w:t>
                  </w:r>
                </w:p>
                <w:p w14:paraId="32B71FD6" w14:textId="77777777" w:rsidR="00B91897" w:rsidRPr="00C0568C" w:rsidRDefault="0033579F" w:rsidP="00B91897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(CMT)</w:t>
                  </w:r>
                </w:p>
                <w:p w14:paraId="364D2F7B" w14:textId="3C7D632B" w:rsidR="0033579F" w:rsidRPr="00C0568C" w:rsidRDefault="00CA12AA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Marianne" w:hAnsi="Marianne" w:cs="Arial"/>
                      <w:b/>
                      <w:caps/>
                      <w:color w:val="000000"/>
                      <w:sz w:val="22"/>
                      <w:szCs w:val="22"/>
                    </w:rPr>
                    <w:t>APPEL D’OFFRES OUVERT EUROPEEN</w:t>
                  </w:r>
                </w:p>
                <w:p w14:paraId="4A235A40" w14:textId="361F284F" w:rsidR="00B91897" w:rsidRPr="00C0568C" w:rsidRDefault="009C4C59" w:rsidP="0033579F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sz w:val="16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caps/>
                      <w:sz w:val="16"/>
                      <w:szCs w:val="22"/>
                    </w:rPr>
                    <w:t>(</w:t>
                  </w:r>
                  <w:proofErr w:type="gramStart"/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>passé</w:t>
                  </w:r>
                  <w:proofErr w:type="gramEnd"/>
                  <w:r w:rsidRPr="00C0568C">
                    <w:rPr>
                      <w:rFonts w:ascii="Marianne" w:hAnsi="Marianne" w:cs="Arial"/>
                      <w:sz w:val="16"/>
                      <w:szCs w:val="22"/>
                    </w:rPr>
                    <w:t xml:space="preserve"> en application des articles </w:t>
                  </w:r>
                  <w:r w:rsidR="00CA12AA" w:rsidRPr="00CA12AA">
                    <w:rPr>
                      <w:rFonts w:ascii="Marianne" w:hAnsi="Marianne" w:cs="Arial"/>
                      <w:sz w:val="16"/>
                      <w:szCs w:val="22"/>
                    </w:rPr>
                    <w:t>L.2113-10 et R.2113-1, L.2124-2 et R.2124-2, R.2161-2 à R.2161-5 du Code de la commande publique</w:t>
                  </w:r>
                  <w:r w:rsidR="00CA12AA">
                    <w:rPr>
                      <w:rFonts w:ascii="Marianne" w:hAnsi="Marianne" w:cs="Arial"/>
                      <w:sz w:val="16"/>
                      <w:szCs w:val="22"/>
                    </w:rPr>
                    <w:t>)</w:t>
                  </w:r>
                </w:p>
              </w:tc>
            </w:tr>
            <w:tr w:rsidR="00CF0FD1" w:rsidRPr="00C0568C" w14:paraId="3416A3D3" w14:textId="77777777" w:rsidTr="00C0568C">
              <w:trPr>
                <w:trHeight w:val="752"/>
              </w:trPr>
              <w:tc>
                <w:tcPr>
                  <w:tcW w:w="10231" w:type="dxa"/>
                  <w:vAlign w:val="center"/>
                  <w:hideMark/>
                </w:tcPr>
                <w:p w14:paraId="67BF61C5" w14:textId="64D3A889" w:rsidR="00CF0FD1" w:rsidRPr="00CA12AA" w:rsidRDefault="00A220F6" w:rsidP="00CA12AA">
                  <w:pPr>
                    <w:pStyle w:val="Texte"/>
                    <w:jc w:val="center"/>
                    <w:rPr>
                      <w:rFonts w:ascii="Marianne" w:hAnsi="Marianne" w:cs="Arial"/>
                      <w:b/>
                    </w:rPr>
                  </w:pPr>
                  <w:r w:rsidRPr="00615205">
                    <w:rPr>
                      <w:rFonts w:ascii="Marianne" w:hAnsi="Marianne" w:cs="Arial"/>
                      <w:b/>
                      <w:bCs/>
                      <w:kern w:val="28"/>
                    </w:rPr>
                    <w:t xml:space="preserve">ACCORD CADRE </w:t>
                  </w:r>
                  <w:r>
                    <w:rPr>
                      <w:rFonts w:ascii="Marianne" w:hAnsi="Marianne" w:cs="Arial"/>
                      <w:b/>
                      <w:bCs/>
                      <w:kern w:val="28"/>
                    </w:rPr>
                    <w:t xml:space="preserve">RELATIF </w:t>
                  </w:r>
                  <w:r w:rsidRPr="007824AF">
                    <w:rPr>
                      <w:rFonts w:ascii="Marianne" w:hAnsi="Marianne" w:cs="Arial"/>
                      <w:b/>
                      <w:bCs/>
                      <w:kern w:val="28"/>
                    </w:rPr>
                    <w:t>A DES PRESTATIONS AUDIOVISUELLES POUR L’ONF</w:t>
                  </w:r>
                </w:p>
              </w:tc>
            </w:tr>
            <w:tr w:rsidR="00CF0FD1" w:rsidRPr="00C0568C" w14:paraId="4BE115B5" w14:textId="77777777" w:rsidTr="00C0568C">
              <w:trPr>
                <w:trHeight w:val="70"/>
              </w:trPr>
              <w:tc>
                <w:tcPr>
                  <w:tcW w:w="10231" w:type="dxa"/>
                  <w:hideMark/>
                </w:tcPr>
                <w:p w14:paraId="6397A6A6" w14:textId="33920A22" w:rsidR="00CF0FD1" w:rsidRPr="00C0568C" w:rsidRDefault="00CF0FD1" w:rsidP="00CF0FD1">
                  <w:pPr>
                    <w:widowControl w:val="0"/>
                    <w:spacing w:before="120" w:after="120"/>
                    <w:jc w:val="center"/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</w:pPr>
                  <w:r w:rsidRPr="00C0568C">
                    <w:rPr>
                      <w:rFonts w:ascii="Marianne" w:hAnsi="Marianne" w:cs="Arial"/>
                      <w:b/>
                      <w:spacing w:val="60"/>
                      <w:sz w:val="22"/>
                      <w:szCs w:val="22"/>
                    </w:rPr>
                    <w:t>Accord-cadre n</w:t>
                  </w:r>
                  <w:r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°</w:t>
                  </w:r>
                  <w:r w:rsidR="009B751F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 xml:space="preserve"> </w:t>
                  </w:r>
                  <w:r w:rsidR="00443E0E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2025</w:t>
                  </w:r>
                  <w:r w:rsidR="00C0568C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-92</w:t>
                  </w:r>
                  <w:r w:rsidR="00CA12AA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60</w:t>
                  </w:r>
                  <w:r w:rsidR="00C0568C" w:rsidRPr="00C0568C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-0</w:t>
                  </w:r>
                  <w:r w:rsidR="00CA3E84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0</w:t>
                  </w:r>
                  <w:r w:rsidR="00A220F6">
                    <w:rPr>
                      <w:rFonts w:ascii="Marianne" w:hAnsi="Marianne" w:cs="Arial"/>
                      <w:b/>
                      <w:color w:val="000000" w:themeColor="text1"/>
                      <w:spacing w:val="6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150A8DB5" w14:textId="77777777" w:rsidR="00B91897" w:rsidRPr="00C0568C" w:rsidRDefault="00B91897" w:rsidP="006866E2">
            <w:pPr>
              <w:widowControl w:val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  <w:p w14:paraId="67630105" w14:textId="77777777" w:rsidR="00B91897" w:rsidRPr="00C0568C" w:rsidRDefault="00B91897" w:rsidP="00C0568C">
            <w:pPr>
              <w:widowControl w:val="0"/>
              <w:pBdr>
                <w:bottom w:val="single" w:sz="6" w:space="1" w:color="auto"/>
              </w:pBdr>
              <w:ind w:right="-1378"/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</w:p>
          <w:p w14:paraId="5C2B1DB1" w14:textId="77777777" w:rsidR="0033579F" w:rsidRPr="00C0568C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color w:val="000000"/>
                <w:sz w:val="20"/>
                <w:szCs w:val="22"/>
              </w:rPr>
            </w:pPr>
            <w:r w:rsidRPr="00C0568C">
              <w:rPr>
                <w:rFonts w:ascii="Marianne" w:hAnsi="Marianne" w:cs="Arial"/>
                <w:b/>
                <w:color w:val="000000"/>
                <w:sz w:val="20"/>
                <w:szCs w:val="22"/>
              </w:rPr>
              <w:t>Objet de la consultation</w:t>
            </w:r>
          </w:p>
          <w:p w14:paraId="7D1EF952" w14:textId="42F47A10" w:rsidR="00C45345" w:rsidRPr="00C0568C" w:rsidRDefault="009B751F" w:rsidP="00C45345">
            <w:pPr>
              <w:widowControl w:val="0"/>
              <w:spacing w:before="120" w:after="120"/>
              <w:rPr>
                <w:rFonts w:ascii="Marianne" w:hAnsi="Marianne" w:cs="Arial"/>
                <w:sz w:val="20"/>
                <w:szCs w:val="22"/>
              </w:rPr>
            </w:pPr>
            <w:bookmarkStart w:id="1" w:name="_Toc81880367"/>
            <w:r w:rsidRPr="00C0568C">
              <w:rPr>
                <w:rFonts w:ascii="Marianne" w:hAnsi="Marianne" w:cs="Arial"/>
                <w:color w:val="000000"/>
                <w:sz w:val="20"/>
                <w:szCs w:val="20"/>
              </w:rPr>
              <w:t>Le présent accord-cadre a pour objet</w:t>
            </w:r>
            <w:r w:rsidRPr="00C0568C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A220F6" w:rsidRPr="007824AF">
              <w:rPr>
                <w:rFonts w:ascii="Marianne" w:hAnsi="Marianne" w:cs="Arial"/>
                <w:sz w:val="20"/>
                <w:szCs w:val="20"/>
              </w:rPr>
              <w:t>des prestations audiovisuelles visant à mettre en valeur la spécificité et la diversité des missions menées par les forestiers de l’Office national des forêts l’ONF</w:t>
            </w:r>
            <w:r w:rsidR="00A220F6">
              <w:rPr>
                <w:rFonts w:ascii="Marianne" w:hAnsi="Marianne" w:cs="Arial"/>
                <w:sz w:val="20"/>
                <w:szCs w:val="20"/>
              </w:rPr>
              <w:t>.</w:t>
            </w:r>
          </w:p>
          <w:bookmarkEnd w:id="1"/>
          <w:p w14:paraId="1F0004C6" w14:textId="77777777" w:rsidR="00C0568C" w:rsidRDefault="00C0568C" w:rsidP="00C45345">
            <w:pPr>
              <w:pBdr>
                <w:bottom w:val="single" w:sz="6" w:space="1" w:color="auto"/>
              </w:pBdr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167E86AD" w14:textId="46A96C50" w:rsidR="00C45345" w:rsidRPr="00C0568C" w:rsidRDefault="00C45345" w:rsidP="00C45345">
            <w:pPr>
              <w:pBdr>
                <w:bottom w:val="single" w:sz="6" w:space="1" w:color="auto"/>
              </w:pBd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bCs/>
                <w:sz w:val="20"/>
                <w:szCs w:val="20"/>
              </w:rPr>
              <w:t>Identification d</w:t>
            </w:r>
            <w:r w:rsidR="00A220F6">
              <w:rPr>
                <w:rFonts w:ascii="Marianne" w:hAnsi="Marianne" w:cs="Arial"/>
                <w:b/>
                <w:bCs/>
                <w:sz w:val="20"/>
                <w:szCs w:val="20"/>
              </w:rPr>
              <w:t>u</w:t>
            </w:r>
            <w:r w:rsidRPr="00C0568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pouvoir adjudicateur</w:t>
            </w:r>
          </w:p>
          <w:p w14:paraId="0F0154D8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4120AC93" w14:textId="77777777" w:rsidR="00C45345" w:rsidRPr="00C0568C" w:rsidRDefault="00C45345" w:rsidP="00C453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bCs/>
                <w:sz w:val="20"/>
                <w:szCs w:val="20"/>
              </w:rPr>
              <w:t>OFFICE NATIONAL DES FORETS</w:t>
            </w:r>
          </w:p>
          <w:p w14:paraId="0CC9C813" w14:textId="77777777" w:rsidR="00100D45" w:rsidRPr="00C0568C" w:rsidRDefault="00100D45" w:rsidP="00100D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2, bis avenue du général Leclerc</w:t>
            </w:r>
          </w:p>
          <w:p w14:paraId="340D3BDF" w14:textId="77777777" w:rsidR="00100D45" w:rsidRPr="00C0568C" w:rsidRDefault="00100D45" w:rsidP="00100D45">
            <w:pPr>
              <w:rPr>
                <w:rFonts w:ascii="Marianne" w:hAnsi="Marianne" w:cs="Arial"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t>94704 Maisons-Alfort Cedex</w:t>
            </w:r>
          </w:p>
          <w:p w14:paraId="6371D68F" w14:textId="77777777" w:rsidR="00C45345" w:rsidRPr="00C0568C" w:rsidRDefault="00C45345" w:rsidP="00C45345">
            <w:pPr>
              <w:rPr>
                <w:rFonts w:ascii="Marianne" w:hAnsi="Marianne" w:cs="Arial"/>
                <w:bCs/>
                <w:sz w:val="20"/>
                <w:szCs w:val="20"/>
              </w:rPr>
            </w:pPr>
          </w:p>
          <w:p w14:paraId="34D7E751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6183D002" w14:textId="77777777" w:rsidR="0033579F" w:rsidRPr="00C0568C" w:rsidRDefault="0033579F" w:rsidP="0033579F">
            <w:pPr>
              <w:widowControl w:val="0"/>
              <w:pBdr>
                <w:bottom w:val="single" w:sz="6" w:space="1" w:color="auto"/>
              </w:pBdr>
              <w:rPr>
                <w:rFonts w:ascii="Marianne" w:hAnsi="Marianne" w:cs="Arial"/>
                <w:b/>
                <w:sz w:val="20"/>
                <w:szCs w:val="22"/>
              </w:rPr>
            </w:pPr>
            <w:r w:rsidRPr="00C0568C">
              <w:rPr>
                <w:rFonts w:ascii="Marianne" w:hAnsi="Marianne" w:cs="Arial"/>
                <w:b/>
                <w:sz w:val="20"/>
                <w:szCs w:val="22"/>
              </w:rPr>
              <w:t>Personne signataire de l’accord-cadre</w:t>
            </w:r>
          </w:p>
          <w:p w14:paraId="18CFC016" w14:textId="77777777" w:rsidR="0033579F" w:rsidRPr="00C0568C" w:rsidRDefault="0033579F" w:rsidP="0033579F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</w:p>
          <w:p w14:paraId="6AD179D5" w14:textId="08B1E97A" w:rsidR="00B91897" w:rsidRPr="00C0568C" w:rsidRDefault="00982BB4" w:rsidP="00C0568C">
            <w:pPr>
              <w:widowControl w:val="0"/>
              <w:rPr>
                <w:rFonts w:ascii="Marianne" w:hAnsi="Marianne" w:cs="Arial"/>
                <w:sz w:val="20"/>
                <w:szCs w:val="22"/>
              </w:rPr>
            </w:pPr>
            <w:r w:rsidRPr="007B742D">
              <w:rPr>
                <w:rFonts w:ascii="Marianne" w:hAnsi="Marianne" w:cs="Arial"/>
                <w:color w:val="000000" w:themeColor="text1"/>
                <w:sz w:val="20"/>
                <w:szCs w:val="22"/>
              </w:rPr>
              <w:t xml:space="preserve">La personne signataire de l’accord-cadre est </w:t>
            </w:r>
            <w:r w:rsidR="00CA12AA" w:rsidRPr="00CA12AA">
              <w:rPr>
                <w:rFonts w:ascii="Marianne" w:hAnsi="Marianne" w:cs="Arial"/>
                <w:sz w:val="20"/>
                <w:szCs w:val="20"/>
              </w:rPr>
              <w:t>Madame Valérie METRICH-HECQUET</w:t>
            </w:r>
            <w:r w:rsidRPr="007B742D">
              <w:rPr>
                <w:rFonts w:ascii="Marianne" w:hAnsi="Marianne" w:cs="Arial"/>
                <w:sz w:val="20"/>
                <w:szCs w:val="22"/>
              </w:rPr>
              <w:t xml:space="preserve">, </w:t>
            </w:r>
            <w:r w:rsidR="00CA12AA" w:rsidRPr="00CA12AA">
              <w:rPr>
                <w:rFonts w:ascii="Marianne" w:hAnsi="Marianne" w:cs="Arial"/>
                <w:sz w:val="20"/>
                <w:szCs w:val="20"/>
              </w:rPr>
              <w:t xml:space="preserve">Directrice générale de l’Office national des forêts </w:t>
            </w:r>
            <w:r w:rsidRPr="007B742D">
              <w:rPr>
                <w:rFonts w:ascii="Marianne" w:hAnsi="Marianne" w:cs="Arial"/>
                <w:sz w:val="20"/>
                <w:szCs w:val="20"/>
              </w:rPr>
              <w:t>en qualité de coordinateur du groupement de commandes</w:t>
            </w:r>
            <w:r w:rsidR="00C45345" w:rsidRPr="00C0568C">
              <w:rPr>
                <w:rFonts w:ascii="Marianne" w:hAnsi="Marianne" w:cs="Arial"/>
                <w:sz w:val="20"/>
                <w:szCs w:val="20"/>
              </w:rPr>
              <w:t>.</w:t>
            </w:r>
          </w:p>
        </w:tc>
      </w:tr>
      <w:bookmarkEnd w:id="0"/>
    </w:tbl>
    <w:p w14:paraId="70C78A03" w14:textId="77777777" w:rsidR="00FB75A6" w:rsidRPr="00C0568C" w:rsidRDefault="00FB75A6">
      <w:pPr>
        <w:spacing w:before="200" w:after="200"/>
        <w:jc w:val="center"/>
        <w:outlineLvl w:val="0"/>
        <w:rPr>
          <w:rFonts w:ascii="Marianne" w:hAnsi="Marianne"/>
          <w:color w:val="FF0000"/>
        </w:rPr>
        <w:sectPr w:rsidR="00FB75A6" w:rsidRPr="00C0568C" w:rsidSect="00E43D03">
          <w:pgSz w:w="11907" w:h="16840" w:code="9"/>
          <w:pgMar w:top="851" w:right="709" w:bottom="567" w:left="709" w:header="567" w:footer="567" w:gutter="0"/>
          <w:pgNumType w:start="1"/>
          <w:cols w:space="720" w:equalWidth="0">
            <w:col w:w="10320" w:space="709"/>
          </w:cols>
        </w:sectPr>
      </w:pPr>
    </w:p>
    <w:p w14:paraId="3206863C" w14:textId="77777777" w:rsidR="003B05AD" w:rsidRPr="00C0568C" w:rsidRDefault="003B05AD" w:rsidP="003B05AD">
      <w:pPr>
        <w:pStyle w:val="texte1"/>
        <w:rPr>
          <w:rFonts w:ascii="Marianne" w:hAnsi="Marianne" w:cs="Arial"/>
          <w:b/>
          <w:sz w:val="20"/>
          <w:szCs w:val="20"/>
        </w:rPr>
      </w:pPr>
      <w:bookmarkStart w:id="2" w:name="_Toc107398993"/>
      <w:bookmarkStart w:id="3" w:name="_Toc124846639"/>
    </w:p>
    <w:p w14:paraId="3F587574" w14:textId="77777777" w:rsidR="008531B1" w:rsidRPr="00C0568C" w:rsidRDefault="00E2497F" w:rsidP="003B05AD">
      <w:pPr>
        <w:pStyle w:val="texte1"/>
        <w:rPr>
          <w:rFonts w:ascii="Marianne" w:hAnsi="Marianne" w:cs="Arial"/>
          <w:b/>
          <w:vanish/>
          <w:sz w:val="20"/>
          <w:szCs w:val="20"/>
        </w:rPr>
      </w:pPr>
      <w:r w:rsidRPr="00C0568C">
        <w:rPr>
          <w:rFonts w:ascii="Marianne" w:hAnsi="Marianne" w:cs="Arial"/>
          <w:b/>
          <w:vanish/>
          <w:sz w:val="20"/>
          <w:szCs w:val="20"/>
        </w:rPr>
        <w:t xml:space="preserve">COMPLÉTER LE BAS DE PAGE </w:t>
      </w:r>
    </w:p>
    <w:p w14:paraId="3F9EABD2" w14:textId="77777777" w:rsidR="00336910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jc w:val="center"/>
        <w:rPr>
          <w:rFonts w:ascii="Marianne" w:hAnsi="Marianne" w:cs="Arial"/>
          <w:b/>
          <w:sz w:val="20"/>
          <w:szCs w:val="20"/>
        </w:rPr>
      </w:pPr>
      <w:bookmarkStart w:id="4" w:name="_Toc525705725"/>
      <w:bookmarkStart w:id="5" w:name="_Toc134337386"/>
      <w:bookmarkEnd w:id="2"/>
      <w:bookmarkEnd w:id="3"/>
      <w:r w:rsidRPr="00C0568C">
        <w:rPr>
          <w:rFonts w:ascii="Marianne" w:hAnsi="Marianne" w:cs="Arial"/>
          <w:b/>
          <w:sz w:val="20"/>
          <w:szCs w:val="20"/>
        </w:rPr>
        <w:t>AVERTISSEMENT</w:t>
      </w:r>
      <w:r w:rsidR="009E00C3" w:rsidRPr="00C0568C">
        <w:rPr>
          <w:rFonts w:ascii="Marianne" w:hAnsi="Marianne" w:cs="Arial"/>
          <w:b/>
          <w:sz w:val="20"/>
          <w:szCs w:val="20"/>
        </w:rPr>
        <w:t xml:space="preserve"> </w:t>
      </w:r>
    </w:p>
    <w:p w14:paraId="45327879" w14:textId="77777777" w:rsidR="00336910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 xml:space="preserve">Les candidats devront établir leur mémoire technique en respectant strictement </w:t>
      </w:r>
      <w:r w:rsidR="00317E65" w:rsidRPr="00C0568C">
        <w:rPr>
          <w:rFonts w:ascii="Marianne" w:hAnsi="Marianne" w:cs="Arial"/>
          <w:sz w:val="20"/>
          <w:szCs w:val="20"/>
        </w:rPr>
        <w:t>l’organisation</w:t>
      </w:r>
      <w:r w:rsidRPr="00C0568C">
        <w:rPr>
          <w:rFonts w:ascii="Marianne" w:hAnsi="Marianne" w:cs="Arial"/>
          <w:sz w:val="20"/>
          <w:szCs w:val="20"/>
        </w:rPr>
        <w:t xml:space="preserve"> du présent cadre (respect de l'ordre et du titrage des chapitres et articles)</w:t>
      </w:r>
      <w:r w:rsidR="003017B3" w:rsidRPr="00C0568C">
        <w:rPr>
          <w:rFonts w:ascii="Marianne" w:hAnsi="Marianne" w:cs="Arial"/>
          <w:sz w:val="20"/>
          <w:szCs w:val="20"/>
        </w:rPr>
        <w:t xml:space="preserve">. </w:t>
      </w:r>
      <w:r w:rsidRPr="00C0568C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C0568C">
        <w:rPr>
          <w:rFonts w:ascii="Marianne" w:hAnsi="Marianne" w:cs="Arial"/>
          <w:sz w:val="20"/>
          <w:szCs w:val="20"/>
        </w:rPr>
        <w:t>aient utiles en fin de document.</w:t>
      </w:r>
    </w:p>
    <w:p w14:paraId="10A03817" w14:textId="046EABE1" w:rsidR="00CA12AA" w:rsidRPr="00C0568C" w:rsidRDefault="00CA12AA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document ne devra pas dépasser </w:t>
      </w:r>
      <w:r w:rsidR="00764FA9">
        <w:rPr>
          <w:rFonts w:ascii="Marianne" w:hAnsi="Marianne" w:cs="Arial"/>
          <w:sz w:val="20"/>
          <w:szCs w:val="20"/>
        </w:rPr>
        <w:t>60</w:t>
      </w:r>
      <w:r>
        <w:rPr>
          <w:rFonts w:ascii="Marianne" w:hAnsi="Marianne" w:cs="Arial"/>
          <w:sz w:val="20"/>
          <w:szCs w:val="20"/>
        </w:rPr>
        <w:t xml:space="preserve"> pages (hors références et exemples de livrables).</w:t>
      </w:r>
    </w:p>
    <w:p w14:paraId="2B884612" w14:textId="77777777" w:rsidR="00544DB2" w:rsidRPr="00C0568C" w:rsidRDefault="00336910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 xml:space="preserve">Ce document </w:t>
      </w:r>
      <w:r w:rsidRPr="00C0568C">
        <w:rPr>
          <w:rFonts w:ascii="Marianne" w:hAnsi="Marianne" w:cs="Arial"/>
          <w:sz w:val="20"/>
          <w:szCs w:val="20"/>
          <w:u w:val="single"/>
        </w:rPr>
        <w:t>contractuel</w:t>
      </w:r>
      <w:r w:rsidRPr="00C0568C">
        <w:rPr>
          <w:rFonts w:ascii="Marianne" w:hAnsi="Marianne" w:cs="Arial"/>
          <w:sz w:val="20"/>
          <w:szCs w:val="20"/>
        </w:rPr>
        <w:t xml:space="preserve"> </w:t>
      </w:r>
      <w:r w:rsidR="00DD7159" w:rsidRPr="00C0568C">
        <w:rPr>
          <w:rFonts w:ascii="Marianne" w:hAnsi="Marianne" w:cs="Arial"/>
          <w:sz w:val="20"/>
          <w:szCs w:val="20"/>
        </w:rPr>
        <w:t>servira au jugement de l'offre et sera noté sur 100 points.</w:t>
      </w:r>
      <w:r w:rsidR="00F32978" w:rsidRPr="00C0568C">
        <w:rPr>
          <w:rFonts w:ascii="Marianne" w:hAnsi="Marianne" w:cs="Arial"/>
          <w:sz w:val="20"/>
          <w:szCs w:val="20"/>
        </w:rPr>
        <w:t xml:space="preserve"> </w:t>
      </w:r>
    </w:p>
    <w:p w14:paraId="25F4ED1E" w14:textId="77777777" w:rsidR="00336910" w:rsidRPr="00C0568C" w:rsidRDefault="00F32978" w:rsidP="00544DB2">
      <w:pPr>
        <w:pStyle w:val="texte1"/>
        <w:pBdr>
          <w:top w:val="single" w:sz="4" w:space="1" w:color="auto"/>
          <w:left w:val="single" w:sz="4" w:space="8" w:color="auto"/>
          <w:bottom w:val="single" w:sz="4" w:space="5" w:color="auto"/>
          <w:right w:val="single" w:sz="4" w:space="0" w:color="auto"/>
        </w:pBdr>
        <w:rPr>
          <w:rFonts w:ascii="Marianne" w:hAnsi="Marianne" w:cs="Arial"/>
          <w:sz w:val="20"/>
          <w:szCs w:val="20"/>
        </w:rPr>
      </w:pPr>
      <w:r w:rsidRPr="00C0568C">
        <w:rPr>
          <w:rFonts w:ascii="Marianne" w:hAnsi="Marianne" w:cs="Arial"/>
          <w:sz w:val="20"/>
          <w:szCs w:val="20"/>
        </w:rPr>
        <w:t>La note finale sera ramenée au poids du critère.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  <w:gridCol w:w="1418"/>
      </w:tblGrid>
      <w:tr w:rsidR="00F95672" w:rsidRPr="00C0568C" w14:paraId="19C1739C" w14:textId="77777777" w:rsidTr="00C0568C">
        <w:trPr>
          <w:cantSplit/>
          <w:trHeight w:val="622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03963CD" w14:textId="21F3BEBF" w:rsidR="009F509D" w:rsidRPr="00C0568C" w:rsidRDefault="009F509D" w:rsidP="00C0568C">
            <w:pPr>
              <w:pStyle w:val="texte1"/>
              <w:spacing w:after="0"/>
              <w:ind w:right="40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1 </w:t>
            </w:r>
            <w:r w:rsidR="003F51A8" w:rsidRPr="00C0568C">
              <w:rPr>
                <w:rFonts w:ascii="Marianne" w:hAnsi="Marianne" w:cs="Arial"/>
                <w:b/>
                <w:sz w:val="20"/>
                <w:szCs w:val="20"/>
              </w:rPr>
              <w:t>–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="00574454">
              <w:rPr>
                <w:rFonts w:ascii="Marianne" w:hAnsi="Marianne" w:cs="Arial"/>
                <w:b/>
                <w:sz w:val="20"/>
                <w:szCs w:val="20"/>
              </w:rPr>
              <w:t>Qualité des moyens humains</w:t>
            </w:r>
            <w:r w:rsidR="00CA12AA">
              <w:rPr>
                <w:rFonts w:ascii="Marianne" w:hAnsi="Marianne" w:cs="Arial"/>
                <w:b/>
                <w:sz w:val="20"/>
                <w:szCs w:val="20"/>
              </w:rPr>
              <w:t xml:space="preserve"> dédié</w:t>
            </w:r>
            <w:r w:rsidR="00574454">
              <w:rPr>
                <w:rFonts w:ascii="Marianne" w:hAnsi="Marianne" w:cs="Arial"/>
                <w:b/>
                <w:sz w:val="20"/>
                <w:szCs w:val="20"/>
              </w:rPr>
              <w:t>s</w:t>
            </w:r>
            <w:r w:rsidR="00CA12AA">
              <w:rPr>
                <w:rFonts w:ascii="Marianne" w:hAnsi="Marianne" w:cs="Arial"/>
                <w:b/>
                <w:sz w:val="20"/>
                <w:szCs w:val="20"/>
              </w:rPr>
              <w:t xml:space="preserve"> à l’exécution des prestations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4B68962" w14:textId="61DD1199" w:rsidR="002A17B6" w:rsidRPr="00C0568C" w:rsidRDefault="00A220F6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5</w:t>
            </w:r>
            <w:r w:rsidR="00184171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0 </w:t>
            </w:r>
            <w:r w:rsidR="007968BB" w:rsidRPr="00C0568C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D52F02" w:rsidRPr="00C0568C" w14:paraId="797D0894" w14:textId="77777777" w:rsidTr="00A220F6">
        <w:trPr>
          <w:cantSplit/>
          <w:trHeight w:val="939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0DA46" w14:textId="312305D4" w:rsidR="00D52F02" w:rsidRPr="00A220F6" w:rsidRDefault="00A220F6" w:rsidP="00A220F6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A220F6">
              <w:rPr>
                <w:rFonts w:ascii="Marianne" w:hAnsi="Marianne" w:cs="Arial"/>
                <w:bCs/>
                <w:sz w:val="18"/>
                <w:szCs w:val="18"/>
              </w:rPr>
              <w:t>SC1.1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>
              <w:rPr>
                <w:rFonts w:ascii="Marianne" w:hAnsi="Marianne" w:cs="Arial"/>
                <w:bCs/>
                <w:sz w:val="18"/>
                <w:szCs w:val="18"/>
              </w:rPr>
              <w:t>:</w:t>
            </w:r>
            <w:r w:rsidRPr="00A220F6">
              <w:rPr>
                <w:rFonts w:ascii="Marianne" w:hAnsi="Marianne" w:cs="Arial"/>
                <w:bCs/>
                <w:sz w:val="18"/>
                <w:szCs w:val="18"/>
              </w:rPr>
              <w:t xml:space="preserve"> Profil et expériences de l’équipe dédiée pour assurer les prestations, avec transmission de contenus vidéos/photos et podcast datant de moins de 2 ans pour des clients (s’agissant notamment pour la vidéo de reportages, vlog, documentaires, reportages intégrant du motion design et podcast)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2672D" w14:textId="0BC2359A" w:rsidR="00D52F02" w:rsidRPr="00A220F6" w:rsidRDefault="00A220F6" w:rsidP="00A220F6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A220F6">
              <w:rPr>
                <w:rFonts w:ascii="Marianne" w:hAnsi="Marianne" w:cs="Arial"/>
                <w:sz w:val="18"/>
                <w:szCs w:val="18"/>
              </w:rPr>
              <w:t>30 points</w:t>
            </w:r>
          </w:p>
        </w:tc>
      </w:tr>
      <w:tr w:rsidR="00A220F6" w:rsidRPr="00C0568C" w14:paraId="298799C9" w14:textId="77777777" w:rsidTr="00A220F6">
        <w:trPr>
          <w:cantSplit/>
          <w:trHeight w:val="682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37067" w14:textId="3ED17B59" w:rsidR="00A220F6" w:rsidRPr="00A220F6" w:rsidRDefault="00A220F6" w:rsidP="00A220F6">
            <w:pPr>
              <w:pStyle w:val="texte1"/>
              <w:jc w:val="left"/>
              <w:rPr>
                <w:rFonts w:ascii="Marianne" w:hAnsi="Marianne" w:cs="Arial"/>
                <w:bCs/>
                <w:sz w:val="18"/>
                <w:szCs w:val="18"/>
              </w:rPr>
            </w:pPr>
            <w:r w:rsidRPr="00A220F6">
              <w:rPr>
                <w:rFonts w:ascii="Marianne" w:hAnsi="Marianne" w:cs="Arial"/>
                <w:bCs/>
                <w:sz w:val="18"/>
                <w:szCs w:val="18"/>
              </w:rPr>
              <w:t>SC1.2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 </w:t>
            </w:r>
            <w:r>
              <w:rPr>
                <w:rFonts w:ascii="Marianne" w:hAnsi="Marianne" w:cs="Arial"/>
                <w:bCs/>
                <w:sz w:val="18"/>
                <w:szCs w:val="18"/>
              </w:rPr>
              <w:t>:</w:t>
            </w:r>
            <w:r w:rsidRPr="00A220F6">
              <w:rPr>
                <w:rFonts w:ascii="Marianne" w:hAnsi="Marianne" w:cs="Arial"/>
                <w:bCs/>
                <w:sz w:val="18"/>
                <w:szCs w:val="18"/>
              </w:rPr>
              <w:t xml:space="preserve"> Etendue du réseau de photographes implantés sur le territoire métropolitain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C15A9" w14:textId="601BE39C" w:rsidR="00A220F6" w:rsidRPr="00A220F6" w:rsidRDefault="00A220F6" w:rsidP="00A220F6">
            <w:pPr>
              <w:pStyle w:val="texte1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A220F6">
              <w:rPr>
                <w:rFonts w:ascii="Marianne" w:hAnsi="Marianne" w:cs="Arial"/>
                <w:bCs/>
                <w:sz w:val="18"/>
                <w:szCs w:val="18"/>
              </w:rPr>
              <w:t>20 points</w:t>
            </w:r>
          </w:p>
        </w:tc>
      </w:tr>
      <w:tr w:rsidR="00F95672" w:rsidRPr="00C0568C" w14:paraId="31796F51" w14:textId="77777777" w:rsidTr="00C0568C">
        <w:trPr>
          <w:cantSplit/>
          <w:trHeight w:val="599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69AFD90" w14:textId="49A16D6B" w:rsidR="0066324B" w:rsidRPr="00C0568C" w:rsidRDefault="00C24034" w:rsidP="00602449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7968BB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2 – </w:t>
            </w:r>
            <w:r w:rsidR="00A220F6">
              <w:rPr>
                <w:rFonts w:ascii="Marianne" w:hAnsi="Marianne" w:cs="Arial"/>
                <w:b/>
                <w:sz w:val="20"/>
                <w:szCs w:val="20"/>
              </w:rPr>
              <w:t>Cas pratique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2FE5115" w14:textId="31EA3B67" w:rsidR="007968BB" w:rsidRPr="00C0568C" w:rsidRDefault="00184171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b/>
                <w:sz w:val="20"/>
                <w:szCs w:val="20"/>
              </w:rPr>
              <w:t>3</w:t>
            </w:r>
            <w:r w:rsidR="00915259">
              <w:rPr>
                <w:rFonts w:ascii="Marianne" w:hAnsi="Marianne" w:cs="Arial"/>
                <w:b/>
                <w:sz w:val="20"/>
                <w:szCs w:val="20"/>
              </w:rPr>
              <w:t>0</w:t>
            </w:r>
            <w:r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="007968BB" w:rsidRPr="00C0568C">
              <w:rPr>
                <w:rFonts w:ascii="Marianne" w:hAnsi="Marianne" w:cs="Arial"/>
                <w:b/>
                <w:sz w:val="20"/>
                <w:szCs w:val="20"/>
              </w:rPr>
              <w:t>points</w:t>
            </w:r>
          </w:p>
        </w:tc>
      </w:tr>
      <w:tr w:rsidR="00D56A93" w:rsidRPr="00C0568C" w14:paraId="2E8601A7" w14:textId="77777777" w:rsidTr="00C0568C">
        <w:trPr>
          <w:cantSplit/>
          <w:jc w:val="center"/>
        </w:trPr>
        <w:tc>
          <w:tcPr>
            <w:tcW w:w="9067" w:type="dxa"/>
            <w:shd w:val="clear" w:color="auto" w:fill="auto"/>
            <w:vAlign w:val="center"/>
          </w:tcPr>
          <w:p w14:paraId="1AB0445B" w14:textId="7848EAAF" w:rsidR="00A220F6" w:rsidRPr="00C0568C" w:rsidRDefault="00A220F6" w:rsidP="00915259">
            <w:p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A220F6">
              <w:rPr>
                <w:rFonts w:ascii="Marianne" w:hAnsi="Marianne" w:cs="Arial"/>
                <w:sz w:val="18"/>
                <w:szCs w:val="18"/>
              </w:rPr>
              <w:t xml:space="preserve">Réalisation d’une vidéo courte </w:t>
            </w:r>
            <w:r w:rsidR="002B75C8">
              <w:rPr>
                <w:rFonts w:ascii="Marianne" w:hAnsi="Marianne" w:cs="Arial"/>
                <w:sz w:val="18"/>
                <w:szCs w:val="18"/>
              </w:rPr>
              <w:t xml:space="preserve">et pédagogique </w:t>
            </w:r>
            <w:r w:rsidRPr="00A220F6">
              <w:rPr>
                <w:rFonts w:ascii="Marianne" w:hAnsi="Marianne" w:cs="Arial"/>
                <w:sz w:val="18"/>
                <w:szCs w:val="18"/>
              </w:rPr>
              <w:t xml:space="preserve">de 3 mn à partir </w:t>
            </w:r>
            <w:r w:rsidR="002B75C8">
              <w:rPr>
                <w:rFonts w:ascii="Marianne" w:hAnsi="Marianne" w:cs="Arial"/>
                <w:sz w:val="18"/>
                <w:szCs w:val="18"/>
              </w:rPr>
              <w:t xml:space="preserve">de cette vidéo </w:t>
            </w:r>
            <w:hyperlink r:id="rId9" w:history="1">
              <w:r w:rsidR="002B75C8" w:rsidRPr="00CE2DC8">
                <w:rPr>
                  <w:rStyle w:val="Lienhypertexte"/>
                  <w:rFonts w:ascii="Marianne" w:hAnsi="Marianne" w:cs="Arial"/>
                  <w:sz w:val="18"/>
                  <w:szCs w:val="18"/>
                </w:rPr>
                <w:t>https://www.onf.fr/vivre-la-foret/+/1d08::role-des-zones-humides-forestieres-dans-la-regulation-des-cours-deau.html</w:t>
              </w:r>
            </w:hyperlink>
            <w:r w:rsidR="002B75C8">
              <w:rPr>
                <w:rFonts w:ascii="Marianne" w:hAnsi="Marianne" w:cs="Arial"/>
                <w:sz w:val="18"/>
                <w:szCs w:val="18"/>
              </w:rPr>
              <w:t>. Le format et ton proposé dans le cadre de ce cas pratique doit être pédagogique et s’adresser à la cible grand public.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3B06EF" w14:textId="77777777" w:rsidR="006025F1" w:rsidRPr="00C0568C" w:rsidRDefault="006025F1" w:rsidP="00D56A93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D56A93" w:rsidRPr="00C0568C" w14:paraId="44C9799D" w14:textId="77777777" w:rsidTr="00C0568C">
        <w:trPr>
          <w:cantSplit/>
          <w:trHeight w:val="573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65FA1CD6" w14:textId="0BFF0554" w:rsidR="00D56A93" w:rsidRPr="00C0568C" w:rsidRDefault="001806E2" w:rsidP="001806E2">
            <w:pPr>
              <w:rPr>
                <w:rFonts w:ascii="Marianne" w:hAnsi="Marianne" w:cs="Arial"/>
                <w:b/>
                <w:sz w:val="20"/>
                <w:szCs w:val="20"/>
              </w:rPr>
            </w:pPr>
            <w:r w:rsidRPr="00C0568C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D56A93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3 – </w:t>
            </w:r>
            <w:r w:rsidR="00A220F6" w:rsidRPr="00A220F6">
              <w:rPr>
                <w:rFonts w:ascii="Marianne" w:hAnsi="Marianne" w:cs="Arial"/>
                <w:b/>
                <w:sz w:val="20"/>
                <w:szCs w:val="20"/>
              </w:rPr>
              <w:t>Qualité et méthodologie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7312E49" w14:textId="4BD02479" w:rsidR="00680C60" w:rsidRPr="00C0568C" w:rsidRDefault="00A220F6" w:rsidP="00204B78">
            <w:pPr>
              <w:pStyle w:val="texte1"/>
              <w:spacing w:after="0"/>
              <w:ind w:right="4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</w:t>
            </w:r>
            <w:r w:rsidR="00915259">
              <w:rPr>
                <w:rFonts w:ascii="Marianne" w:hAnsi="Marianne" w:cs="Arial"/>
                <w:b/>
                <w:sz w:val="20"/>
                <w:szCs w:val="20"/>
              </w:rPr>
              <w:t>0</w:t>
            </w:r>
            <w:r w:rsidR="00184171" w:rsidRPr="00C0568C">
              <w:rPr>
                <w:rFonts w:ascii="Marianne" w:hAnsi="Marianne" w:cs="Arial"/>
                <w:b/>
                <w:sz w:val="20"/>
                <w:szCs w:val="20"/>
              </w:rPr>
              <w:t xml:space="preserve"> points</w:t>
            </w:r>
          </w:p>
        </w:tc>
      </w:tr>
      <w:tr w:rsidR="009945F8" w:rsidRPr="00C0568C" w14:paraId="2CCD74CE" w14:textId="77777777" w:rsidTr="00A220F6">
        <w:trPr>
          <w:cantSplit/>
          <w:trHeight w:val="758"/>
          <w:jc w:val="center"/>
        </w:trPr>
        <w:tc>
          <w:tcPr>
            <w:tcW w:w="9067" w:type="dxa"/>
            <w:shd w:val="clear" w:color="auto" w:fill="auto"/>
            <w:vAlign w:val="center"/>
          </w:tcPr>
          <w:p w14:paraId="2EE7BBC5" w14:textId="18154BE0" w:rsidR="00915259" w:rsidRPr="00C0568C" w:rsidRDefault="00764FA9" w:rsidP="00915259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Description de la</w:t>
            </w:r>
            <w:r w:rsidR="00A220F6" w:rsidRPr="00A220F6">
              <w:rPr>
                <w:rFonts w:ascii="Marianne" w:hAnsi="Marianne" w:cs="Arial"/>
                <w:sz w:val="18"/>
                <w:szCs w:val="18"/>
              </w:rPr>
              <w:t xml:space="preserve"> méthodologie de gestion du marché pour chacune des prestations.</w:t>
            </w:r>
          </w:p>
        </w:tc>
        <w:tc>
          <w:tcPr>
            <w:tcW w:w="1418" w:type="dxa"/>
            <w:shd w:val="clear" w:color="auto" w:fill="auto"/>
          </w:tcPr>
          <w:p w14:paraId="0B1B2E57" w14:textId="77777777" w:rsidR="00DF20C8" w:rsidRPr="00C0568C" w:rsidRDefault="00DF20C8" w:rsidP="009A7FCD">
            <w:pPr>
              <w:pStyle w:val="texte1"/>
              <w:jc w:val="left"/>
              <w:rPr>
                <w:rFonts w:ascii="Marianne" w:hAnsi="Marianne" w:cs="Arial"/>
                <w:color w:val="FF0000"/>
                <w:sz w:val="18"/>
                <w:szCs w:val="18"/>
              </w:rPr>
            </w:pPr>
          </w:p>
        </w:tc>
      </w:tr>
      <w:bookmarkEnd w:id="4"/>
      <w:bookmarkEnd w:id="5"/>
    </w:tbl>
    <w:p w14:paraId="6106DB53" w14:textId="0E93844F" w:rsidR="007124DF" w:rsidRPr="007124DF" w:rsidRDefault="007124DF" w:rsidP="007124DF">
      <w:pPr>
        <w:tabs>
          <w:tab w:val="left" w:pos="764"/>
        </w:tabs>
        <w:rPr>
          <w:rFonts w:ascii="Marianne" w:hAnsi="Marianne" w:cs="Arial"/>
          <w:sz w:val="20"/>
          <w:szCs w:val="20"/>
        </w:rPr>
        <w:sectPr w:rsidR="007124DF" w:rsidRPr="007124DF" w:rsidSect="00803D63">
          <w:headerReference w:type="default" r:id="rId10"/>
          <w:footerReference w:type="default" r:id="rId11"/>
          <w:pgSz w:w="11907" w:h="16840" w:code="9"/>
          <w:pgMar w:top="567" w:right="851" w:bottom="567" w:left="851" w:header="454" w:footer="340" w:gutter="0"/>
          <w:cols w:space="720"/>
          <w:docGrid w:linePitch="326"/>
        </w:sectPr>
      </w:pPr>
    </w:p>
    <w:p w14:paraId="5242AA2E" w14:textId="77777777" w:rsidR="00EF32CB" w:rsidRPr="00EF32CB" w:rsidRDefault="00EF32CB" w:rsidP="00B20841">
      <w:pPr>
        <w:rPr>
          <w:rFonts w:ascii="Marianne" w:hAnsi="Marianne" w:cs="Arial"/>
          <w:sz w:val="20"/>
          <w:szCs w:val="20"/>
        </w:rPr>
      </w:pPr>
    </w:p>
    <w:sectPr w:rsidR="00EF32CB" w:rsidRPr="00EF32CB" w:rsidSect="00803D63">
      <w:pgSz w:w="16840" w:h="11907" w:orient="landscape" w:code="9"/>
      <w:pgMar w:top="851" w:right="567" w:bottom="851" w:left="567" w:header="454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4D8C5" w14:textId="77777777" w:rsidR="00932194" w:rsidRDefault="00932194">
      <w:r>
        <w:separator/>
      </w:r>
    </w:p>
  </w:endnote>
  <w:endnote w:type="continuationSeparator" w:id="0">
    <w:p w14:paraId="1390C8EC" w14:textId="77777777" w:rsidR="00932194" w:rsidRDefault="0093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C0568C" w:rsidRPr="00C0568C" w14:paraId="1BB7AD8C" w14:textId="77777777" w:rsidTr="00C0568C">
      <w:trPr>
        <w:cantSplit/>
        <w:trHeight w:val="269"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A3A154D" w14:textId="40F4DB3A" w:rsidR="00970409" w:rsidRPr="00C0568C" w:rsidRDefault="00B91897" w:rsidP="0066342A">
          <w:pPr>
            <w:pStyle w:val="Pieddepage"/>
            <w:rPr>
              <w:rFonts w:ascii="Marianne" w:hAnsi="Marianne"/>
              <w:i/>
              <w:color w:val="000000" w:themeColor="text1"/>
              <w:sz w:val="18"/>
              <w:szCs w:val="18"/>
            </w:rPr>
          </w:pPr>
          <w:r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CMT</w:t>
          </w:r>
          <w:r w:rsidR="0097040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–</w:t>
          </w:r>
          <w:r w:rsidR="00B20841">
            <w:rPr>
              <w:rFonts w:ascii="Marianne" w:hAnsi="Marianne"/>
              <w:i/>
              <w:color w:val="000000" w:themeColor="text1"/>
              <w:sz w:val="18"/>
              <w:szCs w:val="18"/>
            </w:rPr>
            <w:t>Prestations audiovisuelles</w:t>
          </w:r>
          <w:r w:rsidR="009C4C59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 xml:space="preserve"> </w:t>
          </w:r>
          <w:r w:rsidR="00EC5DB6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2025-</w:t>
          </w:r>
          <w:r w:rsidR="00C0568C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92</w:t>
          </w:r>
          <w:r w:rsidR="00915259">
            <w:rPr>
              <w:rFonts w:ascii="Marianne" w:hAnsi="Marianne"/>
              <w:i/>
              <w:color w:val="000000" w:themeColor="text1"/>
              <w:sz w:val="18"/>
              <w:szCs w:val="18"/>
            </w:rPr>
            <w:t>60</w:t>
          </w:r>
          <w:r w:rsidR="00C0568C" w:rsidRPr="00C0568C">
            <w:rPr>
              <w:rFonts w:ascii="Marianne" w:hAnsi="Marianne"/>
              <w:i/>
              <w:color w:val="000000" w:themeColor="text1"/>
              <w:sz w:val="18"/>
              <w:szCs w:val="18"/>
            </w:rPr>
            <w:t>-00</w:t>
          </w:r>
          <w:r w:rsidR="00B20841">
            <w:rPr>
              <w:rFonts w:ascii="Marianne" w:hAnsi="Marianne"/>
              <w:i/>
              <w:color w:val="000000" w:themeColor="text1"/>
              <w:sz w:val="18"/>
              <w:szCs w:val="18"/>
            </w:rPr>
            <w:t>2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21502C14" w14:textId="77777777" w:rsidR="00970409" w:rsidRPr="00C0568C" w:rsidRDefault="00970409">
          <w:pPr>
            <w:pStyle w:val="Pieddepage"/>
            <w:jc w:val="center"/>
            <w:rPr>
              <w:rFonts w:ascii="Marianne" w:hAnsi="Marianne"/>
              <w:color w:val="000000" w:themeColor="text1"/>
              <w:sz w:val="18"/>
              <w:szCs w:val="18"/>
            </w:rPr>
          </w:pP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Page 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begin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instrText xml:space="preserve"> PAGE </w:instrTex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separate"/>
          </w:r>
          <w:r w:rsidR="009B751F" w:rsidRPr="00C0568C">
            <w:rPr>
              <w:rFonts w:ascii="Marianne" w:hAnsi="Marianne"/>
              <w:noProof/>
              <w:snapToGrid w:val="0"/>
              <w:color w:val="000000" w:themeColor="text1"/>
              <w:sz w:val="18"/>
              <w:szCs w:val="18"/>
              <w:lang w:val="de-DE"/>
            </w:rPr>
            <w:t>4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end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 </w:t>
          </w:r>
          <w:proofErr w:type="spellStart"/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>sur</w:t>
          </w:r>
          <w:proofErr w:type="spellEnd"/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t xml:space="preserve"> 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begin"/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instrText xml:space="preserve"> NUMPAGES </w:instrTex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separate"/>
          </w:r>
          <w:r w:rsidR="009B751F" w:rsidRPr="00C0568C">
            <w:rPr>
              <w:rFonts w:ascii="Marianne" w:hAnsi="Marianne"/>
              <w:noProof/>
              <w:snapToGrid w:val="0"/>
              <w:color w:val="000000" w:themeColor="text1"/>
              <w:sz w:val="18"/>
              <w:szCs w:val="18"/>
              <w:lang w:val="de-DE"/>
            </w:rPr>
            <w:t>4</w:t>
          </w:r>
          <w:r w:rsidRPr="00C0568C">
            <w:rPr>
              <w:rFonts w:ascii="Marianne" w:hAnsi="Marianne"/>
              <w:snapToGrid w:val="0"/>
              <w:color w:val="000000" w:themeColor="text1"/>
              <w:sz w:val="18"/>
              <w:szCs w:val="18"/>
              <w:lang w:val="de-DE"/>
            </w:rPr>
            <w:fldChar w:fldCharType="end"/>
          </w:r>
        </w:p>
      </w:tc>
    </w:tr>
  </w:tbl>
  <w:p w14:paraId="708982C3" w14:textId="77777777" w:rsidR="00970409" w:rsidRPr="00C0568C" w:rsidRDefault="00970409">
    <w:pPr>
      <w:pStyle w:val="Pieddepage"/>
      <w:rPr>
        <w:rFonts w:ascii="Marianne" w:hAnsi="Marianne"/>
        <w:color w:val="000000" w:themeColor="text1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30FD9" w14:textId="77777777" w:rsidR="00932194" w:rsidRDefault="00932194">
      <w:r>
        <w:separator/>
      </w:r>
    </w:p>
  </w:footnote>
  <w:footnote w:type="continuationSeparator" w:id="0">
    <w:p w14:paraId="11D61226" w14:textId="77777777" w:rsidR="00932194" w:rsidRDefault="00932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2C20" w14:textId="77777777" w:rsidR="00970409" w:rsidRDefault="00970409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B085A"/>
    <w:multiLevelType w:val="hybridMultilevel"/>
    <w:tmpl w:val="69DEEACA"/>
    <w:lvl w:ilvl="0" w:tplc="1922988A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0741E3"/>
    <w:multiLevelType w:val="hybridMultilevel"/>
    <w:tmpl w:val="4F1A17DC"/>
    <w:lvl w:ilvl="0" w:tplc="BABA0F7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6443041"/>
    <w:multiLevelType w:val="hybridMultilevel"/>
    <w:tmpl w:val="17626846"/>
    <w:lvl w:ilvl="0" w:tplc="EB3637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C697F"/>
    <w:multiLevelType w:val="multilevel"/>
    <w:tmpl w:val="EC38C0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95136E"/>
    <w:multiLevelType w:val="hybridMultilevel"/>
    <w:tmpl w:val="F880FD1A"/>
    <w:lvl w:ilvl="0" w:tplc="F0BC0332">
      <w:start w:val="1"/>
      <w:numFmt w:val="decimal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034D9"/>
    <w:multiLevelType w:val="multilevel"/>
    <w:tmpl w:val="C2A4B5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7F466B17"/>
    <w:multiLevelType w:val="multilevel"/>
    <w:tmpl w:val="1C5676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1502819099">
    <w:abstractNumId w:val="2"/>
  </w:num>
  <w:num w:numId="2" w16cid:durableId="2122138391">
    <w:abstractNumId w:val="7"/>
  </w:num>
  <w:num w:numId="3" w16cid:durableId="1680082190">
    <w:abstractNumId w:val="0"/>
  </w:num>
  <w:num w:numId="4" w16cid:durableId="351224444">
    <w:abstractNumId w:val="1"/>
  </w:num>
  <w:num w:numId="5" w16cid:durableId="321274754">
    <w:abstractNumId w:val="4"/>
  </w:num>
  <w:num w:numId="6" w16cid:durableId="90710126">
    <w:abstractNumId w:val="3"/>
  </w:num>
  <w:num w:numId="7" w16cid:durableId="1260985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47246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0762379">
    <w:abstractNumId w:val="5"/>
  </w:num>
  <w:num w:numId="10" w16cid:durableId="75517485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7EC2"/>
    <w:rsid w:val="00015D4D"/>
    <w:rsid w:val="000172A2"/>
    <w:rsid w:val="00033BD4"/>
    <w:rsid w:val="000412EE"/>
    <w:rsid w:val="00050E66"/>
    <w:rsid w:val="000537A5"/>
    <w:rsid w:val="000567A2"/>
    <w:rsid w:val="0006126B"/>
    <w:rsid w:val="00061C75"/>
    <w:rsid w:val="00064B5D"/>
    <w:rsid w:val="000652A5"/>
    <w:rsid w:val="0007493B"/>
    <w:rsid w:val="000778DA"/>
    <w:rsid w:val="00090F9B"/>
    <w:rsid w:val="000918FC"/>
    <w:rsid w:val="00092F2C"/>
    <w:rsid w:val="00093E38"/>
    <w:rsid w:val="000A0785"/>
    <w:rsid w:val="000B5778"/>
    <w:rsid w:val="000C0D47"/>
    <w:rsid w:val="000C1966"/>
    <w:rsid w:val="000C5E93"/>
    <w:rsid w:val="000C63A2"/>
    <w:rsid w:val="000D401A"/>
    <w:rsid w:val="000E3A42"/>
    <w:rsid w:val="000F5EFC"/>
    <w:rsid w:val="000F7CC9"/>
    <w:rsid w:val="00100D45"/>
    <w:rsid w:val="00101DDA"/>
    <w:rsid w:val="00116261"/>
    <w:rsid w:val="001223A2"/>
    <w:rsid w:val="00124AA3"/>
    <w:rsid w:val="0013065D"/>
    <w:rsid w:val="0013700F"/>
    <w:rsid w:val="00142271"/>
    <w:rsid w:val="00144DAC"/>
    <w:rsid w:val="00150475"/>
    <w:rsid w:val="001556E3"/>
    <w:rsid w:val="0015653A"/>
    <w:rsid w:val="00161616"/>
    <w:rsid w:val="00163AD3"/>
    <w:rsid w:val="00173B26"/>
    <w:rsid w:val="00175D6E"/>
    <w:rsid w:val="001806E2"/>
    <w:rsid w:val="001808FB"/>
    <w:rsid w:val="0018316F"/>
    <w:rsid w:val="00184171"/>
    <w:rsid w:val="0019171F"/>
    <w:rsid w:val="00192CA5"/>
    <w:rsid w:val="001B5720"/>
    <w:rsid w:val="001B7096"/>
    <w:rsid w:val="001D409C"/>
    <w:rsid w:val="001D663B"/>
    <w:rsid w:val="001D7A4D"/>
    <w:rsid w:val="001E4977"/>
    <w:rsid w:val="001E618F"/>
    <w:rsid w:val="001F34C6"/>
    <w:rsid w:val="001F60AE"/>
    <w:rsid w:val="00201FF2"/>
    <w:rsid w:val="00204B78"/>
    <w:rsid w:val="00206377"/>
    <w:rsid w:val="00213A39"/>
    <w:rsid w:val="00223835"/>
    <w:rsid w:val="002277BD"/>
    <w:rsid w:val="0023058A"/>
    <w:rsid w:val="00230D2E"/>
    <w:rsid w:val="0023115E"/>
    <w:rsid w:val="002324E8"/>
    <w:rsid w:val="00240C35"/>
    <w:rsid w:val="00243A21"/>
    <w:rsid w:val="002470E8"/>
    <w:rsid w:val="00256B8E"/>
    <w:rsid w:val="002577BB"/>
    <w:rsid w:val="00262470"/>
    <w:rsid w:val="002647CB"/>
    <w:rsid w:val="00264EE4"/>
    <w:rsid w:val="002655E6"/>
    <w:rsid w:val="00271271"/>
    <w:rsid w:val="00275D38"/>
    <w:rsid w:val="00285AA3"/>
    <w:rsid w:val="00290A03"/>
    <w:rsid w:val="002A17B6"/>
    <w:rsid w:val="002A6F6C"/>
    <w:rsid w:val="002B4458"/>
    <w:rsid w:val="002B4B77"/>
    <w:rsid w:val="002B75C8"/>
    <w:rsid w:val="002B7E90"/>
    <w:rsid w:val="002C0B9C"/>
    <w:rsid w:val="002C25D9"/>
    <w:rsid w:val="002C7DE7"/>
    <w:rsid w:val="002D1ACB"/>
    <w:rsid w:val="002D1DFF"/>
    <w:rsid w:val="002D3845"/>
    <w:rsid w:val="002D4C71"/>
    <w:rsid w:val="002E187E"/>
    <w:rsid w:val="002F5F83"/>
    <w:rsid w:val="003017B3"/>
    <w:rsid w:val="00317779"/>
    <w:rsid w:val="00317E65"/>
    <w:rsid w:val="00325658"/>
    <w:rsid w:val="00327D58"/>
    <w:rsid w:val="00330553"/>
    <w:rsid w:val="00330E65"/>
    <w:rsid w:val="0033579F"/>
    <w:rsid w:val="00336910"/>
    <w:rsid w:val="00354672"/>
    <w:rsid w:val="00362688"/>
    <w:rsid w:val="00364A57"/>
    <w:rsid w:val="00371306"/>
    <w:rsid w:val="00376975"/>
    <w:rsid w:val="00381F6D"/>
    <w:rsid w:val="00383175"/>
    <w:rsid w:val="00390DC2"/>
    <w:rsid w:val="0039345F"/>
    <w:rsid w:val="003B05AD"/>
    <w:rsid w:val="003C1600"/>
    <w:rsid w:val="003C3661"/>
    <w:rsid w:val="003C777E"/>
    <w:rsid w:val="003D1997"/>
    <w:rsid w:val="003D1AF7"/>
    <w:rsid w:val="003D551D"/>
    <w:rsid w:val="003D598A"/>
    <w:rsid w:val="003E0BEB"/>
    <w:rsid w:val="003E6104"/>
    <w:rsid w:val="003F1196"/>
    <w:rsid w:val="003F1A5F"/>
    <w:rsid w:val="003F51A8"/>
    <w:rsid w:val="00404BE0"/>
    <w:rsid w:val="0041157E"/>
    <w:rsid w:val="00413426"/>
    <w:rsid w:val="00420A00"/>
    <w:rsid w:val="004266F3"/>
    <w:rsid w:val="0043059E"/>
    <w:rsid w:val="00431191"/>
    <w:rsid w:val="004320A5"/>
    <w:rsid w:val="00432EB7"/>
    <w:rsid w:val="00435441"/>
    <w:rsid w:val="00441F2F"/>
    <w:rsid w:val="00443E0E"/>
    <w:rsid w:val="004444B2"/>
    <w:rsid w:val="00445F8D"/>
    <w:rsid w:val="00446850"/>
    <w:rsid w:val="0045172F"/>
    <w:rsid w:val="0045284C"/>
    <w:rsid w:val="00453B27"/>
    <w:rsid w:val="00462F6E"/>
    <w:rsid w:val="00464571"/>
    <w:rsid w:val="00465AEF"/>
    <w:rsid w:val="00473CAB"/>
    <w:rsid w:val="0048790A"/>
    <w:rsid w:val="004934C0"/>
    <w:rsid w:val="00494AF9"/>
    <w:rsid w:val="004A2A54"/>
    <w:rsid w:val="004C4123"/>
    <w:rsid w:val="004C5C31"/>
    <w:rsid w:val="004C779C"/>
    <w:rsid w:val="004C7A97"/>
    <w:rsid w:val="004E009E"/>
    <w:rsid w:val="004E04ED"/>
    <w:rsid w:val="004E0D74"/>
    <w:rsid w:val="004E689F"/>
    <w:rsid w:val="0050059D"/>
    <w:rsid w:val="00502BD5"/>
    <w:rsid w:val="005159E7"/>
    <w:rsid w:val="0051767E"/>
    <w:rsid w:val="00520146"/>
    <w:rsid w:val="005246B3"/>
    <w:rsid w:val="00537E85"/>
    <w:rsid w:val="0054476C"/>
    <w:rsid w:val="00544DB2"/>
    <w:rsid w:val="00546DC9"/>
    <w:rsid w:val="005478CF"/>
    <w:rsid w:val="005500B1"/>
    <w:rsid w:val="005627C8"/>
    <w:rsid w:val="00565298"/>
    <w:rsid w:val="00566BAA"/>
    <w:rsid w:val="00574454"/>
    <w:rsid w:val="00574F42"/>
    <w:rsid w:val="00593C54"/>
    <w:rsid w:val="005966CC"/>
    <w:rsid w:val="00596A5F"/>
    <w:rsid w:val="00596C23"/>
    <w:rsid w:val="005A005A"/>
    <w:rsid w:val="005A2BAD"/>
    <w:rsid w:val="005B141E"/>
    <w:rsid w:val="005B2418"/>
    <w:rsid w:val="005B2827"/>
    <w:rsid w:val="005B6052"/>
    <w:rsid w:val="005B6E76"/>
    <w:rsid w:val="005C1775"/>
    <w:rsid w:val="005D4860"/>
    <w:rsid w:val="005E55B9"/>
    <w:rsid w:val="005E58CD"/>
    <w:rsid w:val="005F2C86"/>
    <w:rsid w:val="005F5371"/>
    <w:rsid w:val="00602449"/>
    <w:rsid w:val="006025F1"/>
    <w:rsid w:val="00607934"/>
    <w:rsid w:val="006101F2"/>
    <w:rsid w:val="00611297"/>
    <w:rsid w:val="00620AD4"/>
    <w:rsid w:val="00632E35"/>
    <w:rsid w:val="00643E25"/>
    <w:rsid w:val="0064417C"/>
    <w:rsid w:val="00645B0F"/>
    <w:rsid w:val="00650DB5"/>
    <w:rsid w:val="00651977"/>
    <w:rsid w:val="006530D0"/>
    <w:rsid w:val="00655341"/>
    <w:rsid w:val="00661A42"/>
    <w:rsid w:val="0066217E"/>
    <w:rsid w:val="0066324B"/>
    <w:rsid w:val="0066342A"/>
    <w:rsid w:val="00667203"/>
    <w:rsid w:val="00672BCC"/>
    <w:rsid w:val="00672EC9"/>
    <w:rsid w:val="00673ED8"/>
    <w:rsid w:val="0067413E"/>
    <w:rsid w:val="00675B5F"/>
    <w:rsid w:val="00680C60"/>
    <w:rsid w:val="0069216D"/>
    <w:rsid w:val="0069720C"/>
    <w:rsid w:val="006A3E83"/>
    <w:rsid w:val="006A527C"/>
    <w:rsid w:val="006B1090"/>
    <w:rsid w:val="006B3778"/>
    <w:rsid w:val="006B3C7E"/>
    <w:rsid w:val="006B7B48"/>
    <w:rsid w:val="006C6B52"/>
    <w:rsid w:val="006D11F1"/>
    <w:rsid w:val="006D21A1"/>
    <w:rsid w:val="006D2717"/>
    <w:rsid w:val="006E0627"/>
    <w:rsid w:val="006E0FED"/>
    <w:rsid w:val="006E18DF"/>
    <w:rsid w:val="006E349E"/>
    <w:rsid w:val="006F0037"/>
    <w:rsid w:val="006F11BB"/>
    <w:rsid w:val="006F5248"/>
    <w:rsid w:val="00701F16"/>
    <w:rsid w:val="0070302F"/>
    <w:rsid w:val="007124DF"/>
    <w:rsid w:val="007126B5"/>
    <w:rsid w:val="00713195"/>
    <w:rsid w:val="0072200D"/>
    <w:rsid w:val="00725BBA"/>
    <w:rsid w:val="0074451B"/>
    <w:rsid w:val="00763A86"/>
    <w:rsid w:val="00764FA9"/>
    <w:rsid w:val="007763DE"/>
    <w:rsid w:val="00783A24"/>
    <w:rsid w:val="00786686"/>
    <w:rsid w:val="007871DE"/>
    <w:rsid w:val="00792EFA"/>
    <w:rsid w:val="00793CA8"/>
    <w:rsid w:val="007968BB"/>
    <w:rsid w:val="007A0806"/>
    <w:rsid w:val="007C572B"/>
    <w:rsid w:val="007D138A"/>
    <w:rsid w:val="007E0AEB"/>
    <w:rsid w:val="007E3365"/>
    <w:rsid w:val="007E7D50"/>
    <w:rsid w:val="007F1E60"/>
    <w:rsid w:val="008010C3"/>
    <w:rsid w:val="00803D63"/>
    <w:rsid w:val="00804109"/>
    <w:rsid w:val="00804426"/>
    <w:rsid w:val="008056F2"/>
    <w:rsid w:val="008061C0"/>
    <w:rsid w:val="00807CAE"/>
    <w:rsid w:val="008137E1"/>
    <w:rsid w:val="00814431"/>
    <w:rsid w:val="00825A44"/>
    <w:rsid w:val="00827DB1"/>
    <w:rsid w:val="00831C4B"/>
    <w:rsid w:val="00833CF3"/>
    <w:rsid w:val="00841B04"/>
    <w:rsid w:val="0084216F"/>
    <w:rsid w:val="00850864"/>
    <w:rsid w:val="008531B1"/>
    <w:rsid w:val="00860993"/>
    <w:rsid w:val="008618DB"/>
    <w:rsid w:val="00867CB8"/>
    <w:rsid w:val="0087024B"/>
    <w:rsid w:val="008708E6"/>
    <w:rsid w:val="008715EE"/>
    <w:rsid w:val="008950D3"/>
    <w:rsid w:val="008A0846"/>
    <w:rsid w:val="008A11A8"/>
    <w:rsid w:val="008A16F4"/>
    <w:rsid w:val="008A17E5"/>
    <w:rsid w:val="008A3C3E"/>
    <w:rsid w:val="008A3F6A"/>
    <w:rsid w:val="008B7400"/>
    <w:rsid w:val="008B7E35"/>
    <w:rsid w:val="008C0CFB"/>
    <w:rsid w:val="008C0F17"/>
    <w:rsid w:val="008C24D5"/>
    <w:rsid w:val="008C4457"/>
    <w:rsid w:val="008D7D91"/>
    <w:rsid w:val="008E23AD"/>
    <w:rsid w:val="008E4646"/>
    <w:rsid w:val="00901443"/>
    <w:rsid w:val="009018E1"/>
    <w:rsid w:val="009027C0"/>
    <w:rsid w:val="00903398"/>
    <w:rsid w:val="00904230"/>
    <w:rsid w:val="00905EF1"/>
    <w:rsid w:val="00906D4C"/>
    <w:rsid w:val="009144DF"/>
    <w:rsid w:val="00915259"/>
    <w:rsid w:val="009154FA"/>
    <w:rsid w:val="00924363"/>
    <w:rsid w:val="009271A8"/>
    <w:rsid w:val="00932194"/>
    <w:rsid w:val="00934836"/>
    <w:rsid w:val="0093498D"/>
    <w:rsid w:val="00946012"/>
    <w:rsid w:val="009476AE"/>
    <w:rsid w:val="00954C38"/>
    <w:rsid w:val="009655A2"/>
    <w:rsid w:val="00970409"/>
    <w:rsid w:val="00974AB5"/>
    <w:rsid w:val="00982BB4"/>
    <w:rsid w:val="00983BA7"/>
    <w:rsid w:val="00990DE9"/>
    <w:rsid w:val="009945F8"/>
    <w:rsid w:val="0099506B"/>
    <w:rsid w:val="00996E32"/>
    <w:rsid w:val="009A7FCD"/>
    <w:rsid w:val="009B6439"/>
    <w:rsid w:val="009B751F"/>
    <w:rsid w:val="009C3906"/>
    <w:rsid w:val="009C4C59"/>
    <w:rsid w:val="009C5AEE"/>
    <w:rsid w:val="009D612A"/>
    <w:rsid w:val="009E00C3"/>
    <w:rsid w:val="009E1B67"/>
    <w:rsid w:val="009E27DF"/>
    <w:rsid w:val="009E6BE7"/>
    <w:rsid w:val="009E7CB3"/>
    <w:rsid w:val="009F0AF9"/>
    <w:rsid w:val="009F509D"/>
    <w:rsid w:val="009F79CD"/>
    <w:rsid w:val="00A0037B"/>
    <w:rsid w:val="00A01A9D"/>
    <w:rsid w:val="00A02EF4"/>
    <w:rsid w:val="00A04FEC"/>
    <w:rsid w:val="00A220F6"/>
    <w:rsid w:val="00A24487"/>
    <w:rsid w:val="00A24A2A"/>
    <w:rsid w:val="00A26BBF"/>
    <w:rsid w:val="00A27E40"/>
    <w:rsid w:val="00A3002C"/>
    <w:rsid w:val="00A327DF"/>
    <w:rsid w:val="00A33566"/>
    <w:rsid w:val="00A37D6E"/>
    <w:rsid w:val="00A50C6A"/>
    <w:rsid w:val="00A54B08"/>
    <w:rsid w:val="00A62DB4"/>
    <w:rsid w:val="00A651E7"/>
    <w:rsid w:val="00A74135"/>
    <w:rsid w:val="00A83D77"/>
    <w:rsid w:val="00A87F49"/>
    <w:rsid w:val="00AA019E"/>
    <w:rsid w:val="00AB1DC1"/>
    <w:rsid w:val="00AB269C"/>
    <w:rsid w:val="00AB5F5A"/>
    <w:rsid w:val="00AC21E5"/>
    <w:rsid w:val="00AD7204"/>
    <w:rsid w:val="00AE0823"/>
    <w:rsid w:val="00AE4F25"/>
    <w:rsid w:val="00AE6545"/>
    <w:rsid w:val="00AF39AA"/>
    <w:rsid w:val="00AF7C81"/>
    <w:rsid w:val="00B0044F"/>
    <w:rsid w:val="00B02D61"/>
    <w:rsid w:val="00B03AF9"/>
    <w:rsid w:val="00B0659C"/>
    <w:rsid w:val="00B151E3"/>
    <w:rsid w:val="00B20841"/>
    <w:rsid w:val="00B226A4"/>
    <w:rsid w:val="00B24A78"/>
    <w:rsid w:val="00B25C63"/>
    <w:rsid w:val="00B37825"/>
    <w:rsid w:val="00B40BC8"/>
    <w:rsid w:val="00B52619"/>
    <w:rsid w:val="00B63203"/>
    <w:rsid w:val="00B672DE"/>
    <w:rsid w:val="00B72B84"/>
    <w:rsid w:val="00B76161"/>
    <w:rsid w:val="00B8454D"/>
    <w:rsid w:val="00B91897"/>
    <w:rsid w:val="00B91DB4"/>
    <w:rsid w:val="00B94494"/>
    <w:rsid w:val="00B95B59"/>
    <w:rsid w:val="00BA2174"/>
    <w:rsid w:val="00BA4905"/>
    <w:rsid w:val="00BA6F43"/>
    <w:rsid w:val="00BB1AAA"/>
    <w:rsid w:val="00BB50AF"/>
    <w:rsid w:val="00BB63B6"/>
    <w:rsid w:val="00BB7A04"/>
    <w:rsid w:val="00BC09F7"/>
    <w:rsid w:val="00BC1E4D"/>
    <w:rsid w:val="00BD3BF2"/>
    <w:rsid w:val="00BE0E97"/>
    <w:rsid w:val="00C05395"/>
    <w:rsid w:val="00C0568C"/>
    <w:rsid w:val="00C24034"/>
    <w:rsid w:val="00C35B98"/>
    <w:rsid w:val="00C43691"/>
    <w:rsid w:val="00C45345"/>
    <w:rsid w:val="00C4656E"/>
    <w:rsid w:val="00C50EE3"/>
    <w:rsid w:val="00C56436"/>
    <w:rsid w:val="00C57E03"/>
    <w:rsid w:val="00C619BF"/>
    <w:rsid w:val="00C64F4D"/>
    <w:rsid w:val="00C666C2"/>
    <w:rsid w:val="00C678DF"/>
    <w:rsid w:val="00C77C83"/>
    <w:rsid w:val="00C81605"/>
    <w:rsid w:val="00C8551F"/>
    <w:rsid w:val="00C85F7B"/>
    <w:rsid w:val="00C86334"/>
    <w:rsid w:val="00C911D6"/>
    <w:rsid w:val="00C935CF"/>
    <w:rsid w:val="00C942BF"/>
    <w:rsid w:val="00CA12AA"/>
    <w:rsid w:val="00CA1ADA"/>
    <w:rsid w:val="00CA3E84"/>
    <w:rsid w:val="00CA5319"/>
    <w:rsid w:val="00CA7BBC"/>
    <w:rsid w:val="00CB0509"/>
    <w:rsid w:val="00CB3A2C"/>
    <w:rsid w:val="00CC159C"/>
    <w:rsid w:val="00CC68B5"/>
    <w:rsid w:val="00CD1853"/>
    <w:rsid w:val="00CF083A"/>
    <w:rsid w:val="00CF0BB2"/>
    <w:rsid w:val="00CF0FD1"/>
    <w:rsid w:val="00CF1D83"/>
    <w:rsid w:val="00CF26C4"/>
    <w:rsid w:val="00D03005"/>
    <w:rsid w:val="00D03F46"/>
    <w:rsid w:val="00D11272"/>
    <w:rsid w:val="00D11BFC"/>
    <w:rsid w:val="00D13ECA"/>
    <w:rsid w:val="00D17B32"/>
    <w:rsid w:val="00D2337A"/>
    <w:rsid w:val="00D25619"/>
    <w:rsid w:val="00D35523"/>
    <w:rsid w:val="00D36C2F"/>
    <w:rsid w:val="00D37685"/>
    <w:rsid w:val="00D40D2B"/>
    <w:rsid w:val="00D50CCD"/>
    <w:rsid w:val="00D52F02"/>
    <w:rsid w:val="00D56A93"/>
    <w:rsid w:val="00D62B0B"/>
    <w:rsid w:val="00D62D93"/>
    <w:rsid w:val="00D63C49"/>
    <w:rsid w:val="00D643E7"/>
    <w:rsid w:val="00D717C8"/>
    <w:rsid w:val="00D74C2C"/>
    <w:rsid w:val="00D80C70"/>
    <w:rsid w:val="00D93CC4"/>
    <w:rsid w:val="00D94233"/>
    <w:rsid w:val="00DA0E54"/>
    <w:rsid w:val="00DA28AE"/>
    <w:rsid w:val="00DB523D"/>
    <w:rsid w:val="00DB6499"/>
    <w:rsid w:val="00DC1678"/>
    <w:rsid w:val="00DC330C"/>
    <w:rsid w:val="00DC4777"/>
    <w:rsid w:val="00DD214A"/>
    <w:rsid w:val="00DD3615"/>
    <w:rsid w:val="00DD381F"/>
    <w:rsid w:val="00DD5654"/>
    <w:rsid w:val="00DD7159"/>
    <w:rsid w:val="00DF0ACC"/>
    <w:rsid w:val="00DF20C8"/>
    <w:rsid w:val="00DF2836"/>
    <w:rsid w:val="00DF656A"/>
    <w:rsid w:val="00DF797F"/>
    <w:rsid w:val="00E00A7C"/>
    <w:rsid w:val="00E01F34"/>
    <w:rsid w:val="00E04223"/>
    <w:rsid w:val="00E06A10"/>
    <w:rsid w:val="00E11826"/>
    <w:rsid w:val="00E133B2"/>
    <w:rsid w:val="00E13C49"/>
    <w:rsid w:val="00E23A83"/>
    <w:rsid w:val="00E2497F"/>
    <w:rsid w:val="00E24C5E"/>
    <w:rsid w:val="00E35269"/>
    <w:rsid w:val="00E37F3C"/>
    <w:rsid w:val="00E43D03"/>
    <w:rsid w:val="00E50D90"/>
    <w:rsid w:val="00E51B3A"/>
    <w:rsid w:val="00E55052"/>
    <w:rsid w:val="00E608E4"/>
    <w:rsid w:val="00E64CFF"/>
    <w:rsid w:val="00E742C5"/>
    <w:rsid w:val="00E85FA1"/>
    <w:rsid w:val="00EA22D2"/>
    <w:rsid w:val="00EA3232"/>
    <w:rsid w:val="00EA5E4F"/>
    <w:rsid w:val="00EC5CD8"/>
    <w:rsid w:val="00EC5DB6"/>
    <w:rsid w:val="00ED21E5"/>
    <w:rsid w:val="00ED510C"/>
    <w:rsid w:val="00EE4ABE"/>
    <w:rsid w:val="00EF32CB"/>
    <w:rsid w:val="00EF6014"/>
    <w:rsid w:val="00F07147"/>
    <w:rsid w:val="00F139B0"/>
    <w:rsid w:val="00F13B95"/>
    <w:rsid w:val="00F15201"/>
    <w:rsid w:val="00F21736"/>
    <w:rsid w:val="00F25325"/>
    <w:rsid w:val="00F25C71"/>
    <w:rsid w:val="00F26893"/>
    <w:rsid w:val="00F32978"/>
    <w:rsid w:val="00F404A9"/>
    <w:rsid w:val="00F443F2"/>
    <w:rsid w:val="00F510E3"/>
    <w:rsid w:val="00F53926"/>
    <w:rsid w:val="00F57390"/>
    <w:rsid w:val="00F66D4A"/>
    <w:rsid w:val="00F7393E"/>
    <w:rsid w:val="00F82B34"/>
    <w:rsid w:val="00F8752D"/>
    <w:rsid w:val="00F87AE3"/>
    <w:rsid w:val="00F91750"/>
    <w:rsid w:val="00F91C8D"/>
    <w:rsid w:val="00F95672"/>
    <w:rsid w:val="00FA1909"/>
    <w:rsid w:val="00FA4B35"/>
    <w:rsid w:val="00FB27D8"/>
    <w:rsid w:val="00FB75A6"/>
    <w:rsid w:val="00FC0A91"/>
    <w:rsid w:val="00FC0CCB"/>
    <w:rsid w:val="00FC179C"/>
    <w:rsid w:val="00FC2258"/>
    <w:rsid w:val="00FC2481"/>
    <w:rsid w:val="00FC46E4"/>
    <w:rsid w:val="00FD2550"/>
    <w:rsid w:val="00FD316E"/>
    <w:rsid w:val="00FD3875"/>
    <w:rsid w:val="00FD45FC"/>
    <w:rsid w:val="00FD662D"/>
    <w:rsid w:val="00FD7185"/>
    <w:rsid w:val="00FD7D54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27E4A"/>
  <w15:chartTrackingRefBased/>
  <w15:docId w15:val="{E80909A7-5A15-4FB3-ABC4-FA67FD50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2B7E90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">
    <w:name w:val="2"/>
    <w:basedOn w:val="Normal"/>
    <w:rsid w:val="007F1E60"/>
    <w:pPr>
      <w:adjustRightInd w:val="0"/>
      <w:spacing w:after="160" w:line="240" w:lineRule="exact"/>
    </w:pPr>
    <w:rPr>
      <w:rFonts w:ascii="Times New Roman" w:hAnsi="Times New Roman"/>
      <w:sz w:val="23"/>
      <w:lang w:val="en-US" w:eastAsia="en-US"/>
    </w:rPr>
  </w:style>
  <w:style w:type="character" w:customStyle="1" w:styleId="StyleMarquedecommentaire">
    <w:name w:val="Style Marque de commentaire +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Accentuation">
    <w:name w:val="Emphasis"/>
    <w:qFormat/>
    <w:rsid w:val="00566BAA"/>
    <w:rPr>
      <w:i/>
      <w:iCs/>
    </w:rPr>
  </w:style>
  <w:style w:type="character" w:customStyle="1" w:styleId="Titre1Car">
    <w:name w:val="Titre 1 Car"/>
    <w:link w:val="Titre1"/>
    <w:rsid w:val="00BB50AF"/>
    <w:rPr>
      <w:rFonts w:ascii="Arial (W1)" w:hAnsi="Arial (W1)" w:cs="Arial"/>
      <w:b/>
      <w:bCs/>
      <w:caps/>
      <w:sz w:val="28"/>
      <w:szCs w:val="28"/>
      <w:u w:val="single"/>
    </w:rPr>
  </w:style>
  <w:style w:type="table" w:styleId="Grilledutableau">
    <w:name w:val="Table Grid"/>
    <w:basedOn w:val="TableauNormal"/>
    <w:rsid w:val="002C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rsid w:val="006F0037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link w:val="Commentaire"/>
    <w:semiHidden/>
    <w:rsid w:val="006F0037"/>
    <w:rPr>
      <w:rFonts w:ascii="Times" w:hAnsi="Times" w:cs="Times"/>
    </w:rPr>
  </w:style>
  <w:style w:type="character" w:customStyle="1" w:styleId="ObjetducommentaireCar">
    <w:name w:val="Objet du commentaire Car"/>
    <w:link w:val="Objetducommentaire"/>
    <w:rsid w:val="006F0037"/>
    <w:rPr>
      <w:rFonts w:ascii="Times New (W1)" w:hAnsi="Times New (W1)" w:cs="Times"/>
      <w:b/>
      <w:bCs/>
    </w:rPr>
  </w:style>
  <w:style w:type="paragraph" w:customStyle="1" w:styleId="Texte">
    <w:name w:val="Texte"/>
    <w:link w:val="TexteCar"/>
    <w:uiPriority w:val="99"/>
    <w:rsid w:val="00CA12AA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uiPriority w:val="99"/>
    <w:rsid w:val="00CA12AA"/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2B7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nf.fr/vivre-la-foret/+/1d08::role-des-zones-humides-forestieres-dans-la-regulation-des-cours-deau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D281-44B5-4AF4-BD23-C8727A0C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</TotalTime>
  <Pages>3</Pages>
  <Words>338</Words>
  <Characters>2240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/>
  <dc:creator>anthony.mercier@onf.fr</dc:creator>
  <cp:keywords/>
  <cp:lastModifiedBy>CROCHOT Sandra</cp:lastModifiedBy>
  <cp:revision>2</cp:revision>
  <cp:lastPrinted>2017-03-01T15:43:00Z</cp:lastPrinted>
  <dcterms:created xsi:type="dcterms:W3CDTF">2025-06-20T11:29:00Z</dcterms:created>
  <dcterms:modified xsi:type="dcterms:W3CDTF">2025-06-20T11:29:00Z</dcterms:modified>
</cp:coreProperties>
</file>