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5FBA2DF"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Annexe</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26F3503E"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007D1E09">
        <w:rPr>
          <w:rFonts w:ascii="Arial" w:eastAsia="Times New Roman" w:hAnsi="Arial" w:cs="Arial"/>
          <w:sz w:val="20"/>
          <w:szCs w:val="20"/>
          <w:lang w:eastAsia="fr-FR"/>
        </w:rPr>
        <w:t xml:space="preserve"> </w:t>
      </w:r>
      <w:r w:rsidR="0061442F" w:rsidRPr="0061442F">
        <w:rPr>
          <w:rFonts w:ascii="Arial" w:eastAsia="Times New Roman" w:hAnsi="Arial" w:cs="Arial"/>
          <w:sz w:val="20"/>
          <w:szCs w:val="20"/>
          <w:lang w:eastAsia="fr-FR"/>
        </w:rPr>
        <w:t>Accompagnement de collectivités bretonnes sur l’adaptation au changement climatique</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4CEAD37F" w:rsidR="00F423DB" w:rsidRPr="007D1E09" w:rsidRDefault="00F423DB" w:rsidP="008F7D40">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Description des opérations réalisées sur les données :</w:t>
            </w:r>
            <w:r w:rsidR="00C14C2D" w:rsidRPr="007D1E09">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Recensement des coordonnées d’un</w:t>
            </w:r>
            <w:r w:rsidR="008F7D40">
              <w:rPr>
                <w:rFonts w:ascii="Arial" w:eastAsia="Times New Roman" w:hAnsi="Arial" w:cs="Arial"/>
                <w:sz w:val="20"/>
                <w:szCs w:val="20"/>
                <w:lang w:eastAsia="fr-FR"/>
              </w:rPr>
              <w:t xml:space="preserve">e </w:t>
            </w:r>
            <w:r w:rsidR="008F7D40" w:rsidRPr="008F7D40">
              <w:rPr>
                <w:rFonts w:ascii="Arial" w:eastAsia="Times New Roman" w:hAnsi="Arial" w:cs="Arial"/>
                <w:sz w:val="20"/>
                <w:szCs w:val="20"/>
                <w:lang w:eastAsia="fr-FR"/>
              </w:rPr>
              <w:t xml:space="preserve">personne contact à </w:t>
            </w:r>
            <w:r w:rsidR="0061442F">
              <w:rPr>
                <w:rFonts w:ascii="Arial" w:eastAsia="Times New Roman" w:hAnsi="Arial" w:cs="Arial"/>
                <w:sz w:val="20"/>
                <w:szCs w:val="20"/>
                <w:lang w:eastAsia="fr-FR"/>
              </w:rPr>
              <w:t>la collectivité</w:t>
            </w:r>
            <w:r w:rsidR="008F7D40">
              <w:rPr>
                <w:rFonts w:ascii="Arial" w:eastAsia="Times New Roman" w:hAnsi="Arial" w:cs="Arial"/>
                <w:sz w:val="20"/>
                <w:szCs w:val="20"/>
                <w:lang w:eastAsia="fr-FR"/>
              </w:rPr>
              <w:t xml:space="preserve"> accompagné</w:t>
            </w:r>
            <w:r w:rsidR="00E07062">
              <w:rPr>
                <w:rFonts w:ascii="Arial" w:eastAsia="Times New Roman" w:hAnsi="Arial" w:cs="Arial"/>
                <w:sz w:val="20"/>
                <w:szCs w:val="20"/>
                <w:lang w:eastAsia="fr-FR"/>
              </w:rPr>
              <w:t>e</w:t>
            </w:r>
            <w:r w:rsidR="0061442F">
              <w:rPr>
                <w:rFonts w:ascii="Arial" w:eastAsia="Times New Roman" w:hAnsi="Arial" w:cs="Arial"/>
                <w:sz w:val="20"/>
                <w:szCs w:val="20"/>
                <w:lang w:eastAsia="fr-FR"/>
              </w:rPr>
              <w:t xml:space="preserve"> et aux partenaires</w:t>
            </w:r>
          </w:p>
        </w:tc>
      </w:tr>
      <w:tr w:rsidR="00F423DB" w:rsidRPr="00F423DB" w14:paraId="0C924193" w14:textId="77777777" w:rsidTr="007E730D">
        <w:tc>
          <w:tcPr>
            <w:tcW w:w="5000" w:type="pct"/>
          </w:tcPr>
          <w:p w14:paraId="1457EFAB" w14:textId="38229C00"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7D1E09">
              <w:rPr>
                <w:rFonts w:ascii="Arial" w:eastAsia="Times New Roman" w:hAnsi="Arial" w:cs="Arial"/>
                <w:sz w:val="20"/>
                <w:szCs w:val="20"/>
                <w:lang w:eastAsia="fr-FR"/>
              </w:rPr>
              <w:t>Finalité(s) du traitement :</w:t>
            </w:r>
            <w:r w:rsidR="00C14C2D" w:rsidRPr="007D1E09">
              <w:rPr>
                <w:rFonts w:ascii="Arial" w:eastAsia="Times New Roman" w:hAnsi="Arial" w:cs="Arial"/>
                <w:sz w:val="20"/>
                <w:szCs w:val="20"/>
                <w:lang w:eastAsia="fr-FR"/>
              </w:rPr>
              <w:t xml:space="preserve"> </w:t>
            </w:r>
            <w:r w:rsidR="008F7D40">
              <w:rPr>
                <w:rFonts w:ascii="Arial" w:eastAsia="Times New Roman" w:hAnsi="Arial" w:cs="Arial"/>
                <w:sz w:val="20"/>
                <w:szCs w:val="20"/>
                <w:lang w:eastAsia="fr-FR"/>
              </w:rPr>
              <w:t xml:space="preserve">Accompagnement </w:t>
            </w:r>
            <w:r w:rsidR="0061442F">
              <w:rPr>
                <w:rFonts w:ascii="Arial" w:eastAsia="Times New Roman" w:hAnsi="Arial" w:cs="Arial"/>
                <w:sz w:val="20"/>
                <w:szCs w:val="20"/>
                <w:lang w:eastAsia="fr-FR"/>
              </w:rPr>
              <w:t>de collectivités dans le cadre d’une démarche sur l’adaptation au changement climatique</w:t>
            </w:r>
          </w:p>
        </w:tc>
      </w:tr>
      <w:tr w:rsidR="00F423DB" w:rsidRPr="00F423DB" w14:paraId="629B4D95" w14:textId="77777777" w:rsidTr="007E730D">
        <w:tc>
          <w:tcPr>
            <w:tcW w:w="5000" w:type="pct"/>
          </w:tcPr>
          <w:p w14:paraId="773FB8A3" w14:textId="3CFD9785" w:rsidR="00F423DB" w:rsidRPr="007D1E09" w:rsidRDefault="00F423DB" w:rsidP="00F423DB">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Type de données à caractère personnel traitées :</w:t>
            </w:r>
            <w:r w:rsidR="00C14C2D" w:rsidRPr="007D1E09">
              <w:rPr>
                <w:rFonts w:ascii="Arial" w:eastAsia="Times New Roman" w:hAnsi="Arial" w:cs="Arial"/>
                <w:sz w:val="20"/>
                <w:szCs w:val="20"/>
                <w:lang w:eastAsia="fr-FR"/>
              </w:rPr>
              <w:t xml:space="preserve"> </w:t>
            </w:r>
            <w:r w:rsidR="007D1E09" w:rsidRPr="007D1E09">
              <w:rPr>
                <w:rFonts w:ascii="Arial" w:eastAsia="Times New Roman" w:hAnsi="Arial" w:cs="Arial"/>
                <w:sz w:val="20"/>
                <w:szCs w:val="20"/>
                <w:lang w:eastAsia="fr-FR"/>
              </w:rPr>
              <w:t xml:space="preserve">Civilité, Nom, Prénom, Fonction, </w:t>
            </w:r>
            <w:r w:rsidR="00514527">
              <w:rPr>
                <w:rFonts w:ascii="Arial" w:eastAsia="Times New Roman" w:hAnsi="Arial" w:cs="Arial"/>
                <w:sz w:val="20"/>
                <w:szCs w:val="20"/>
                <w:lang w:eastAsia="fr-FR"/>
              </w:rPr>
              <w:t xml:space="preserve">Adresse postale, </w:t>
            </w:r>
            <w:r w:rsidR="007D1E09" w:rsidRPr="007D1E09">
              <w:rPr>
                <w:rFonts w:ascii="Arial" w:eastAsia="Times New Roman" w:hAnsi="Arial" w:cs="Arial"/>
                <w:sz w:val="20"/>
                <w:szCs w:val="20"/>
                <w:lang w:eastAsia="fr-FR"/>
              </w:rPr>
              <w:t>Téléphone et Email</w:t>
            </w:r>
          </w:p>
        </w:tc>
      </w:tr>
      <w:tr w:rsidR="00F423DB" w:rsidRPr="00F423DB" w14:paraId="342054F1" w14:textId="77777777" w:rsidTr="007E730D">
        <w:tc>
          <w:tcPr>
            <w:tcW w:w="5000" w:type="pct"/>
          </w:tcPr>
          <w:p w14:paraId="39CE22F8" w14:textId="78CDBB46" w:rsidR="00F423DB" w:rsidRPr="008F7D40" w:rsidRDefault="00F423DB" w:rsidP="00F423DB">
            <w:pPr>
              <w:shd w:val="clear" w:color="auto" w:fill="FFFFFF"/>
              <w:spacing w:after="165"/>
              <w:rPr>
                <w:rFonts w:ascii="Arial" w:eastAsia="Times New Roman" w:hAnsi="Arial" w:cs="Arial"/>
                <w:sz w:val="20"/>
                <w:szCs w:val="20"/>
                <w:lang w:eastAsia="fr-FR"/>
              </w:rPr>
            </w:pPr>
            <w:r w:rsidRPr="0097025E">
              <w:rPr>
                <w:rFonts w:ascii="Arial" w:eastAsia="Times New Roman" w:hAnsi="Arial" w:cs="Arial"/>
                <w:sz w:val="20"/>
                <w:szCs w:val="20"/>
                <w:lang w:eastAsia="fr-FR"/>
              </w:rPr>
              <w:t>Catégories de personnes concernées :</w:t>
            </w:r>
            <w:r w:rsidR="00C14C2D" w:rsidRPr="0097025E">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Membres de structures extérieures à l’ADEME (salariés,</w:t>
            </w:r>
            <w:r w:rsidR="008F7D40">
              <w:rPr>
                <w:rFonts w:ascii="Arial" w:eastAsia="Times New Roman" w:hAnsi="Arial" w:cs="Arial"/>
                <w:sz w:val="20"/>
                <w:szCs w:val="20"/>
                <w:lang w:eastAsia="fr-FR"/>
              </w:rPr>
              <w:t xml:space="preserve"> </w:t>
            </w:r>
            <w:r w:rsidR="00FF7F7E">
              <w:rPr>
                <w:rFonts w:ascii="Arial" w:eastAsia="Times New Roman" w:hAnsi="Arial" w:cs="Arial"/>
                <w:sz w:val="20"/>
                <w:szCs w:val="20"/>
                <w:lang w:eastAsia="fr-FR"/>
              </w:rPr>
              <w:t>élus</w:t>
            </w:r>
            <w:r w:rsidR="008F7D40" w:rsidRPr="008F7D40">
              <w:rPr>
                <w:rFonts w:ascii="Arial" w:eastAsia="Times New Roman" w:hAnsi="Arial" w:cs="Arial"/>
                <w:sz w:val="20"/>
                <w:szCs w:val="20"/>
                <w:lang w:eastAsia="fr-FR"/>
              </w:rPr>
              <w:t>, etc.)</w:t>
            </w:r>
            <w:r w:rsidR="00FF7F7E">
              <w:rPr>
                <w:rFonts w:ascii="Arial" w:eastAsia="Times New Roman" w:hAnsi="Arial" w:cs="Arial"/>
                <w:sz w:val="20"/>
                <w:szCs w:val="20"/>
                <w:lang w:eastAsia="fr-FR"/>
              </w:rPr>
              <w:t>.</w:t>
            </w:r>
          </w:p>
        </w:tc>
      </w:tr>
      <w:tr w:rsidR="00F423DB" w:rsidRPr="00F423DB" w14:paraId="386930F0" w14:textId="77777777" w:rsidTr="007E730D">
        <w:tc>
          <w:tcPr>
            <w:tcW w:w="5000" w:type="pct"/>
          </w:tcPr>
          <w:p w14:paraId="57677B04" w14:textId="181F88C2" w:rsidR="00F423DB" w:rsidRPr="00B0457E" w:rsidRDefault="00F423DB" w:rsidP="00F423DB">
            <w:pPr>
              <w:shd w:val="clear" w:color="auto" w:fill="FFFFFF"/>
              <w:spacing w:after="165"/>
              <w:rPr>
                <w:rFonts w:ascii="Arial" w:eastAsia="Times New Roman" w:hAnsi="Arial" w:cs="Arial"/>
                <w:sz w:val="20"/>
                <w:szCs w:val="20"/>
                <w:lang w:eastAsia="fr-FR"/>
              </w:rPr>
            </w:pPr>
            <w:r w:rsidRPr="00B0457E">
              <w:rPr>
                <w:rFonts w:ascii="Arial" w:eastAsia="Times New Roman" w:hAnsi="Arial" w:cs="Arial"/>
                <w:sz w:val="20"/>
                <w:szCs w:val="20"/>
                <w:lang w:eastAsia="fr-FR"/>
              </w:rPr>
              <w:t>Autres précisions ou interdictions :</w:t>
            </w:r>
            <w:r w:rsidR="00270ECE" w:rsidRPr="00B0457E">
              <w:rPr>
                <w:rFonts w:ascii="Arial" w:eastAsia="Times New Roman" w:hAnsi="Arial" w:cs="Arial"/>
                <w:sz w:val="20"/>
                <w:szCs w:val="20"/>
                <w:lang w:eastAsia="fr-FR"/>
              </w:rPr>
              <w:t xml:space="preserve">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5E5DE8F2"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uniquement pour la ou les seule(s) finalité(s)</w:t>
      </w:r>
      <w:r w:rsidR="00F423DB" w:rsidRPr="00F423DB">
        <w:rPr>
          <w:rFonts w:ascii="Arial" w:eastAsia="Times New Roman" w:hAnsi="Arial" w:cs="Arial"/>
          <w:sz w:val="20"/>
          <w:szCs w:val="20"/>
          <w:lang w:eastAsia="fr-FR"/>
        </w:rPr>
        <w:t> qui fait/font l’objet de la prestation ;</w:t>
      </w:r>
    </w:p>
    <w:p w14:paraId="2CBB9451" w14:textId="4E8B3E28"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conformément aux instructions documentées</w:t>
      </w:r>
      <w:r w:rsidR="00F423DB"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00F423DB"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00F423DB" w:rsidRPr="00F423DB">
        <w:rPr>
          <w:rFonts w:ascii="Arial" w:eastAsia="Times New Roman" w:hAnsi="Arial" w:cs="Arial"/>
          <w:b/>
          <w:bCs/>
          <w:sz w:val="20"/>
          <w:szCs w:val="20"/>
          <w:lang w:eastAsia="fr-FR"/>
        </w:rPr>
        <w:t>informe immédiatement </w:t>
      </w:r>
      <w:r w:rsidR="00F423DB"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A8CCC9B"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b/>
          <w:bCs/>
          <w:sz w:val="20"/>
          <w:szCs w:val="20"/>
          <w:lang w:eastAsia="fr-FR"/>
        </w:rPr>
        <w:t>G</w:t>
      </w:r>
      <w:r w:rsidR="00F423DB" w:rsidRPr="00F423DB">
        <w:rPr>
          <w:rFonts w:ascii="Arial" w:eastAsia="Times New Roman" w:hAnsi="Arial" w:cs="Arial"/>
          <w:b/>
          <w:bCs/>
          <w:sz w:val="20"/>
          <w:szCs w:val="20"/>
          <w:lang w:eastAsia="fr-FR"/>
        </w:rPr>
        <w:t>arantir la confidentialité</w:t>
      </w:r>
      <w:r w:rsidR="00F423DB" w:rsidRPr="00F423DB">
        <w:rPr>
          <w:rFonts w:ascii="Arial" w:eastAsia="Times New Roman" w:hAnsi="Arial" w:cs="Arial"/>
          <w:sz w:val="20"/>
          <w:szCs w:val="20"/>
          <w:lang w:eastAsia="fr-FR"/>
        </w:rPr>
        <w:t> des données à caractère personnel traitées dans le cadre du présent marché ;</w:t>
      </w:r>
    </w:p>
    <w:p w14:paraId="2C75AB38" w14:textId="37BA2994"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V</w:t>
      </w:r>
      <w:r w:rsidR="00F423DB" w:rsidRPr="00F423DB">
        <w:rPr>
          <w:rFonts w:ascii="Arial" w:eastAsia="Times New Roman" w:hAnsi="Arial" w:cs="Arial"/>
          <w:sz w:val="20"/>
          <w:szCs w:val="20"/>
          <w:lang w:eastAsia="fr-FR"/>
        </w:rPr>
        <w:t>eiller à ce que les </w:t>
      </w:r>
      <w:r w:rsidR="00F423DB" w:rsidRPr="00F423DB">
        <w:rPr>
          <w:rFonts w:ascii="Arial" w:eastAsia="Times New Roman" w:hAnsi="Arial" w:cs="Arial"/>
          <w:b/>
          <w:bCs/>
          <w:sz w:val="20"/>
          <w:szCs w:val="20"/>
          <w:lang w:eastAsia="fr-FR"/>
        </w:rPr>
        <w:t>personnes autorisées à traiter les données à caractère personnel </w:t>
      </w:r>
      <w:r w:rsidR="00F423DB" w:rsidRPr="00F423DB">
        <w:rPr>
          <w:rFonts w:ascii="Arial" w:eastAsia="Times New Roman" w:hAnsi="Arial" w:cs="Arial"/>
          <w:sz w:val="20"/>
          <w:szCs w:val="20"/>
          <w:lang w:eastAsia="fr-FR"/>
        </w:rPr>
        <w:t>en vertu du présent marché :</w:t>
      </w:r>
    </w:p>
    <w:p w14:paraId="39364655" w14:textId="6A8595D9"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S’engagent</w:t>
      </w:r>
      <w:r w:rsidR="00F423DB" w:rsidRPr="00F423DB">
        <w:rPr>
          <w:rFonts w:ascii="Arial" w:eastAsia="Times New Roman" w:hAnsi="Arial" w:cs="Arial"/>
          <w:sz w:val="20"/>
          <w:szCs w:val="20"/>
          <w:lang w:eastAsia="fr-FR"/>
        </w:rPr>
        <w:t xml:space="preserve"> à respecter la confidentialité ou soient soumises à une obligation légale appropriée de confidentialité,</w:t>
      </w:r>
    </w:p>
    <w:p w14:paraId="7234ED30" w14:textId="3DBF0DAB"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w:t>
      </w:r>
      <w:r w:rsidR="00F423DB" w:rsidRPr="00F423DB">
        <w:rPr>
          <w:rFonts w:ascii="Arial" w:eastAsia="Times New Roman" w:hAnsi="Arial" w:cs="Arial"/>
          <w:sz w:val="20"/>
          <w:szCs w:val="20"/>
          <w:lang w:eastAsia="fr-FR"/>
        </w:rPr>
        <w:t xml:space="preserve"> la formation nécessaire en matière de protection des données à caractère personnel</w:t>
      </w:r>
      <w:r w:rsidR="00336D9F">
        <w:rPr>
          <w:rFonts w:ascii="Arial" w:eastAsia="Times New Roman" w:hAnsi="Arial" w:cs="Arial"/>
          <w:sz w:val="20"/>
          <w:szCs w:val="20"/>
          <w:lang w:eastAsia="fr-FR"/>
        </w:rPr>
        <w:t>.</w:t>
      </w:r>
    </w:p>
    <w:p w14:paraId="737C411F" w14:textId="70C17A36" w:rsidR="00F423DB" w:rsidRPr="00F423DB" w:rsidRDefault="004B6238" w:rsidP="00336D9F">
      <w:pPr>
        <w:numPr>
          <w:ilvl w:val="0"/>
          <w:numId w:val="3"/>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w:t>
      </w:r>
      <w:r w:rsidR="00F423DB" w:rsidRPr="00F423DB">
        <w:rPr>
          <w:rFonts w:ascii="Arial" w:eastAsia="Times New Roman" w:hAnsi="Arial" w:cs="Arial"/>
          <w:sz w:val="20"/>
          <w:szCs w:val="20"/>
          <w:lang w:eastAsia="fr-FR"/>
        </w:rPr>
        <w:t>rendre en compte, s’agissant de ses outils, produits, applications ou services, les principes de</w:t>
      </w:r>
      <w:r w:rsidR="00F423DB" w:rsidRPr="00F423DB">
        <w:rPr>
          <w:rFonts w:ascii="Arial" w:eastAsia="Times New Roman" w:hAnsi="Arial" w:cs="Arial"/>
          <w:b/>
          <w:bCs/>
          <w:sz w:val="20"/>
          <w:szCs w:val="20"/>
          <w:lang w:eastAsia="fr-FR"/>
        </w:rPr>
        <w:t> protection des données dès la conception</w:t>
      </w:r>
      <w:r w:rsidR="00F423DB" w:rsidRPr="00F423DB">
        <w:rPr>
          <w:rFonts w:ascii="Arial" w:eastAsia="Times New Roman" w:hAnsi="Arial" w:cs="Arial"/>
          <w:sz w:val="20"/>
          <w:szCs w:val="20"/>
          <w:lang w:eastAsia="fr-FR"/>
        </w:rPr>
        <w:t> et de</w:t>
      </w:r>
      <w:r w:rsidR="00F423DB"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0E3DEEF" w14:textId="618E3E02" w:rsidR="008F7D40" w:rsidRPr="00F423DB" w:rsidRDefault="00F423DB" w:rsidP="008F7D40">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r w:rsidR="007D1E09">
        <w:rPr>
          <w:rFonts w:ascii="Arial" w:eastAsia="Times New Roman" w:hAnsi="Arial" w:cs="Arial"/>
          <w:sz w:val="20"/>
          <w:szCs w:val="20"/>
          <w:lang w:eastAsia="fr-FR"/>
        </w:rPr>
        <w:t xml:space="preserve"> </w:t>
      </w:r>
      <w:r w:rsidR="0061442F" w:rsidRPr="0061442F">
        <w:rPr>
          <w:rFonts w:ascii="Arial" w:eastAsia="Times New Roman" w:hAnsi="Arial" w:cs="Arial"/>
          <w:sz w:val="20"/>
          <w:szCs w:val="20"/>
          <w:lang w:eastAsia="fr-FR"/>
        </w:rPr>
        <w:t>Accompagnement de collectivités dans le cadre d’une démarche sur l’adaptation au changement climatique</w:t>
      </w:r>
      <w:r w:rsidR="0061442F">
        <w:rPr>
          <w:rFonts w:ascii="Arial" w:eastAsia="Times New Roman" w:hAnsi="Arial" w:cs="Arial"/>
          <w:sz w:val="20"/>
          <w:szCs w:val="20"/>
          <w:lang w:eastAsia="fr-FR"/>
        </w:rPr>
        <w:t>.</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7903A5FB"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5E1CF2CA" w14:textId="497A6F10"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1"/>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2"/>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3"/>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4"/>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D77B4C9"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1C0380FA"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5E27A993" w:rsidR="00F423DB" w:rsidRPr="00F423DB" w:rsidRDefault="008F7D40"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IV. </w:t>
      </w:r>
      <w:r w:rsidR="00727D29">
        <w:rPr>
          <w:rFonts w:ascii="Arial" w:eastAsia="Times New Roman" w:hAnsi="Arial" w:cs="Arial"/>
          <w:b/>
          <w:sz w:val="20"/>
          <w:szCs w:val="20"/>
          <w:lang w:eastAsia="fr-FR"/>
        </w:rPr>
        <w:t xml:space="preserve">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5AB9473D"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1. </w:t>
      </w:r>
      <w:r w:rsidR="004B6238">
        <w:rPr>
          <w:rFonts w:ascii="Arial" w:eastAsia="Times New Roman" w:hAnsi="Arial" w:cs="Arial"/>
          <w:sz w:val="20"/>
          <w:szCs w:val="20"/>
          <w:lang w:eastAsia="fr-FR"/>
        </w:rPr>
        <w:t>F</w:t>
      </w:r>
      <w:r w:rsidRPr="00F423DB">
        <w:rPr>
          <w:rFonts w:ascii="Arial" w:eastAsia="Times New Roman" w:hAnsi="Arial" w:cs="Arial"/>
          <w:sz w:val="20"/>
          <w:szCs w:val="20"/>
          <w:lang w:eastAsia="fr-FR"/>
        </w:rPr>
        <w:t>ournir au Titulaire les données visées au II des présentes clauses ;</w:t>
      </w:r>
    </w:p>
    <w:p w14:paraId="28C637AA" w14:textId="3400B26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2. </w:t>
      </w:r>
      <w:r w:rsidR="004B6238">
        <w:rPr>
          <w:rFonts w:ascii="Arial" w:eastAsia="Times New Roman" w:hAnsi="Arial" w:cs="Arial"/>
          <w:sz w:val="20"/>
          <w:szCs w:val="20"/>
          <w:lang w:eastAsia="fr-FR"/>
        </w:rPr>
        <w:t>D</w:t>
      </w:r>
      <w:r w:rsidRPr="00F423DB">
        <w:rPr>
          <w:rFonts w:ascii="Arial" w:eastAsia="Times New Roman" w:hAnsi="Arial" w:cs="Arial"/>
          <w:sz w:val="20"/>
          <w:szCs w:val="20"/>
          <w:lang w:eastAsia="fr-FR"/>
        </w:rPr>
        <w:t>ocumenter par écrit toute instruction concernant le traitement des données par le Titulaire ;</w:t>
      </w:r>
    </w:p>
    <w:p w14:paraId="57522D41" w14:textId="4FB57F4A"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3. </w:t>
      </w:r>
      <w:r w:rsidR="004B6238">
        <w:rPr>
          <w:rFonts w:ascii="Arial" w:eastAsia="Times New Roman" w:hAnsi="Arial" w:cs="Arial"/>
          <w:sz w:val="20"/>
          <w:szCs w:val="20"/>
          <w:lang w:eastAsia="fr-FR"/>
        </w:rPr>
        <w:t>V</w:t>
      </w:r>
      <w:r w:rsidRPr="00F423DB">
        <w:rPr>
          <w:rFonts w:ascii="Arial" w:eastAsia="Times New Roman" w:hAnsi="Arial" w:cs="Arial"/>
          <w:sz w:val="20"/>
          <w:szCs w:val="20"/>
          <w:lang w:eastAsia="fr-FR"/>
        </w:rPr>
        <w:t>eiller, au préalable et pendant toute la durée du traitement, au respect des obligations prévues par le règlement européen sur la protection des données de la part du Titulaire ;</w:t>
      </w:r>
    </w:p>
    <w:p w14:paraId="069EEECF" w14:textId="315EB3E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4. </w:t>
      </w:r>
      <w:r w:rsidR="004B6238">
        <w:rPr>
          <w:rFonts w:ascii="Arial" w:eastAsia="Times New Roman" w:hAnsi="Arial" w:cs="Arial"/>
          <w:sz w:val="20"/>
          <w:szCs w:val="20"/>
          <w:lang w:eastAsia="fr-FR"/>
        </w:rPr>
        <w:t>S</w:t>
      </w:r>
      <w:r w:rsidRPr="00F423DB">
        <w:rPr>
          <w:rFonts w:ascii="Arial" w:eastAsia="Times New Roman" w:hAnsi="Arial" w:cs="Arial"/>
          <w:sz w:val="20"/>
          <w:szCs w:val="20"/>
          <w:lang w:eastAsia="fr-FR"/>
        </w:rPr>
        <w:t>uperviser le traitement, y compris réaliser les audits et les inspections auprès du Titulaire.</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2">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3">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Protection du réseau interne (gestion des connexions wi-fi,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4">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9727618">
    <w:abstractNumId w:val="11"/>
  </w:num>
  <w:num w:numId="2" w16cid:durableId="1849442197">
    <w:abstractNumId w:val="6"/>
  </w:num>
  <w:num w:numId="3" w16cid:durableId="835461477">
    <w:abstractNumId w:val="10"/>
  </w:num>
  <w:num w:numId="4" w16cid:durableId="643315672">
    <w:abstractNumId w:val="8"/>
  </w:num>
  <w:num w:numId="5" w16cid:durableId="1104882406">
    <w:abstractNumId w:val="14"/>
  </w:num>
  <w:num w:numId="6" w16cid:durableId="1857501734">
    <w:abstractNumId w:val="16"/>
  </w:num>
  <w:num w:numId="7" w16cid:durableId="1863932006">
    <w:abstractNumId w:val="0"/>
  </w:num>
  <w:num w:numId="8" w16cid:durableId="266273333">
    <w:abstractNumId w:val="5"/>
  </w:num>
  <w:num w:numId="9" w16cid:durableId="30540177">
    <w:abstractNumId w:val="1"/>
  </w:num>
  <w:num w:numId="10" w16cid:durableId="1049497362">
    <w:abstractNumId w:val="17"/>
  </w:num>
  <w:num w:numId="11" w16cid:durableId="1720933141">
    <w:abstractNumId w:val="2"/>
  </w:num>
  <w:num w:numId="12" w16cid:durableId="1683162586">
    <w:abstractNumId w:val="12"/>
  </w:num>
  <w:num w:numId="13" w16cid:durableId="1878739308">
    <w:abstractNumId w:val="3"/>
  </w:num>
  <w:num w:numId="14" w16cid:durableId="1639918923">
    <w:abstractNumId w:val="15"/>
  </w:num>
  <w:num w:numId="15" w16cid:durableId="217015265">
    <w:abstractNumId w:val="9"/>
  </w:num>
  <w:num w:numId="16" w16cid:durableId="620303657">
    <w:abstractNumId w:val="19"/>
  </w:num>
  <w:num w:numId="17" w16cid:durableId="1468278958">
    <w:abstractNumId w:val="18"/>
  </w:num>
  <w:num w:numId="18" w16cid:durableId="690230722">
    <w:abstractNumId w:val="13"/>
  </w:num>
  <w:num w:numId="19" w16cid:durableId="657924310">
    <w:abstractNumId w:val="7"/>
  </w:num>
  <w:num w:numId="20" w16cid:durableId="1990740955">
    <w:abstractNumId w:val="4"/>
  </w:num>
  <w:num w:numId="21" w16cid:durableId="18522600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7115E"/>
    <w:rsid w:val="000E46EC"/>
    <w:rsid w:val="00137801"/>
    <w:rsid w:val="001443B8"/>
    <w:rsid w:val="001461A6"/>
    <w:rsid w:val="001643EB"/>
    <w:rsid w:val="001D5D33"/>
    <w:rsid w:val="001E0D16"/>
    <w:rsid w:val="001F2E0A"/>
    <w:rsid w:val="00227C99"/>
    <w:rsid w:val="00232301"/>
    <w:rsid w:val="00270ECE"/>
    <w:rsid w:val="0032149F"/>
    <w:rsid w:val="00335480"/>
    <w:rsid w:val="00336D9F"/>
    <w:rsid w:val="0036721A"/>
    <w:rsid w:val="00373369"/>
    <w:rsid w:val="003848FD"/>
    <w:rsid w:val="003D5249"/>
    <w:rsid w:val="003E0CD3"/>
    <w:rsid w:val="00410CEF"/>
    <w:rsid w:val="0045222E"/>
    <w:rsid w:val="004564AA"/>
    <w:rsid w:val="004741E0"/>
    <w:rsid w:val="0047779D"/>
    <w:rsid w:val="004B6238"/>
    <w:rsid w:val="004E2A9F"/>
    <w:rsid w:val="004F63F4"/>
    <w:rsid w:val="0050408B"/>
    <w:rsid w:val="00513552"/>
    <w:rsid w:val="00514527"/>
    <w:rsid w:val="005179D1"/>
    <w:rsid w:val="00540A52"/>
    <w:rsid w:val="005571AA"/>
    <w:rsid w:val="00561FBE"/>
    <w:rsid w:val="0057316F"/>
    <w:rsid w:val="0059503A"/>
    <w:rsid w:val="005D3010"/>
    <w:rsid w:val="00606150"/>
    <w:rsid w:val="0061442F"/>
    <w:rsid w:val="0062301B"/>
    <w:rsid w:val="00632FEA"/>
    <w:rsid w:val="00645039"/>
    <w:rsid w:val="0067610B"/>
    <w:rsid w:val="00683484"/>
    <w:rsid w:val="006C10D0"/>
    <w:rsid w:val="00703EA1"/>
    <w:rsid w:val="00727D29"/>
    <w:rsid w:val="00731103"/>
    <w:rsid w:val="00732F21"/>
    <w:rsid w:val="00747BC8"/>
    <w:rsid w:val="00751557"/>
    <w:rsid w:val="00784D26"/>
    <w:rsid w:val="007A3A16"/>
    <w:rsid w:val="007D1E09"/>
    <w:rsid w:val="007D4A7E"/>
    <w:rsid w:val="008D46D1"/>
    <w:rsid w:val="008E7157"/>
    <w:rsid w:val="008F7D40"/>
    <w:rsid w:val="00923B05"/>
    <w:rsid w:val="0093583B"/>
    <w:rsid w:val="0097025E"/>
    <w:rsid w:val="00981FFD"/>
    <w:rsid w:val="009A1B1F"/>
    <w:rsid w:val="009B0705"/>
    <w:rsid w:val="00A37624"/>
    <w:rsid w:val="00A42982"/>
    <w:rsid w:val="00AD7835"/>
    <w:rsid w:val="00AF3ED6"/>
    <w:rsid w:val="00B0457E"/>
    <w:rsid w:val="00B05EB5"/>
    <w:rsid w:val="00B12910"/>
    <w:rsid w:val="00B46752"/>
    <w:rsid w:val="00BB1425"/>
    <w:rsid w:val="00BC28EC"/>
    <w:rsid w:val="00BF03D9"/>
    <w:rsid w:val="00C02FF3"/>
    <w:rsid w:val="00C14C2D"/>
    <w:rsid w:val="00C650C5"/>
    <w:rsid w:val="00C76B1C"/>
    <w:rsid w:val="00C92FDB"/>
    <w:rsid w:val="00CB1C6A"/>
    <w:rsid w:val="00CC1E57"/>
    <w:rsid w:val="00CE0195"/>
    <w:rsid w:val="00D336EA"/>
    <w:rsid w:val="00D35C2D"/>
    <w:rsid w:val="00DA625E"/>
    <w:rsid w:val="00DF1D2C"/>
    <w:rsid w:val="00E02FF7"/>
    <w:rsid w:val="00E07062"/>
    <w:rsid w:val="00E500F9"/>
    <w:rsid w:val="00E90B35"/>
    <w:rsid w:val="00EC7C0F"/>
    <w:rsid w:val="00F23E83"/>
    <w:rsid w:val="00F30A53"/>
    <w:rsid w:val="00F333DF"/>
    <w:rsid w:val="00F423DB"/>
    <w:rsid w:val="00F61177"/>
    <w:rsid w:val="00FB463C"/>
    <w:rsid w:val="00FC7E6B"/>
    <w:rsid w:val="00FF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2.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3.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1201</Words>
  <Characters>6607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LECORVAISIER Marie</cp:lastModifiedBy>
  <cp:revision>12</cp:revision>
  <cp:lastPrinted>2018-08-24T09:28:00Z</cp:lastPrinted>
  <dcterms:created xsi:type="dcterms:W3CDTF">2024-05-28T13:21:00Z</dcterms:created>
  <dcterms:modified xsi:type="dcterms:W3CDTF">2025-06-19T09:47:00Z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2025-04-01T10:18:09Z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266c05a1-342b-4b8a-abdf-88980f75ffcb</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