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0C" w:rsidRDefault="00BA6BD4">
      <w:pPr>
        <w:spacing w:after="160" w:line="259" w:lineRule="auto"/>
        <w:jc w:val="center"/>
        <w:rPr>
          <w:rFonts w:ascii="Arial" w:eastAsia="Arial" w:hAnsi="Arial" w:cs="Arial"/>
          <w:strike/>
          <w:sz w:val="22"/>
          <w:szCs w:val="22"/>
        </w:rPr>
      </w:pPr>
      <w:r>
        <w:rPr>
          <w:smallCaps/>
          <w:noProof/>
          <w:color w:val="8D7D74"/>
        </w:rPr>
        <w:drawing>
          <wp:inline distT="114300" distB="114300" distL="114300" distR="114300" wp14:anchorId="7DB6C2BD" wp14:editId="6759C7B1">
            <wp:extent cx="4924425" cy="1371600"/>
            <wp:effectExtent l="0" t="0" r="9525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460" cy="1371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B6B0C" w:rsidRDefault="006B6B0C" w:rsidP="004620AB">
      <w:pPr>
        <w:spacing w:after="244"/>
        <w:rPr>
          <w:rFonts w:ascii="Arial" w:eastAsia="Arial" w:hAnsi="Arial" w:cs="Arial"/>
          <w:strike/>
          <w:sz w:val="22"/>
          <w:szCs w:val="22"/>
        </w:rPr>
      </w:pPr>
    </w:p>
    <w:p w:rsidR="004620AB" w:rsidRDefault="004620AB" w:rsidP="004620AB">
      <w:pPr>
        <w:spacing w:after="244"/>
        <w:rPr>
          <w:rFonts w:ascii="Arial" w:eastAsia="Arial" w:hAnsi="Arial" w:cs="Arial"/>
          <w:strike/>
          <w:sz w:val="22"/>
          <w:szCs w:val="22"/>
        </w:rPr>
      </w:pPr>
    </w:p>
    <w:p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:rsidR="002A59DF" w:rsidRDefault="002A59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</w:p>
    <w:p w:rsidR="006B6B0C" w:rsidRDefault="00E522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  <w:r w:rsidRPr="00E522B8">
        <w:rPr>
          <w:rFonts w:ascii="Arial" w:eastAsia="Arial" w:hAnsi="Arial" w:cs="Arial"/>
          <w:b/>
          <w:color w:val="FFFFFF"/>
          <w:sz w:val="32"/>
          <w:szCs w:val="32"/>
        </w:rPr>
        <w:t>Fourniture de périodiques français et étrangers pour l’Université Sorbonne Nouvelle et les bibliothèques interuniversitaires rattachées</w:t>
      </w:r>
    </w:p>
    <w:p w:rsidR="002A59DF" w:rsidRDefault="002A59D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003399"/>
        <w:spacing w:after="244"/>
        <w:ind w:left="575" w:hanging="10"/>
        <w:jc w:val="center"/>
        <w:rPr>
          <w:rFonts w:ascii="Arial" w:eastAsia="Arial" w:hAnsi="Arial" w:cs="Arial"/>
          <w:b/>
          <w:color w:val="FFFFFF"/>
          <w:sz w:val="32"/>
          <w:szCs w:val="32"/>
        </w:rPr>
      </w:pPr>
    </w:p>
    <w:p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3399"/>
          <w:sz w:val="28"/>
          <w:szCs w:val="28"/>
        </w:rPr>
        <w:t>CADRE DE LA NOTE MÉTHODOLOGIQUE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BA6BD4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  <w:r>
        <w:rPr>
          <w:rFonts w:ascii="Arial" w:eastAsia="Arial" w:hAnsi="Arial" w:cs="Arial"/>
          <w:color w:val="003399"/>
        </w:rPr>
        <w:t xml:space="preserve">Référence de la consultation : </w:t>
      </w:r>
      <w:r w:rsidR="00E522B8">
        <w:rPr>
          <w:rFonts w:ascii="Arial" w:eastAsia="Arial" w:hAnsi="Arial" w:cs="Arial"/>
          <w:color w:val="003399"/>
          <w:u w:val="single"/>
        </w:rPr>
        <w:t xml:space="preserve">USN </w:t>
      </w:r>
      <w:r w:rsidR="004620AB">
        <w:rPr>
          <w:rFonts w:ascii="Arial" w:eastAsia="Arial" w:hAnsi="Arial" w:cs="Arial"/>
          <w:color w:val="003399"/>
          <w:u w:val="single"/>
        </w:rPr>
        <w:t>–</w:t>
      </w:r>
      <w:r w:rsidR="00E522B8">
        <w:rPr>
          <w:rFonts w:ascii="Arial" w:eastAsia="Arial" w:hAnsi="Arial" w:cs="Arial"/>
          <w:color w:val="003399"/>
          <w:u w:val="single"/>
        </w:rPr>
        <w:t xml:space="preserve"> PERIO</w:t>
      </w:r>
    </w:p>
    <w:p w:rsidR="004620AB" w:rsidRDefault="004620AB" w:rsidP="004620AB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  <w:r>
        <w:rPr>
          <w:rFonts w:ascii="Arial" w:eastAsia="Arial" w:hAnsi="Arial" w:cs="Arial"/>
          <w:color w:val="003399"/>
        </w:rPr>
        <w:t xml:space="preserve">N° de la consultation </w:t>
      </w:r>
      <w:r>
        <w:rPr>
          <w:rFonts w:ascii="Arial" w:eastAsia="Arial" w:hAnsi="Arial" w:cs="Arial"/>
          <w:color w:val="003399"/>
        </w:rPr>
        <w:t xml:space="preserve">: </w:t>
      </w:r>
      <w:r>
        <w:rPr>
          <w:rFonts w:ascii="Arial" w:eastAsia="Arial" w:hAnsi="Arial" w:cs="Arial"/>
          <w:color w:val="003399"/>
          <w:u w:val="single"/>
        </w:rPr>
        <w:t>2025 - 023</w:t>
      </w:r>
    </w:p>
    <w:p w:rsidR="004620AB" w:rsidRDefault="004620AB">
      <w:pPr>
        <w:spacing w:before="120" w:after="120"/>
        <w:ind w:left="575" w:hanging="10"/>
        <w:jc w:val="center"/>
        <w:rPr>
          <w:rFonts w:ascii="Arial" w:eastAsia="Arial" w:hAnsi="Arial" w:cs="Arial"/>
          <w:color w:val="003399"/>
          <w:u w:val="single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Default="006B6B0C">
      <w:pPr>
        <w:spacing w:after="244" w:line="249" w:lineRule="auto"/>
        <w:ind w:left="565"/>
        <w:jc w:val="center"/>
        <w:rPr>
          <w:rFonts w:ascii="Arial" w:eastAsia="Arial" w:hAnsi="Arial" w:cs="Arial"/>
          <w:sz w:val="22"/>
          <w:szCs w:val="22"/>
        </w:rPr>
      </w:pPr>
    </w:p>
    <w:p w:rsidR="006B6B0C" w:rsidRPr="004620AB" w:rsidRDefault="004620AB" w:rsidP="004620AB">
      <w:pPr>
        <w:spacing w:after="120"/>
        <w:ind w:left="575" w:hanging="10"/>
        <w:jc w:val="center"/>
        <w:rPr>
          <w:rFonts w:ascii="Arial" w:eastAsia="Arial" w:hAnsi="Arial" w:cs="Arial"/>
          <w:b/>
          <w:i/>
          <w:sz w:val="16"/>
          <w:szCs w:val="16"/>
        </w:rPr>
      </w:pPr>
      <w:r w:rsidRPr="004620AB">
        <w:rPr>
          <w:rFonts w:ascii="Arial" w:eastAsia="Arial" w:hAnsi="Arial" w:cs="Arial"/>
          <w:i/>
          <w:color w:val="003399"/>
          <w:sz w:val="16"/>
          <w:szCs w:val="16"/>
        </w:rPr>
        <w:t>Le présent accord cadre à bon de commande est passé selon la procédure d’appel d’offres ouvert en application de l’article L 2124-2 de l’ordonnance 2018-1074 du 26 novembre 2018 et des articles R2124-2, R2161-1 à 5, R2162-1 à 6 et R2162-13 et 14 du décret 2018-1075 du 3 décembre 2018 formant Code de la commande publique</w:t>
      </w: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4620AB" w:rsidRDefault="004620AB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1500"/>
        <w:gridCol w:w="1501"/>
        <w:gridCol w:w="1500"/>
        <w:gridCol w:w="1501"/>
      </w:tblGrid>
      <w:tr w:rsidR="006B6B0C" w:rsidTr="004620AB">
        <w:trPr>
          <w:trHeight w:val="663"/>
        </w:trPr>
        <w:tc>
          <w:tcPr>
            <w:tcW w:w="3058" w:type="dxa"/>
            <w:shd w:val="clear" w:color="auto" w:fill="002060"/>
            <w:vAlign w:val="center"/>
          </w:tcPr>
          <w:p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gridSpan w:val="4"/>
            <w:vAlign w:val="center"/>
          </w:tcPr>
          <w:p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4620AB" w:rsidTr="00CF5C7A">
        <w:trPr>
          <w:trHeight w:val="363"/>
        </w:trPr>
        <w:tc>
          <w:tcPr>
            <w:tcW w:w="3058" w:type="dxa"/>
            <w:shd w:val="clear" w:color="auto" w:fill="002060"/>
            <w:vAlign w:val="center"/>
          </w:tcPr>
          <w:p w:rsidR="004620AB" w:rsidRDefault="004620AB" w:rsidP="004620AB">
            <w:pPr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LOT CONCERNE</w:t>
            </w:r>
          </w:p>
        </w:tc>
        <w:tc>
          <w:tcPr>
            <w:tcW w:w="1500" w:type="dxa"/>
            <w:vAlign w:val="center"/>
          </w:tcPr>
          <w:p w:rsidR="004620AB" w:rsidRDefault="004620AB" w:rsidP="004620A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1501" w:type="dxa"/>
            <w:vAlign w:val="center"/>
          </w:tcPr>
          <w:p w:rsidR="004620AB" w:rsidRDefault="004620AB" w:rsidP="004620A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  <w:tc>
          <w:tcPr>
            <w:tcW w:w="1500" w:type="dxa"/>
            <w:vAlign w:val="center"/>
          </w:tcPr>
          <w:p w:rsidR="004620AB" w:rsidRDefault="004620AB" w:rsidP="004620A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</w:t>
            </w:r>
          </w:p>
        </w:tc>
        <w:tc>
          <w:tcPr>
            <w:tcW w:w="1501" w:type="dxa"/>
            <w:vAlign w:val="center"/>
          </w:tcPr>
          <w:p w:rsidR="004620AB" w:rsidRDefault="004620AB" w:rsidP="004620A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</w:tr>
    </w:tbl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B6B0C" w:rsidRDefault="006B6B0C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La présente note méthodologique a pour objet de juger la valeur technique de l’offre du candidat.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complément des conditions figurant au C</w:t>
      </w:r>
      <w:r w:rsidR="004620AB">
        <w:rPr>
          <w:rFonts w:ascii="Arial" w:eastAsia="Arial" w:hAnsi="Arial" w:cs="Arial"/>
          <w:sz w:val="22"/>
          <w:szCs w:val="22"/>
        </w:rPr>
        <w:t>CP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de plus rappelé que la présente note méthodologique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tbl>
      <w:tblPr>
        <w:tblW w:w="1077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5812"/>
      </w:tblGrid>
      <w:tr w:rsidR="00E522B8" w:rsidTr="00E522B8">
        <w:trPr>
          <w:trHeight w:val="360"/>
        </w:trPr>
        <w:tc>
          <w:tcPr>
            <w:tcW w:w="10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hideMark/>
          </w:tcPr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522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Gestion des abonnements</w:t>
            </w:r>
          </w:p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522B8" w:rsidTr="00E522B8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522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522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Réponses fournies par le prestataire</w:t>
            </w:r>
          </w:p>
        </w:tc>
      </w:tr>
      <w:tr w:rsidR="00E522B8" w:rsidTr="00E522B8">
        <w:trPr>
          <w:trHeight w:val="95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Selon quelles modalités sont transmis les devis aux clients ? Pouvez-vous fournir un exemple de devis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25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Les devis émis et validés en commande sont-ils archivés et accessibles aux clients sur une interface Web ? </w:t>
            </w: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br/>
              <w:t>Sont-ils exportables ? Si oui, sous quel format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Quelles sont les modalités de communication aux bibliothèques pour avertir de la validation de la commande auprès des éditeurs et des diffuseurs ? Dans quel délai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60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Certains titres de revues des portefeuilles ne permettent qu'une commande au numéro.</w:t>
            </w: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Décrivez précisément les procédures, les délais d'exécution des commandes au numéro, ainsi que les modalités de communication envers les bibliothèques.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Le candidat peut-il fournir sans surcoût, commandés à l’unité, des numéros isolés de périodiques, des suppléments ou des hors-séries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26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Le candidat s’engage-t-il sur un délai de transmission d’une réclamation à l’éditeur (démarrage d’un abonnement, problème de livraison) inférieur à 24 heures ? Si oui, lequel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7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Les bibliothèques clientes ont-ils la possibilité de transmettre leurs réclamations et d’en assurer le suivi par l’intermédiaire d’une interface Web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7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Un calendrier avec les dates de parution et d’expédition des fascicules est-il disponible sur l’interface Web ? Concerne-t-il tous les titres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 est la procédure de relance des réclamations ? Est-elle automatique ? A partir de quel moment une intervention humaine est-elle déclenchée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60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Quelles sont les modalités de retour d’un document au candidat (exemplaire défectueux, livré en double, etc.) ? Comment sont pris en charge les frais d’expédition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De quelle manière et à quelle fréquence le candidat informe-t-il ses clients des modifications intervenant sur la vie d’un périodique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Le candidat s’engage-t-il à faire bénéficier ses clients de toutes les versions électroniques disponibles gratuitement avec les versions papier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Comment est gérée la mise en place technique des abonnements électroniques (abonnement électronique ou abonnement couplé papier-électronique)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Outre les informations demandées dans le devis, le candidat est-il en mesure de fournir des informations sur les prérequis techniques pour activer les accès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69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Parmi les étapes suivantes, quelles sont celles où le candidat assure l’interface ou la gestion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7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1 - la prise en charge pour le compte des bibliothèques du processus d’enregistrement avec communication des adresses IP auprès de l’éditeur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70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2 - la transmission et le suivi de la licence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3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3 - l’enregistrement de l’adresse mail de l’utilisateur avec un mot de passe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4 - la transmission des numéros d’abonné attribués au client par les éditeurs ou les diffuseurs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2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 est l’assistance technique mise en place en cas de dysfonctionnement dans l’accès aux versions électroniques souscrites (contact, délai, information)?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360"/>
        </w:trPr>
        <w:tc>
          <w:tcPr>
            <w:tcW w:w="10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hideMark/>
          </w:tcPr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522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Tarification et facturation</w:t>
            </w:r>
          </w:p>
        </w:tc>
      </w:tr>
      <w:tr w:rsidR="00E522B8" w:rsidTr="00E522B8">
        <w:trPr>
          <w:trHeight w:val="117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Sur quels critères le candidat fixe-t-il les éventuels taux de commission, qui seront identiques pour toute la durée du marché ? A détailler par catégorie si plusieurs taux sont appliqués.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26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Sur quels critères le candidat fixe-t-il les éventuels taux de remise, qui seront identiques pour toute la durée du marché ? A détailler par catégorie si plusieurs taux sont appliqués.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70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Le candidat répercute-t-il sur ses clients les variations de tarifs en cours d’année. Si oui, comment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60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Quelles informations le candidat est-il en mesure de fournir à ses clients quant à l’évolution des prix éditeurs d’une année sur l’autre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Les clients peuvent-ils avoir accès aux factures sur un site web ou une plateforme dédiée ? Si oui, sont-elles exportables et dans quel format ? </w:t>
            </w: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br/>
              <w:t>Pouvez-vous fournir un exemple de facture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26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Comment sont gérés les éventuels frais de douane (lots 2, 3, 4) ? </w:t>
            </w: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br/>
              <w:t>Décrivez les procédures mises en place pour les éviter et/ou les rembourser aux bibliothèques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360"/>
        </w:trPr>
        <w:tc>
          <w:tcPr>
            <w:tcW w:w="10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hideMark/>
          </w:tcPr>
          <w:p w:rsidR="00E522B8" w:rsidRPr="00E522B8" w:rsidRDefault="00E522B8" w:rsidP="00E522B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Moyens humains et techniques</w:t>
            </w:r>
          </w:p>
        </w:tc>
      </w:tr>
      <w:tr w:rsidR="00E522B8" w:rsidTr="00E522B8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Nom et qualité de l’interlocuteur de chaque bibliothèque, et de son remplaçant en cas d’absence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8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 est la disponibilité de l’interlocuteur de chaque bibliothèque tout au long de l’année : fermeture estivale, fermeture de fin d’année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8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Quels sont les moyens humains mis à contribution pour suivre des portefeuilles au nombre de titre importants par lot (+ de 200)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7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De combien de titres et d’éditeurs est composée la base bibliographique que le candidat met à disposition des </w:t>
            </w:r>
            <w:proofErr w:type="spellStart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biblitohèques</w:t>
            </w:r>
            <w:proofErr w:type="spellEnd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 est la répartition entre titres français et titres étrangers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70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Cette base lui est-elle propre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69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Quelles sont les informations disponibles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Comment est-elle alimentée et mise à jour ? A quelle fréquence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4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Quelle procédure est mise en place pour la commande d’un titre ne figurant pas dans la base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Est-il possible d’ajouter, sur demande, un titre dans la base ? Selon quelles modalités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De quelle manière le candidat assure-t-il la formation à l’interface web auprès des utilisateurs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60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Selon quelles modalités le client </w:t>
            </w:r>
            <w:proofErr w:type="spellStart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aura-t-il</w:t>
            </w:r>
            <w:proofErr w:type="spellEnd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 accès en test à la base bibliographique lors du dépouillement des offres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11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Quels sont les listes et rapports statistiques disponibles relatifs à la gestion des périodiques imprimés et électroniques ? Sont-ils exportables ? Si oui, sous quel format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98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Pendant la durée du marché, proposez-vous des visites régulières auprès de ses clients ? A quelle fréquence ?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Times" w:hAnsi="Times" w:cs="Arial"/>
                <w:color w:val="000000"/>
                <w:sz w:val="20"/>
                <w:szCs w:val="20"/>
              </w:rPr>
            </w:pPr>
            <w:r w:rsidRPr="00E522B8">
              <w:rPr>
                <w:rFonts w:ascii="Times" w:hAnsi="Times" w:cs="Arial"/>
                <w:color w:val="000000"/>
                <w:sz w:val="20"/>
                <w:szCs w:val="20"/>
              </w:rPr>
              <w:t> </w:t>
            </w:r>
          </w:p>
        </w:tc>
      </w:tr>
      <w:tr w:rsidR="00E522B8" w:rsidTr="00E522B8">
        <w:trPr>
          <w:trHeight w:val="84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Avez-vous mis en place une démarche éco-</w:t>
            </w:r>
            <w:proofErr w:type="spellStart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resposnable</w:t>
            </w:r>
            <w:proofErr w:type="spellEnd"/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 xml:space="preserve"> ?  Détaillez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22B8" w:rsidRPr="00E522B8" w:rsidRDefault="00E522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2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6B6B0C" w:rsidRDefault="006B6B0C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E522B8" w:rsidRDefault="00E522B8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E522B8" w:rsidRDefault="00E522B8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E522B8" w:rsidRDefault="00E522B8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E522B8" w:rsidRDefault="00E522B8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Default="006B6B0C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Pr="004620AB" w:rsidRDefault="006B6B0C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Pr="004620AB" w:rsidRDefault="00BA6BD4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  <w:r w:rsidRPr="004620AB">
        <w:rPr>
          <w:rFonts w:ascii="Arial" w:eastAsia="Arial" w:hAnsi="Arial" w:cs="Arial"/>
          <w:color w:val="000000"/>
          <w:sz w:val="20"/>
          <w:szCs w:val="20"/>
        </w:rPr>
        <w:t>Fait le _______________________________à_____________________________</w:t>
      </w:r>
    </w:p>
    <w:p w:rsidR="006B6B0C" w:rsidRPr="004620AB" w:rsidRDefault="006B6B0C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:rsidR="006B6B0C" w:rsidRPr="004620AB" w:rsidRDefault="00BA6BD4" w:rsidP="00E522B8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  <w:r w:rsidRPr="004620AB">
        <w:rPr>
          <w:rFonts w:ascii="Arial" w:eastAsia="Arial" w:hAnsi="Arial" w:cs="Arial"/>
          <w:b/>
          <w:color w:val="000000"/>
          <w:sz w:val="20"/>
          <w:szCs w:val="20"/>
        </w:rPr>
        <w:t>Signature et cachet de l’entreprise :</w:t>
      </w:r>
    </w:p>
    <w:p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:rsidR="006B6B0C" w:rsidRDefault="006B6B0C">
      <w:pPr>
        <w:jc w:val="center"/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077" w:rsidRDefault="00BA6BD4">
      <w:r>
        <w:separator/>
      </w:r>
    </w:p>
  </w:endnote>
  <w:endnote w:type="continuationSeparator" w:id="0">
    <w:p w:rsidR="00962077" w:rsidRDefault="00BA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077" w:rsidRDefault="00BA6BD4">
      <w:r>
        <w:separator/>
      </w:r>
    </w:p>
  </w:footnote>
  <w:footnote w:type="continuationSeparator" w:id="0">
    <w:p w:rsidR="00962077" w:rsidRDefault="00BA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0C"/>
    <w:rsid w:val="002A59DF"/>
    <w:rsid w:val="004620AB"/>
    <w:rsid w:val="006B6B0C"/>
    <w:rsid w:val="00962077"/>
    <w:rsid w:val="00BA6BD4"/>
    <w:rsid w:val="00E5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98E0"/>
  <w15:docId w15:val="{7083887D-8750-4FA4-9823-5AB97F45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4B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1171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Gbuisson</cp:lastModifiedBy>
  <cp:revision>2</cp:revision>
  <dcterms:created xsi:type="dcterms:W3CDTF">2025-06-17T08:59:00Z</dcterms:created>
  <dcterms:modified xsi:type="dcterms:W3CDTF">2025-06-17T08:59:00Z</dcterms:modified>
</cp:coreProperties>
</file>