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F44C79" w:rsidRPr="00F44C79" w:rsidRDefault="00F44C79" w:rsidP="00F44C79">
      <w:pPr>
        <w:jc w:val="both"/>
        <w:rPr>
          <w:rFonts w:ascii="Arial" w:eastAsia="Arial" w:hAnsi="Arial" w:cs="Arial"/>
          <w:b/>
        </w:rPr>
      </w:pPr>
      <w:r w:rsidRPr="00F44C79">
        <w:rPr>
          <w:rFonts w:ascii="Arial" w:eastAsia="Arial" w:hAnsi="Arial" w:cs="Arial"/>
          <w:b/>
        </w:rPr>
        <w:t xml:space="preserve">- </w:t>
      </w:r>
      <w:r w:rsidRPr="00F44C79">
        <w:rPr>
          <w:rFonts w:ascii="Arial" w:eastAsia="Arial" w:hAnsi="Arial" w:cs="Arial"/>
          <w:b/>
        </w:rPr>
        <w:t>Référence et numéro de l’accord-cadre :</w:t>
      </w:r>
    </w:p>
    <w:p w:rsidR="00F44C79" w:rsidRPr="00F44C79" w:rsidRDefault="00F44C79">
      <w:pPr>
        <w:tabs>
          <w:tab w:val="left" w:pos="426"/>
          <w:tab w:val="left" w:pos="851"/>
        </w:tabs>
        <w:jc w:val="both"/>
        <w:rPr>
          <w:color w:val="000000"/>
        </w:rPr>
      </w:pPr>
    </w:p>
    <w:p w:rsidR="00F44C79" w:rsidRPr="00F44C79" w:rsidRDefault="00F44C79">
      <w:pPr>
        <w:tabs>
          <w:tab w:val="left" w:pos="426"/>
          <w:tab w:val="left" w:pos="851"/>
        </w:tabs>
        <w:jc w:val="both"/>
        <w:rPr>
          <w:rFonts w:ascii="Arial" w:eastAsia="Arial" w:hAnsi="Arial" w:cs="Arial"/>
        </w:rPr>
      </w:pPr>
      <w:r w:rsidRPr="00F44C79">
        <w:rPr>
          <w:color w:val="000000"/>
        </w:rPr>
        <w:t xml:space="preserve">USN PERIO -  n° </w:t>
      </w:r>
      <w:r w:rsidRPr="00F44C79">
        <w:rPr>
          <w:color w:val="000000"/>
        </w:rPr>
        <w:t>2025-023</w:t>
      </w:r>
    </w:p>
    <w:p w:rsidR="00F44C79" w:rsidRPr="00F44C79" w:rsidRDefault="00F44C79">
      <w:pPr>
        <w:tabs>
          <w:tab w:val="left" w:pos="426"/>
          <w:tab w:val="left" w:pos="851"/>
        </w:tabs>
        <w:jc w:val="both"/>
        <w:rPr>
          <w:rFonts w:ascii="Arial" w:eastAsia="Arial" w:hAnsi="Arial" w:cs="Arial"/>
        </w:rPr>
      </w:pPr>
    </w:p>
    <w:p w:rsidR="00E518B3" w:rsidRPr="00F44C79" w:rsidRDefault="002C1AF4">
      <w:pPr>
        <w:tabs>
          <w:tab w:val="left" w:pos="426"/>
          <w:tab w:val="left" w:pos="851"/>
        </w:tabs>
        <w:jc w:val="both"/>
        <w:rPr>
          <w:rFonts w:ascii="Arial" w:eastAsia="Arial" w:hAnsi="Arial" w:cs="Arial"/>
        </w:rPr>
      </w:pPr>
      <w:r w:rsidRPr="00F44C79">
        <w:rPr>
          <w:rFonts w:ascii="Wingdings" w:eastAsia="Wingdings" w:hAnsi="Wingdings" w:cs="Wingdings"/>
          <w:b/>
          <w:color w:val="0000CC"/>
        </w:rPr>
        <w:t>■</w:t>
      </w:r>
      <w:r w:rsidRPr="00F44C79">
        <w:rPr>
          <w:rFonts w:ascii="Arial" w:eastAsia="Arial" w:hAnsi="Arial" w:cs="Arial"/>
          <w:color w:val="FF6600"/>
        </w:rPr>
        <w:t xml:space="preserve"> </w:t>
      </w:r>
      <w:r w:rsidRPr="00F44C79">
        <w:rPr>
          <w:rFonts w:ascii="Arial" w:eastAsia="Arial" w:hAnsi="Arial" w:cs="Arial"/>
          <w:b/>
        </w:rPr>
        <w:t>Objet de l’accord cadre</w:t>
      </w:r>
      <w:r w:rsidRPr="00F44C79">
        <w:rPr>
          <w:rFonts w:ascii="Arial" w:eastAsia="Arial" w:hAnsi="Arial" w:cs="Arial"/>
        </w:rPr>
        <w:t xml:space="preserve"> :</w:t>
      </w:r>
    </w:p>
    <w:p w:rsidR="00E518B3" w:rsidRPr="00F44C79" w:rsidRDefault="00E518B3">
      <w:pPr>
        <w:tabs>
          <w:tab w:val="left" w:pos="426"/>
          <w:tab w:val="left" w:pos="851"/>
        </w:tabs>
        <w:jc w:val="both"/>
        <w:rPr>
          <w:rFonts w:ascii="Arial" w:eastAsia="Arial" w:hAnsi="Arial" w:cs="Arial"/>
        </w:rPr>
      </w:pPr>
      <w:bookmarkStart w:id="0" w:name="_GoBack"/>
      <w:bookmarkEnd w:id="0"/>
    </w:p>
    <w:p w:rsidR="00F44C79" w:rsidRPr="00F44C79" w:rsidRDefault="00F44C79" w:rsidP="00F44C79">
      <w:pPr>
        <w:jc w:val="both"/>
      </w:pPr>
      <w:r w:rsidRPr="00F44C79">
        <w:t>L’accord cadre a pour objet la fourniture de périodiques français et étrangers, pour la Direction des bibliothèques universitaires et les bibliothèques rattachées Sainte-Geneviève et Sainte-Barbe de l’Université Sorbonne Nouvelle.</w:t>
      </w:r>
    </w:p>
    <w:p w:rsidR="00F44C79" w:rsidRPr="00F44C79" w:rsidRDefault="00F44C79" w:rsidP="00F44C79">
      <w:pPr>
        <w:jc w:val="both"/>
        <w:rPr>
          <w:rFonts w:ascii="Arial" w:hAnsi="Arial"/>
        </w:rPr>
      </w:pPr>
    </w:p>
    <w:p w:rsidR="00E518B3" w:rsidRPr="00F44C79" w:rsidRDefault="00F44C79" w:rsidP="00F44C79">
      <w:pPr>
        <w:jc w:val="both"/>
        <w:rPr>
          <w:color w:val="000000"/>
        </w:rPr>
      </w:pPr>
      <w:r w:rsidRPr="00F44C79">
        <w:rPr>
          <w:color w:val="000000"/>
        </w:rPr>
        <w:t>Il s’agit d’un accord cadre de fournitures au sens de l’article L1111-3 du code de la commande publique</w:t>
      </w:r>
    </w:p>
    <w:p w:rsidR="00F44C79" w:rsidRPr="00F44C79" w:rsidRDefault="00F44C79" w:rsidP="00F44C79">
      <w:pPr>
        <w:jc w:val="both"/>
        <w:rPr>
          <w:color w:val="000000"/>
        </w:rPr>
      </w:pPr>
    </w:p>
    <w:p w:rsidR="00E518B3" w:rsidRPr="00F44C79" w:rsidRDefault="00E518B3">
      <w:pPr>
        <w:tabs>
          <w:tab w:val="left" w:pos="426"/>
          <w:tab w:val="left" w:pos="851"/>
        </w:tabs>
        <w:rPr>
          <w:rFonts w:ascii="Arial" w:eastAsia="Arial" w:hAnsi="Arial" w:cs="Arial"/>
          <w:b/>
        </w:rPr>
      </w:pPr>
    </w:p>
    <w:p w:rsidR="00E518B3" w:rsidRPr="00F44C79" w:rsidRDefault="002C1AF4">
      <w:pPr>
        <w:tabs>
          <w:tab w:val="left" w:pos="426"/>
          <w:tab w:val="left" w:pos="851"/>
        </w:tabs>
        <w:jc w:val="both"/>
        <w:rPr>
          <w:rFonts w:ascii="Arial" w:eastAsia="Arial" w:hAnsi="Arial" w:cs="Arial"/>
        </w:rPr>
      </w:pPr>
      <w:r w:rsidRPr="00F44C79">
        <w:rPr>
          <w:rFonts w:ascii="Wingdings" w:eastAsia="Wingdings" w:hAnsi="Wingdings" w:cs="Wingdings"/>
          <w:b/>
          <w:color w:val="0000CC"/>
        </w:rPr>
        <w:t>■</w:t>
      </w:r>
      <w:r w:rsidRPr="00F44C79">
        <w:rPr>
          <w:rFonts w:ascii="Arial" w:eastAsia="Arial" w:hAnsi="Arial" w:cs="Arial"/>
          <w:color w:val="FF6600"/>
        </w:rPr>
        <w:t xml:space="preserve"> </w:t>
      </w:r>
      <w:r w:rsidRPr="00F44C79">
        <w:rPr>
          <w:rFonts w:ascii="Arial" w:eastAsia="Arial" w:hAnsi="Arial" w:cs="Arial"/>
          <w:b/>
        </w:rPr>
        <w:t>Code CPV principal</w:t>
      </w:r>
      <w:r w:rsidRPr="00F44C79">
        <w:rPr>
          <w:rFonts w:ascii="Arial" w:eastAsia="Arial" w:hAnsi="Arial" w:cs="Arial"/>
        </w:rPr>
        <w:t xml:space="preserve"> : </w:t>
      </w:r>
    </w:p>
    <w:p w:rsidR="00E518B3" w:rsidRPr="00F44C79" w:rsidRDefault="00E518B3">
      <w:pPr>
        <w:tabs>
          <w:tab w:val="left" w:pos="426"/>
          <w:tab w:val="left" w:pos="851"/>
        </w:tabs>
        <w:jc w:val="both"/>
        <w:rPr>
          <w:rFonts w:ascii="Arial" w:eastAsia="Arial" w:hAnsi="Arial" w:cs="Arial"/>
          <w:b/>
        </w:rPr>
      </w:pPr>
    </w:p>
    <w:p w:rsidR="00E518B3" w:rsidRPr="00F44C79" w:rsidRDefault="002C1AF4">
      <w:pPr>
        <w:rPr>
          <w:rFonts w:ascii="Arial" w:eastAsia="Arial" w:hAnsi="Arial" w:cs="Arial"/>
        </w:rPr>
      </w:pPr>
      <w:r w:rsidRPr="00F44C79">
        <w:rPr>
          <w:rFonts w:ascii="Arial" w:eastAsia="Arial" w:hAnsi="Arial" w:cs="Arial"/>
        </w:rPr>
        <w:t xml:space="preserve">La classification principale conforme au vocabulaire commun des marchés européens (CPV) est : </w:t>
      </w:r>
    </w:p>
    <w:p w:rsidR="00E518B3" w:rsidRDefault="00E518B3"/>
    <w:tbl>
      <w:tblPr>
        <w:tblStyle w:val="a1"/>
        <w:tblW w:w="9498" w:type="dxa"/>
        <w:tblInd w:w="115" w:type="dxa"/>
        <w:tblLayout w:type="fixed"/>
        <w:tblLook w:val="0400" w:firstRow="0" w:lastRow="0" w:firstColumn="0" w:lastColumn="0" w:noHBand="0" w:noVBand="1"/>
      </w:tblPr>
      <w:tblGrid>
        <w:gridCol w:w="1581"/>
        <w:gridCol w:w="7917"/>
      </w:tblGrid>
      <w:tr w:rsidR="00E518B3" w:rsidRPr="00F44C79" w:rsidTr="00F44C79">
        <w:trPr>
          <w:trHeight w:val="384"/>
        </w:trPr>
        <w:tc>
          <w:tcPr>
            <w:tcW w:w="1581"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Pr="00F44C79" w:rsidRDefault="002C1AF4">
            <w:pPr>
              <w:jc w:val="center"/>
              <w:rPr>
                <w:rFonts w:ascii="Arial" w:eastAsia="Arial" w:hAnsi="Arial" w:cs="Arial"/>
                <w:b/>
              </w:rPr>
            </w:pPr>
            <w:r w:rsidRPr="00F44C79">
              <w:rPr>
                <w:rFonts w:ascii="Arial" w:eastAsia="Arial" w:hAnsi="Arial" w:cs="Arial"/>
                <w:b/>
              </w:rPr>
              <w:t>CODE CPV</w:t>
            </w:r>
          </w:p>
        </w:tc>
        <w:tc>
          <w:tcPr>
            <w:tcW w:w="7917" w:type="dxa"/>
            <w:tcBorders>
              <w:top w:val="single" w:sz="4" w:space="0" w:color="000000"/>
              <w:left w:val="nil"/>
              <w:bottom w:val="single" w:sz="4" w:space="0" w:color="000000"/>
              <w:right w:val="single" w:sz="4" w:space="0" w:color="000000"/>
            </w:tcBorders>
            <w:shd w:val="clear" w:color="auto" w:fill="002060"/>
            <w:vAlign w:val="center"/>
          </w:tcPr>
          <w:p w:rsidR="00E518B3" w:rsidRPr="00F44C79" w:rsidRDefault="002C1AF4">
            <w:pPr>
              <w:jc w:val="center"/>
              <w:rPr>
                <w:rFonts w:ascii="Arial" w:eastAsia="Arial" w:hAnsi="Arial" w:cs="Arial"/>
                <w:b/>
              </w:rPr>
            </w:pPr>
            <w:r w:rsidRPr="00F44C79">
              <w:rPr>
                <w:rFonts w:ascii="Arial" w:eastAsia="Arial" w:hAnsi="Arial" w:cs="Arial"/>
                <w:b/>
              </w:rPr>
              <w:t>Dénomination</w:t>
            </w:r>
          </w:p>
        </w:tc>
      </w:tr>
      <w:tr w:rsidR="00F44C79" w:rsidRPr="00F44C79" w:rsidTr="00F44C79">
        <w:trPr>
          <w:trHeight w:val="384"/>
        </w:trPr>
        <w:tc>
          <w:tcPr>
            <w:tcW w:w="15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44C79" w:rsidRPr="00F44C79" w:rsidRDefault="00F44C79" w:rsidP="00F44C79">
            <w:pPr>
              <w:jc w:val="center"/>
              <w:rPr>
                <w:rFonts w:ascii="Arial" w:hAnsi="Arial" w:cs="Arial"/>
                <w:b/>
              </w:rPr>
            </w:pPr>
            <w:r w:rsidRPr="00F44C79">
              <w:rPr>
                <w:rFonts w:ascii="Arial" w:hAnsi="Arial" w:cs="Arial"/>
                <w:b/>
              </w:rPr>
              <w:t>22200000</w:t>
            </w:r>
          </w:p>
        </w:tc>
        <w:tc>
          <w:tcPr>
            <w:tcW w:w="7917" w:type="dxa"/>
            <w:tcBorders>
              <w:top w:val="single" w:sz="4" w:space="0" w:color="000000"/>
              <w:left w:val="nil"/>
              <w:bottom w:val="single" w:sz="4" w:space="0" w:color="000000"/>
              <w:right w:val="single" w:sz="4" w:space="0" w:color="000000"/>
            </w:tcBorders>
            <w:shd w:val="clear" w:color="auto" w:fill="auto"/>
            <w:vAlign w:val="bottom"/>
          </w:tcPr>
          <w:p w:rsidR="00F44C79" w:rsidRPr="00F44C79" w:rsidRDefault="00F44C79" w:rsidP="00F44C79">
            <w:pPr>
              <w:rPr>
                <w:rFonts w:ascii="Arial" w:hAnsi="Arial" w:cs="Arial"/>
                <w:b/>
              </w:rPr>
            </w:pPr>
            <w:r w:rsidRPr="00F44C79">
              <w:rPr>
                <w:rFonts w:ascii="Arial" w:hAnsi="Arial" w:cs="Arial"/>
                <w:b/>
              </w:rPr>
              <w:t>Journaux, revues spécialisées, périodiques et magazines</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Pr="00F44C79" w:rsidRDefault="002C1AF4">
      <w:pPr>
        <w:tabs>
          <w:tab w:val="left" w:pos="426"/>
          <w:tab w:val="left" w:pos="851"/>
        </w:tabs>
        <w:jc w:val="both"/>
        <w:rPr>
          <w:rFonts w:ascii="Arial" w:eastAsia="Arial" w:hAnsi="Arial" w:cs="Arial"/>
        </w:rPr>
      </w:pPr>
      <w:r w:rsidRPr="00F44C79">
        <w:rPr>
          <w:rFonts w:ascii="Wingdings" w:eastAsia="Wingdings" w:hAnsi="Wingdings" w:cs="Wingdings"/>
          <w:b/>
          <w:color w:val="0000CC"/>
        </w:rPr>
        <w:t>■</w:t>
      </w:r>
      <w:r w:rsidRPr="00F44C79">
        <w:rPr>
          <w:rFonts w:ascii="Arial" w:eastAsia="Arial" w:hAnsi="Arial" w:cs="Arial"/>
          <w:color w:val="FF6600"/>
        </w:rPr>
        <w:t xml:space="preserve"> </w:t>
      </w:r>
      <w:r w:rsidRPr="00F44C79">
        <w:rPr>
          <w:rFonts w:ascii="Arial" w:eastAsia="Arial" w:hAnsi="Arial" w:cs="Arial"/>
          <w:b/>
        </w:rPr>
        <w:t>Cet acte d'engagement correspond</w:t>
      </w:r>
      <w:r w:rsidRPr="00F44C79">
        <w:rPr>
          <w:rFonts w:ascii="Arial" w:eastAsia="Arial" w:hAnsi="Arial" w:cs="Arial"/>
        </w:rPr>
        <w:t xml:space="preserve"> :</w:t>
      </w:r>
    </w:p>
    <w:p w:rsidR="00E518B3" w:rsidRPr="00F44C79" w:rsidRDefault="00E518B3">
      <w:pPr>
        <w:tabs>
          <w:tab w:val="left" w:pos="426"/>
          <w:tab w:val="left" w:pos="851"/>
        </w:tabs>
        <w:jc w:val="both"/>
        <w:rPr>
          <w:rFonts w:ascii="Arial" w:eastAsia="Arial" w:hAnsi="Arial" w:cs="Arial"/>
        </w:rPr>
      </w:pPr>
    </w:p>
    <w:p w:rsidR="00E518B3" w:rsidRPr="00F44C79" w:rsidRDefault="002C1AF4">
      <w:pPr>
        <w:rPr>
          <w:i/>
        </w:rPr>
      </w:pPr>
      <w:r w:rsidRPr="00F44C79">
        <w:rPr>
          <w:rFonts w:ascii="Arial" w:eastAsia="Arial" w:hAnsi="Arial" w:cs="Arial"/>
          <w:i/>
        </w:rPr>
        <w:t>(Cocher les cases correspondantes.)</w:t>
      </w:r>
    </w:p>
    <w:p w:rsidR="00E518B3" w:rsidRPr="00F44C79" w:rsidRDefault="00E518B3">
      <w:pPr>
        <w:tabs>
          <w:tab w:val="left" w:pos="426"/>
          <w:tab w:val="left" w:pos="851"/>
        </w:tabs>
        <w:jc w:val="both"/>
        <w:rPr>
          <w:rFonts w:ascii="Arial" w:eastAsia="Arial" w:hAnsi="Arial" w:cs="Arial"/>
        </w:rPr>
      </w:pPr>
    </w:p>
    <w:p w:rsidR="00E518B3" w:rsidRPr="00F44C79" w:rsidRDefault="002C1AF4" w:rsidP="00F44C79">
      <w:pPr>
        <w:pBdr>
          <w:top w:val="nil"/>
          <w:left w:val="nil"/>
          <w:bottom w:val="nil"/>
          <w:right w:val="nil"/>
          <w:between w:val="nil"/>
        </w:pBdr>
        <w:jc w:val="both"/>
        <w:rPr>
          <w:rFonts w:ascii="Arial" w:eastAsia="Arial" w:hAnsi="Arial" w:cs="Arial"/>
          <w:b/>
          <w:color w:val="000000"/>
        </w:rPr>
      </w:pPr>
      <w:r w:rsidRPr="00F44C79">
        <w:rPr>
          <w:rFonts w:ascii="Arial" w:eastAsia="Arial" w:hAnsi="Arial" w:cs="Arial"/>
          <w:color w:val="000000"/>
        </w:rPr>
        <w:t>☐</w:t>
      </w:r>
      <w:r w:rsidR="00F44C79" w:rsidRPr="00F44C79">
        <w:rPr>
          <w:rFonts w:ascii="Arial" w:eastAsia="Arial" w:hAnsi="Arial" w:cs="Arial"/>
          <w:color w:val="000000"/>
        </w:rPr>
        <w:t xml:space="preserve"> </w:t>
      </w:r>
      <w:r w:rsidR="00F44C79" w:rsidRPr="00F44C79">
        <w:rPr>
          <w:rFonts w:ascii="Arial" w:eastAsia="Arial" w:hAnsi="Arial" w:cs="Arial"/>
          <w:b/>
          <w:color w:val="000000"/>
        </w:rPr>
        <w:t xml:space="preserve">au </w:t>
      </w:r>
      <w:r w:rsidR="00F44C79" w:rsidRPr="00F44C79">
        <w:rPr>
          <w:b/>
        </w:rPr>
        <w:t>Lot n°</w:t>
      </w:r>
      <w:r w:rsidR="00F44C79" w:rsidRPr="00F44C79">
        <w:rPr>
          <w:b/>
        </w:rPr>
        <w:t>1</w:t>
      </w:r>
      <w:r w:rsidR="00F44C79" w:rsidRPr="00F44C79">
        <w:t> : Abonnements à des périodiques édités en France, quelle que soit la langue de publication</w:t>
      </w:r>
    </w:p>
    <w:p w:rsidR="00E518B3" w:rsidRPr="00F44C79"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p w:rsidR="00F44C79" w:rsidRPr="00F44C79" w:rsidRDefault="00F44C79" w:rsidP="00F44C79">
      <w:pPr>
        <w:pBdr>
          <w:top w:val="nil"/>
          <w:left w:val="nil"/>
          <w:bottom w:val="nil"/>
          <w:right w:val="nil"/>
          <w:between w:val="nil"/>
        </w:pBdr>
        <w:jc w:val="both"/>
        <w:rPr>
          <w:rFonts w:ascii="Arial" w:eastAsia="Arial" w:hAnsi="Arial" w:cs="Arial"/>
          <w:b/>
          <w:color w:val="000000"/>
        </w:rPr>
      </w:pPr>
      <w:r w:rsidRPr="00F44C79">
        <w:rPr>
          <w:rFonts w:ascii="Segoe UI Symbol" w:eastAsia="Arial" w:hAnsi="Segoe UI Symbol" w:cs="Segoe UI Symbol"/>
          <w:color w:val="000000"/>
        </w:rPr>
        <w:t>☐</w:t>
      </w:r>
      <w:r w:rsidRPr="00F44C79">
        <w:rPr>
          <w:rFonts w:ascii="Arial" w:eastAsia="Arial" w:hAnsi="Arial" w:cs="Arial"/>
          <w:color w:val="000000"/>
        </w:rPr>
        <w:t xml:space="preserve"> </w:t>
      </w:r>
      <w:r w:rsidRPr="00F44C79">
        <w:rPr>
          <w:rFonts w:ascii="Arial" w:eastAsia="Arial" w:hAnsi="Arial" w:cs="Arial"/>
          <w:b/>
          <w:color w:val="000000"/>
        </w:rPr>
        <w:t xml:space="preserve">au </w:t>
      </w:r>
      <w:r w:rsidRPr="00F44C79">
        <w:rPr>
          <w:b/>
        </w:rPr>
        <w:t>Lot n°2</w:t>
      </w:r>
      <w:r w:rsidRPr="00F44C79">
        <w:t> : Abonnements à des périodiques édités dans l’Union européenne (à l’exclusion des périodiques édités en France) et en Grande-Bretagne, Norvège, Suisse, Islande</w:t>
      </w:r>
    </w:p>
    <w:p w:rsidR="00F44C79" w:rsidRPr="00F44C79" w:rsidRDefault="00F44C79"/>
    <w:p w:rsidR="00F44C79" w:rsidRPr="00F44C79" w:rsidRDefault="00F44C79" w:rsidP="00F44C79">
      <w:pPr>
        <w:pBdr>
          <w:top w:val="nil"/>
          <w:left w:val="nil"/>
          <w:bottom w:val="nil"/>
          <w:right w:val="nil"/>
          <w:between w:val="nil"/>
        </w:pBdr>
        <w:jc w:val="both"/>
        <w:rPr>
          <w:rFonts w:ascii="Arial" w:eastAsia="Arial" w:hAnsi="Arial" w:cs="Arial"/>
          <w:b/>
          <w:color w:val="000000"/>
        </w:rPr>
      </w:pPr>
      <w:r w:rsidRPr="00F44C79">
        <w:rPr>
          <w:rFonts w:ascii="Segoe UI Symbol" w:eastAsia="Arial" w:hAnsi="Segoe UI Symbol" w:cs="Segoe UI Symbol"/>
          <w:color w:val="000000"/>
        </w:rPr>
        <w:t>☐</w:t>
      </w:r>
      <w:r w:rsidRPr="00F44C79">
        <w:rPr>
          <w:rFonts w:ascii="Arial" w:eastAsia="Arial" w:hAnsi="Arial" w:cs="Arial"/>
          <w:color w:val="000000"/>
        </w:rPr>
        <w:t xml:space="preserve"> </w:t>
      </w:r>
      <w:r w:rsidRPr="00F44C79">
        <w:rPr>
          <w:rFonts w:ascii="Arial" w:eastAsia="Arial" w:hAnsi="Arial" w:cs="Arial"/>
          <w:b/>
          <w:color w:val="000000"/>
        </w:rPr>
        <w:t xml:space="preserve">au </w:t>
      </w:r>
      <w:r w:rsidRPr="00F44C79">
        <w:rPr>
          <w:b/>
        </w:rPr>
        <w:t>Lot n°3</w:t>
      </w:r>
      <w:r w:rsidRPr="00F44C79">
        <w:t> : Abonnements à des périodiques, quelle que soit la langue de publication, édités en Afrique du Nord et dans les pays du Moyen et du Proche-Orient</w:t>
      </w:r>
    </w:p>
    <w:p w:rsidR="00F44C79" w:rsidRPr="00F44C79" w:rsidRDefault="00F44C79"/>
    <w:p w:rsidR="00F44C79" w:rsidRPr="00F44C79" w:rsidRDefault="00F44C79" w:rsidP="00F44C79">
      <w:r w:rsidRPr="00F44C79">
        <w:rPr>
          <w:rFonts w:ascii="Segoe UI Symbol" w:eastAsia="Arial" w:hAnsi="Segoe UI Symbol" w:cs="Segoe UI Symbol"/>
          <w:color w:val="000000"/>
        </w:rPr>
        <w:t>☐</w:t>
      </w:r>
      <w:r w:rsidRPr="00F44C79">
        <w:rPr>
          <w:rFonts w:ascii="Arial" w:eastAsia="Arial" w:hAnsi="Arial" w:cs="Arial"/>
          <w:color w:val="000000"/>
        </w:rPr>
        <w:t xml:space="preserve"> </w:t>
      </w:r>
      <w:r w:rsidRPr="00F44C79">
        <w:rPr>
          <w:rFonts w:ascii="Arial" w:eastAsia="Arial" w:hAnsi="Arial" w:cs="Arial"/>
          <w:b/>
          <w:color w:val="000000"/>
        </w:rPr>
        <w:t xml:space="preserve">au </w:t>
      </w:r>
      <w:r w:rsidRPr="00F44C79">
        <w:rPr>
          <w:b/>
        </w:rPr>
        <w:t>Lot n°4</w:t>
      </w:r>
      <w:r w:rsidRPr="00F44C79">
        <w:t> : Abonnements à des périodiques édités hors de l’Union européenne, hors Grande-Bretagne, Norvège, Suisse, Islande et hors Afrique du Nord et pays du Moyen et du Proche-Orient.</w:t>
      </w:r>
    </w:p>
    <w:p w:rsidR="00F44C79" w:rsidRPr="00F44C79" w:rsidRDefault="00F44C79" w:rsidP="00F44C79">
      <w:pPr>
        <w:pBdr>
          <w:top w:val="nil"/>
          <w:left w:val="nil"/>
          <w:bottom w:val="nil"/>
          <w:right w:val="nil"/>
          <w:between w:val="nil"/>
        </w:pBdr>
        <w:jc w:val="both"/>
        <w:rPr>
          <w:rFonts w:ascii="Arial" w:eastAsia="Arial" w:hAnsi="Arial" w:cs="Arial"/>
          <w:b/>
          <w:color w:val="000000"/>
        </w:rPr>
      </w:pPr>
    </w:p>
    <w:p w:rsidR="00E518B3" w:rsidRDefault="00E518B3"/>
    <w:p w:rsidR="00F44C79" w:rsidRDefault="00F44C79"/>
    <w:p w:rsidR="00F44C79" w:rsidRDefault="00F44C79"/>
    <w:p w:rsidR="00F44C79" w:rsidRDefault="00F44C79"/>
    <w:p w:rsidR="00F44C79" w:rsidRDefault="00F44C79"/>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A478FF" w:rsidRDefault="00A478FF">
      <w:pPr>
        <w:jc w:val="both"/>
        <w:rPr>
          <w:rFonts w:ascii="Arial" w:eastAsia="Arial" w:hAnsi="Arial" w:cs="Arial"/>
        </w:rPr>
      </w:pPr>
    </w:p>
    <w:p w:rsidR="00A478FF" w:rsidRDefault="00A478FF" w:rsidP="00A478FF">
      <w:pPr>
        <w:ind w:left="131" w:firstLine="720"/>
        <w:jc w:val="both"/>
        <w:rPr>
          <w:rFonts w:ascii="Arial" w:eastAsia="Arial" w:hAnsi="Arial" w:cs="Arial"/>
        </w:rPr>
      </w:pPr>
      <w:r>
        <w:rPr>
          <w:rFonts w:ascii="Segoe UI Symbol" w:eastAsia="Arial" w:hAnsi="Segoe UI Symbol" w:cs="Segoe UI Symbol"/>
        </w:rPr>
        <w:t>☒</w:t>
      </w:r>
      <w:r>
        <w:rPr>
          <w:rFonts w:ascii="Arial" w:eastAsia="Arial" w:hAnsi="Arial" w:cs="Arial"/>
        </w:rPr>
        <w:t xml:space="preserve"> </w:t>
      </w:r>
      <w:r>
        <w:rPr>
          <w:rFonts w:ascii="Arial" w:eastAsia="Arial" w:hAnsi="Arial" w:cs="Arial"/>
        </w:rPr>
        <w:t>L’</w:t>
      </w:r>
      <w:r>
        <w:rPr>
          <w:rFonts w:ascii="Arial" w:eastAsia="Arial" w:hAnsi="Arial" w:cs="Arial"/>
        </w:rPr>
        <w:t>Acte d’engagement</w:t>
      </w:r>
      <w:r>
        <w:rPr>
          <w:rFonts w:ascii="Arial" w:eastAsia="Arial" w:hAnsi="Arial" w:cs="Arial"/>
        </w:rPr>
        <w:t xml:space="preserve"> (AE)</w:t>
      </w:r>
      <w:r>
        <w:rPr>
          <w:rFonts w:ascii="Arial" w:eastAsia="Arial" w:hAnsi="Arial" w:cs="Arial"/>
        </w:rPr>
        <w:t xml:space="preserve"> référencé “</w:t>
      </w:r>
      <w:r>
        <w:rPr>
          <w:rFonts w:ascii="Arial" w:eastAsia="Arial" w:hAnsi="Arial" w:cs="Arial"/>
        </w:rPr>
        <w:t>AE USN PERIO” et ses</w:t>
      </w:r>
      <w:r>
        <w:rPr>
          <w:rFonts w:ascii="Arial" w:eastAsia="Arial" w:hAnsi="Arial" w:cs="Arial"/>
        </w:rPr>
        <w:t xml:space="preserve"> annexe</w:t>
      </w:r>
      <w:r>
        <w:rPr>
          <w:rFonts w:ascii="Arial" w:eastAsia="Arial" w:hAnsi="Arial" w:cs="Arial"/>
        </w:rPr>
        <w:t xml:space="preserve">s </w:t>
      </w:r>
      <w:r>
        <w:rPr>
          <w:rFonts w:ascii="Arial" w:eastAsia="Arial" w:hAnsi="Arial" w:cs="Arial"/>
        </w:rPr>
        <w:t>financière</w:t>
      </w:r>
      <w:r>
        <w:rPr>
          <w:rFonts w:ascii="Arial" w:eastAsia="Arial" w:hAnsi="Arial" w:cs="Arial"/>
        </w:rPr>
        <w:t>s référencées :</w:t>
      </w:r>
    </w:p>
    <w:p w:rsidR="00A478FF" w:rsidRPr="00EA06B5" w:rsidRDefault="00A478FF" w:rsidP="00A478FF">
      <w:pPr>
        <w:numPr>
          <w:ilvl w:val="1"/>
          <w:numId w:val="2"/>
        </w:numPr>
        <w:pBdr>
          <w:top w:val="nil"/>
          <w:left w:val="nil"/>
          <w:bottom w:val="nil"/>
          <w:right w:val="nil"/>
          <w:between w:val="nil"/>
        </w:pBdr>
        <w:ind w:right="5"/>
        <w:jc w:val="both"/>
        <w:rPr>
          <w:color w:val="000000"/>
        </w:rPr>
      </w:pPr>
      <w:r w:rsidRPr="00EC2C50">
        <w:rPr>
          <w:color w:val="000000"/>
        </w:rPr>
        <w:t xml:space="preserve">Annexe 1 : </w:t>
      </w:r>
      <w:r>
        <w:t>Tableau des remises et majorations – propre à chaque lot</w:t>
      </w:r>
    </w:p>
    <w:p w:rsidR="00A478FF" w:rsidRPr="00EC2C50" w:rsidRDefault="00A478FF" w:rsidP="00A478FF">
      <w:pPr>
        <w:numPr>
          <w:ilvl w:val="1"/>
          <w:numId w:val="2"/>
        </w:numPr>
        <w:pBdr>
          <w:top w:val="nil"/>
          <w:left w:val="nil"/>
          <w:bottom w:val="nil"/>
          <w:right w:val="nil"/>
          <w:between w:val="nil"/>
        </w:pBdr>
        <w:ind w:right="5"/>
        <w:jc w:val="both"/>
        <w:rPr>
          <w:color w:val="000000"/>
        </w:rPr>
      </w:pPr>
      <w:r>
        <w:t>Annexe 2 : DQE - Devis quantitatif estimatif (exemple de commande) – propre à chaque lot</w:t>
      </w:r>
    </w:p>
    <w:p w:rsidR="00A478FF" w:rsidRDefault="00A478FF" w:rsidP="00A478FF">
      <w:pPr>
        <w:ind w:left="131" w:firstLine="720"/>
        <w:jc w:val="both"/>
        <w:rPr>
          <w:rFonts w:ascii="Arial" w:eastAsia="Arial" w:hAnsi="Arial" w:cs="Arial"/>
        </w:rPr>
      </w:pPr>
    </w:p>
    <w:p w:rsidR="00E518B3" w:rsidRDefault="002C1AF4">
      <w:pPr>
        <w:spacing w:before="120"/>
        <w:ind w:left="1135" w:hanging="284"/>
        <w:rPr>
          <w:rFonts w:ascii="Arial" w:eastAsia="Arial" w:hAnsi="Arial" w:cs="Arial"/>
        </w:rPr>
      </w:pPr>
      <w:bookmarkStart w:id="1" w:name="bookmark=id.gjdgxs" w:colFirst="0" w:colLast="0"/>
      <w:bookmarkEnd w:id="1"/>
      <w:r>
        <w:rPr>
          <w:rFonts w:ascii="Arial" w:eastAsia="Arial" w:hAnsi="Arial" w:cs="Arial"/>
        </w:rPr>
        <w:t>☒</w:t>
      </w:r>
      <w:r w:rsidR="00F44C79">
        <w:rPr>
          <w:rFonts w:ascii="Arial" w:eastAsia="Arial" w:hAnsi="Arial" w:cs="Arial"/>
        </w:rPr>
        <w:t xml:space="preserve"> C</w:t>
      </w:r>
      <w:r w:rsidR="00A478FF">
        <w:rPr>
          <w:rFonts w:ascii="Arial" w:eastAsia="Arial" w:hAnsi="Arial" w:cs="Arial"/>
        </w:rPr>
        <w:t xml:space="preserve">ahier des </w:t>
      </w:r>
      <w:r w:rsidR="00F44C79">
        <w:rPr>
          <w:rFonts w:ascii="Arial" w:eastAsia="Arial" w:hAnsi="Arial" w:cs="Arial"/>
        </w:rPr>
        <w:t>C</w:t>
      </w:r>
      <w:r w:rsidR="00A478FF">
        <w:rPr>
          <w:rFonts w:ascii="Arial" w:eastAsia="Arial" w:hAnsi="Arial" w:cs="Arial"/>
        </w:rPr>
        <w:t xml:space="preserve">lauses </w:t>
      </w:r>
      <w:r>
        <w:rPr>
          <w:rFonts w:ascii="Arial" w:eastAsia="Arial" w:hAnsi="Arial" w:cs="Arial"/>
        </w:rPr>
        <w:t>P</w:t>
      </w:r>
      <w:r w:rsidR="00A478FF">
        <w:rPr>
          <w:rFonts w:ascii="Arial" w:eastAsia="Arial" w:hAnsi="Arial" w:cs="Arial"/>
        </w:rPr>
        <w:t>articulières (CCP)</w:t>
      </w:r>
      <w:r>
        <w:rPr>
          <w:rFonts w:ascii="Arial" w:eastAsia="Arial" w:hAnsi="Arial" w:cs="Arial"/>
        </w:rPr>
        <w:t xml:space="preserve"> référencé “</w:t>
      </w:r>
      <w:r w:rsidR="00F44C79">
        <w:rPr>
          <w:rFonts w:ascii="Arial" w:eastAsia="Arial" w:hAnsi="Arial" w:cs="Arial"/>
        </w:rPr>
        <w:t>CCP USN PERIO</w:t>
      </w:r>
      <w:r>
        <w:rPr>
          <w:rFonts w:ascii="Arial" w:eastAsia="Arial" w:hAnsi="Arial" w:cs="Arial"/>
        </w:rPr>
        <w:t>”</w:t>
      </w:r>
      <w:r w:rsidR="00A478FF">
        <w:rPr>
          <w:rFonts w:ascii="Arial" w:eastAsia="Arial" w:hAnsi="Arial" w:cs="Arial"/>
        </w:rPr>
        <w:t xml:space="preserve"> et son annexe</w:t>
      </w:r>
      <w:r w:rsidR="00F44C79">
        <w:rPr>
          <w:rFonts w:ascii="Arial" w:eastAsia="Arial" w:hAnsi="Arial" w:cs="Arial"/>
        </w:rPr>
        <w:t xml:space="preserve"> </w:t>
      </w:r>
      <w:r w:rsidR="00A478FF">
        <w:rPr>
          <w:rFonts w:ascii="Arial" w:eastAsia="Arial" w:hAnsi="Arial" w:cs="Arial"/>
        </w:rPr>
        <w:t xml:space="preserve">indicative </w:t>
      </w:r>
      <w:r w:rsidR="00F44C79">
        <w:rPr>
          <w:rFonts w:ascii="Arial" w:eastAsia="Arial" w:hAnsi="Arial" w:cs="Arial"/>
        </w:rPr>
        <w:t>listant les abonnements en cours pour chaque bibliothèque</w:t>
      </w:r>
      <w:r w:rsidR="00A478FF">
        <w:rPr>
          <w:rFonts w:ascii="Arial" w:eastAsia="Arial" w:hAnsi="Arial" w:cs="Arial"/>
        </w:rPr>
        <w:t>.</w:t>
      </w:r>
    </w:p>
    <w:p w:rsidR="00E518B3" w:rsidRDefault="002C1AF4">
      <w:pPr>
        <w:spacing w:before="120"/>
        <w:ind w:left="1135" w:hanging="284"/>
        <w:jc w:val="both"/>
        <w:rPr>
          <w:rFonts w:ascii="Arial" w:eastAsia="Arial" w:hAnsi="Arial" w:cs="Arial"/>
        </w:rPr>
      </w:pPr>
      <w:bookmarkStart w:id="2" w:name="_heading=h.30j0zll" w:colFirst="0" w:colLast="0"/>
      <w:bookmarkEnd w:id="2"/>
      <w:r>
        <w:rPr>
          <w:rFonts w:ascii="Arial" w:eastAsia="Arial" w:hAnsi="Arial" w:cs="Arial"/>
        </w:rPr>
        <w:t>☒</w:t>
      </w:r>
      <w:r w:rsidR="00A478FF">
        <w:rPr>
          <w:rFonts w:ascii="Arial" w:eastAsia="Arial" w:hAnsi="Arial" w:cs="Arial"/>
        </w:rPr>
        <w:t xml:space="preserve"> </w:t>
      </w:r>
      <w:r w:rsidR="00A478FF" w:rsidRPr="00B377BE">
        <w:t xml:space="preserve">Clauses Administratives Générales (CCAG/FCS) arrêté du </w:t>
      </w:r>
      <w:r w:rsidR="00A478FF">
        <w:t>31 mars 2021</w:t>
      </w:r>
      <w:r w:rsidR="00A478FF" w:rsidRPr="00B377BE">
        <w:t>,</w:t>
      </w:r>
      <w:r w:rsidR="00A478FF" w:rsidRPr="00B377BE">
        <w:rPr>
          <w:color w:val="FF0000"/>
        </w:rPr>
        <w:t xml:space="preserve"> </w:t>
      </w:r>
      <w:r w:rsidR="00A478FF">
        <w:t>applicables aux marchés de fournitures courantes et de services</w:t>
      </w:r>
      <w:r w:rsidR="00A478FF">
        <w:t>.</w:t>
      </w:r>
    </w:p>
    <w:p w:rsidR="00A478FF" w:rsidRDefault="002C1AF4">
      <w:pPr>
        <w:spacing w:before="120"/>
        <w:ind w:left="1135" w:hanging="284"/>
        <w:jc w:val="both"/>
        <w:rPr>
          <w:rFonts w:ascii="Arial" w:eastAsia="Arial" w:hAnsi="Arial" w:cs="Arial"/>
        </w:rPr>
      </w:pPr>
      <w:r>
        <w:rPr>
          <w:rFonts w:ascii="Arial" w:eastAsia="Arial" w:hAnsi="Arial" w:cs="Arial"/>
        </w:rPr>
        <w:t>☒</w:t>
      </w:r>
      <w:r w:rsidR="00A478FF">
        <w:rPr>
          <w:rFonts w:ascii="Arial" w:eastAsia="Arial" w:hAnsi="Arial" w:cs="Arial"/>
        </w:rPr>
        <w:t xml:space="preserve"> le Règlement de la consultation (</w:t>
      </w:r>
      <w:r>
        <w:rPr>
          <w:rFonts w:ascii="Arial" w:eastAsia="Arial" w:hAnsi="Arial" w:cs="Arial"/>
        </w:rPr>
        <w:t>RC</w:t>
      </w:r>
      <w:r w:rsidR="00A478FF">
        <w:rPr>
          <w:rFonts w:ascii="Arial" w:eastAsia="Arial" w:hAnsi="Arial" w:cs="Arial"/>
        </w:rPr>
        <w:t>)</w:t>
      </w:r>
      <w:r>
        <w:rPr>
          <w:rFonts w:ascii="Arial" w:eastAsia="Arial" w:hAnsi="Arial" w:cs="Arial"/>
        </w:rPr>
        <w:t xml:space="preserve"> référencé “</w:t>
      </w:r>
      <w:r w:rsidR="00A478FF">
        <w:rPr>
          <w:rFonts w:ascii="Arial" w:eastAsia="Arial" w:hAnsi="Arial" w:cs="Arial"/>
        </w:rPr>
        <w:t>RC USN PERIO</w:t>
      </w:r>
      <w:r w:rsidR="00A478FF">
        <w:rPr>
          <w:rFonts w:ascii="Arial" w:eastAsia="Arial" w:hAnsi="Arial" w:cs="Arial"/>
        </w:rPr>
        <w:t>“</w:t>
      </w:r>
      <w:r w:rsidR="00A478FF">
        <w:rPr>
          <w:rFonts w:ascii="Arial" w:eastAsia="Arial" w:hAnsi="Arial" w:cs="Arial"/>
        </w:rPr>
        <w:t>.</w:t>
      </w:r>
    </w:p>
    <w:p w:rsidR="00A478FF" w:rsidRDefault="00A478FF" w:rsidP="00A478FF">
      <w:pPr>
        <w:spacing w:before="120"/>
        <w:jc w:val="both"/>
        <w:rPr>
          <w:rFonts w:ascii="Arial" w:eastAsia="Arial" w:hAnsi="Arial" w:cs="Arial"/>
        </w:rPr>
      </w:pP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à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 aux prix (ou remises) indiqué(e)s dans l’annexe financière jointe au présent document.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B44EB4">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Arial Unicode MS" w:eastAsia="Arial Unicode MS" w:hAnsi="Arial Unicode MS" w:cs="Arial Unicode MS"/>
          <w:color w:val="000000"/>
        </w:rPr>
        <w:t>Je renonce au bénéfice de l'avance :</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p>
    <w:p w:rsidR="00E518B3" w:rsidRDefault="002C1AF4">
      <w:pPr>
        <w:rPr>
          <w:i/>
          <w:sz w:val="18"/>
          <w:szCs w:val="18"/>
        </w:rPr>
      </w:pPr>
      <w:r>
        <w:rPr>
          <w:rFonts w:ascii="Arial" w:eastAsia="Arial" w:hAnsi="Arial" w:cs="Arial"/>
          <w:i/>
          <w:sz w:val="18"/>
          <w:szCs w:val="18"/>
        </w:rPr>
        <w:t>(Cocher la case correspondante.)</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r>
        <w:rPr>
          <w:rFonts w:ascii="Arial" w:eastAsia="Arial" w:hAnsi="Arial" w:cs="Arial"/>
          <w:b/>
          <w:color w:val="000000"/>
        </w:rPr>
        <w:t>Dans la négation :</w:t>
      </w: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p>
    <w:p w:rsidR="00C70DFA" w:rsidRDefault="00C70DFA">
      <w:pPr>
        <w:pBdr>
          <w:top w:val="nil"/>
          <w:left w:val="nil"/>
          <w:bottom w:val="nil"/>
          <w:right w:val="nil"/>
          <w:between w:val="nil"/>
        </w:pBdr>
        <w:tabs>
          <w:tab w:val="left" w:pos="426"/>
          <w:tab w:val="left" w:pos="851"/>
        </w:tabs>
        <w:rPr>
          <w:rFonts w:ascii="Arial" w:eastAsia="Arial" w:hAnsi="Arial" w:cs="Arial"/>
          <w:b/>
          <w:color w:val="000000"/>
        </w:rPr>
      </w:pPr>
      <w:r>
        <w:rPr>
          <w:rFonts w:ascii="Arial" w:hAnsi="Arial" w:cs="Arial"/>
          <w:bCs/>
        </w:rPr>
        <w:t>L’avance est de : ………  % du montant de l’offre de base (hors tranche optionnelle) du présent accord-cadre soit un montant total de : ……….. € HT.</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E518B3" w:rsidRDefault="002C1AF4">
      <w:pPr>
        <w:tabs>
          <w:tab w:val="left" w:pos="576"/>
        </w:tabs>
        <w:jc w:val="both"/>
        <w:rPr>
          <w:rFonts w:ascii="Arial" w:eastAsia="Arial" w:hAnsi="Arial" w:cs="Arial"/>
        </w:rPr>
      </w:pPr>
      <w:r>
        <w:rPr>
          <w:rFonts w:ascii="Arial" w:eastAsia="Arial" w:hAnsi="Arial" w:cs="Arial"/>
        </w:rPr>
        <w:t xml:space="preserve">La première période d’exécution, </w:t>
      </w:r>
      <w:r>
        <w:rPr>
          <w:rFonts w:ascii="Arial" w:eastAsia="Arial" w:hAnsi="Arial" w:cs="Arial"/>
          <w:b/>
        </w:rPr>
        <w:t>d’une durée de 12 mois</w:t>
      </w:r>
      <w:r>
        <w:rPr>
          <w:rFonts w:ascii="Arial" w:eastAsia="Arial" w:hAnsi="Arial" w:cs="Arial"/>
        </w:rPr>
        <w:t>, s’étend à compter de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120"/>
        <w:ind w:left="1416" w:hanging="861"/>
        <w:jc w:val="both"/>
        <w:rPr>
          <w:rFonts w:ascii="Arial" w:eastAsia="Arial" w:hAnsi="Arial" w:cs="Arial"/>
          <w:b/>
        </w:rPr>
      </w:pPr>
      <w:r>
        <w:rPr>
          <w:rFonts w:ascii="Arial" w:eastAsia="Arial" w:hAnsi="Arial" w:cs="Arial"/>
        </w:rPr>
        <w:t>☒</w:t>
      </w:r>
      <w:r>
        <w:rPr>
          <w:rFonts w:ascii="Arial" w:eastAsia="Arial" w:hAnsi="Arial" w:cs="Arial"/>
        </w:rPr>
        <w:tab/>
        <w:t>la date de notification de l’accord cadre ;</w:t>
      </w:r>
    </w:p>
    <w:p w:rsidR="00E518B3" w:rsidRDefault="002C1AF4">
      <w:pPr>
        <w:spacing w:before="120"/>
        <w:ind w:left="567"/>
        <w:jc w:val="both"/>
        <w:rPr>
          <w:rFonts w:ascii="Arial" w:eastAsia="Arial" w:hAnsi="Arial" w:cs="Arial"/>
        </w:rPr>
      </w:pPr>
      <w:r>
        <w:rPr>
          <w:rFonts w:ascii="Arial" w:eastAsia="Arial" w:hAnsi="Arial" w:cs="Arial"/>
        </w:rPr>
        <w:t>☐</w:t>
      </w:r>
      <w:r>
        <w:rPr>
          <w:rFonts w:ascii="Arial" w:eastAsia="Arial" w:hAnsi="Arial" w:cs="Arial"/>
        </w:rPr>
        <w:tab/>
      </w:r>
      <w:r>
        <w:rPr>
          <w:rFonts w:ascii="Arial" w:eastAsia="Arial" w:hAnsi="Arial" w:cs="Arial"/>
        </w:rPr>
        <w:tab/>
        <w:t>la date de notification de l’ordre de service ou du premier bon de commande ;</w:t>
      </w:r>
    </w:p>
    <w:p w:rsidR="00E518B3" w:rsidRDefault="002C1AF4">
      <w:pPr>
        <w:spacing w:before="120"/>
        <w:ind w:left="1407" w:hanging="840"/>
        <w:jc w:val="both"/>
        <w:rPr>
          <w:rFonts w:ascii="Arial" w:eastAsia="Arial" w:hAnsi="Arial" w:cs="Arial"/>
        </w:rPr>
      </w:pPr>
      <w:r>
        <w:rPr>
          <w:rFonts w:ascii="Arial" w:eastAsia="Arial" w:hAnsi="Arial" w:cs="Arial"/>
          <w:color w:val="000000"/>
        </w:rPr>
        <w:t>☐</w:t>
      </w:r>
      <w:r>
        <w:rPr>
          <w:rFonts w:ascii="Arial" w:eastAsia="Arial" w:hAnsi="Arial" w:cs="Arial"/>
        </w:rPr>
        <w:tab/>
      </w:r>
      <w:r>
        <w:rPr>
          <w:rFonts w:ascii="Arial" w:eastAsia="Arial" w:hAnsi="Arial" w:cs="Arial"/>
        </w:rPr>
        <w:tab/>
        <w:t>la date de début d’exécution prévue par l’accord cadre lorsqu’elle est postérieure à la date de notification.</w:t>
      </w:r>
    </w:p>
    <w:p w:rsidR="00E518B3" w:rsidRDefault="002C1AF4">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lastRenderedPageBreak/>
        <w:t>L’accord cadre est reconductible :</w:t>
      </w:r>
      <w:sdt>
        <w:sdtPr>
          <w:tag w:val="goog_rdk_3"/>
          <w:id w:val="-60552851"/>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A478FF">
        <w:rPr>
          <w:rFonts w:ascii="Arial" w:eastAsia="Arial" w:hAnsi="Arial" w:cs="Arial"/>
          <w:b/>
        </w:rPr>
        <w:t>3</w:t>
      </w:r>
      <w:r>
        <w:rPr>
          <w:rFonts w:ascii="Arial" w:eastAsia="Arial" w:hAnsi="Arial" w:cs="Arial"/>
        </w:rPr>
        <w:t xml:space="preserve">…............. </w:t>
      </w:r>
    </w:p>
    <w:p w:rsidR="00E518B3" w:rsidRDefault="002C1AF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B44EB4">
        <w:rPr>
          <w:rFonts w:ascii="Arial" w:eastAsia="Arial" w:hAnsi="Arial" w:cs="Arial"/>
          <w:b/>
        </w:rPr>
        <w:t>12</w:t>
      </w:r>
      <w:r w:rsidR="00C70DFA">
        <w:rPr>
          <w:rFonts w:ascii="Arial" w:eastAsia="Arial" w:hAnsi="Arial" w:cs="Arial"/>
          <w:b/>
        </w:rPr>
        <w:t xml:space="preserve"> mois</w:t>
      </w:r>
      <w:r>
        <w:rPr>
          <w:rFonts w:ascii="Arial" w:eastAsia="Arial" w:hAnsi="Arial" w:cs="Arial"/>
        </w:rPr>
        <w:t>………….</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00B44EB4">
        <w:rPr>
          <w:rFonts w:ascii="Arial" w:hAnsi="Arial" w:cs="Arial"/>
          <w:b/>
          <w:color w:val="000000"/>
        </w:rPr>
        <w:t>18</w:t>
      </w:r>
      <w:r w:rsidRPr="00C70DFA">
        <w:rPr>
          <w:rFonts w:ascii="Arial" w:hAnsi="Arial" w:cs="Arial"/>
          <w:b/>
          <w:color w:val="000000"/>
        </w:rPr>
        <w:t>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B44EB4">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B44EB4"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B44EB4">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B44EB4">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B44EB4">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B44EB4">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B44EB4">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B44EB4">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B44EB4">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imes New Roman"/>
    <w:charset w:val="00"/>
    <w:family w:val="auto"/>
    <w:pitch w:val="default"/>
  </w:font>
  <w:font w:name="Univer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Malgun Gothic Semilight"/>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F44C79" w:rsidP="00F44C79">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 - PERIO</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B44EB4">
            <w:rPr>
              <w:rFonts w:ascii="Arial" w:eastAsia="Arial" w:hAnsi="Arial" w:cs="Arial"/>
              <w:b/>
              <w:noProof/>
            </w:rPr>
            <w:t>2</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B44EB4">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234B3797"/>
    <w:multiLevelType w:val="hybridMultilevel"/>
    <w:tmpl w:val="C39234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2C1AF4"/>
    <w:rsid w:val="004518FA"/>
    <w:rsid w:val="00497F6A"/>
    <w:rsid w:val="00A478FF"/>
    <w:rsid w:val="00AB4BD2"/>
    <w:rsid w:val="00B44EB4"/>
    <w:rsid w:val="00C70DFA"/>
    <w:rsid w:val="00CB5F58"/>
    <w:rsid w:val="00E04848"/>
    <w:rsid w:val="00E518B3"/>
    <w:rsid w:val="00F44C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26E879"/>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Paragraphedeliste">
    <w:name w:val="List Paragraph"/>
    <w:basedOn w:val="Normal"/>
    <w:uiPriority w:val="34"/>
    <w:qFormat/>
    <w:rsid w:val="00F44C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241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1710</Words>
  <Characters>9411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Gbuisson</cp:lastModifiedBy>
  <cp:revision>8</cp:revision>
  <dcterms:created xsi:type="dcterms:W3CDTF">2021-06-25T10:34:00Z</dcterms:created>
  <dcterms:modified xsi:type="dcterms:W3CDTF">2025-06-17T09:22:00Z</dcterms:modified>
</cp:coreProperties>
</file>