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4F6C7" w14:textId="46DE8B40" w:rsidR="00082F9B" w:rsidRPr="0054341B" w:rsidRDefault="007A1A5E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910285" wp14:editId="197C0F30">
            <wp:simplePos x="0" y="0"/>
            <wp:positionH relativeFrom="page">
              <wp:posOffset>492880</wp:posOffset>
            </wp:positionH>
            <wp:positionV relativeFrom="page">
              <wp:posOffset>416284</wp:posOffset>
            </wp:positionV>
            <wp:extent cx="1364615" cy="122428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F9B" w:rsidRPr="0054341B">
        <w:rPr>
          <w:rFonts w:ascii="Arial" w:eastAsia="Calibri" w:hAnsi="Arial" w:cs="Arial"/>
          <w:b/>
          <w:noProof/>
          <w:sz w:val="28"/>
          <w:szCs w:val="32"/>
        </w:rPr>
        <w:t>Service du commissariat des armées</w:t>
      </w:r>
    </w:p>
    <w:p w14:paraId="6F7BF287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Plate-Forme Commissariat Sud-Est</w:t>
      </w:r>
    </w:p>
    <w:p w14:paraId="011414C4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Division Achats Publics - Bureau Achats</w:t>
      </w:r>
    </w:p>
    <w:p w14:paraId="16B87A2D" w14:textId="2E2B96E5" w:rsidR="004E1902" w:rsidRPr="00082F9B" w:rsidRDefault="00082F9B" w:rsidP="00082F9B">
      <w:pPr>
        <w:pStyle w:val="En-tte"/>
        <w:tabs>
          <w:tab w:val="clear" w:pos="4536"/>
          <w:tab w:val="clear" w:pos="9072"/>
          <w:tab w:val="left" w:pos="6426"/>
        </w:tabs>
      </w:pPr>
      <w:r>
        <w:tab/>
      </w:r>
    </w:p>
    <w:p w14:paraId="1A5E5DDC" w14:textId="77777777" w:rsidR="004E1902" w:rsidRDefault="004E19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74D02AA8" w14:textId="152A7F32" w:rsidR="00F2712C" w:rsidRPr="0054341B" w:rsidRDefault="007632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  <w:r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CADRE DE </w:t>
      </w:r>
      <w:r w:rsidR="00F2712C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MÉMOIRE TECHNIQUE </w:t>
      </w:r>
      <w:r w:rsidR="00305930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                                                                                                   </w:t>
      </w:r>
    </w:p>
    <w:p w14:paraId="39634FDD" w14:textId="77777777" w:rsidR="0054341B" w:rsidRPr="0054341B" w:rsidRDefault="0054341B" w:rsidP="00DA7B0B">
      <w:pPr>
        <w:autoSpaceDE/>
        <w:autoSpaceDN/>
        <w:ind w:right="254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62E80410" w14:textId="77777777" w:rsidR="00E44B9C" w:rsidRP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2F995C" w14:textId="48D5A5B6" w:rsidR="0054341B" w:rsidRDefault="005240B2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  <w:r>
        <w:rPr>
          <w:rFonts w:ascii="Arial" w:hAnsi="Arial" w:cs="Arial"/>
          <w:b/>
          <w:color w:val="000000"/>
          <w:sz w:val="28"/>
          <w:szCs w:val="28"/>
          <w:lang w:eastAsia="zh-CN"/>
        </w:rPr>
        <w:t>DAF_2025_000589</w:t>
      </w:r>
    </w:p>
    <w:p w14:paraId="5FB02532" w14:textId="77777777" w:rsidR="0054341B" w:rsidRPr="0054341B" w:rsidRDefault="0054341B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</w:p>
    <w:p w14:paraId="79F0C58E" w14:textId="564996E4" w:rsidR="00E44B9C" w:rsidRPr="005240B2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0B2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Prestations </w:t>
      </w:r>
      <w:r w:rsidR="005240B2" w:rsidRPr="005240B2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d'accueil, de filtrage, de gardiennage, de sécurité incendie et de </w:t>
      </w:r>
      <w:r w:rsidR="003A774E">
        <w:rPr>
          <w:rFonts w:ascii="Arial" w:hAnsi="Arial" w:cs="Arial"/>
          <w:b/>
          <w:color w:val="000000"/>
          <w:sz w:val="28"/>
          <w:szCs w:val="28"/>
          <w:lang w:eastAsia="zh-CN"/>
        </w:rPr>
        <w:t>télésurveillance/</w:t>
      </w:r>
      <w:r w:rsidR="005240B2" w:rsidRPr="005240B2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vidéo surveillance au profit des organismes des Groupements de Soutien Commissariat de Lyon Valence La Valbonne (GSC LVV) et de Clermont – Ferrand </w:t>
      </w:r>
      <w:r w:rsidR="009B510B" w:rsidRPr="005240B2">
        <w:rPr>
          <w:rFonts w:ascii="Arial" w:hAnsi="Arial" w:cs="Arial"/>
          <w:b/>
          <w:color w:val="000000"/>
          <w:sz w:val="28"/>
          <w:szCs w:val="28"/>
          <w:lang w:eastAsia="zh-CN"/>
        </w:rPr>
        <w:t>(GSC</w:t>
      </w:r>
      <w:r w:rsidRPr="005240B2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 GVC)</w:t>
      </w:r>
    </w:p>
    <w:p w14:paraId="24D7E06F" w14:textId="77777777" w:rsid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C9C1F1" w14:textId="445EA254" w:rsidR="00810544" w:rsidRDefault="00810544" w:rsidP="002C4255">
      <w:pPr>
        <w:rPr>
          <w:rFonts w:ascii="Arial" w:hAnsi="Arial" w:cs="Arial"/>
        </w:rPr>
      </w:pPr>
      <w:bookmarkStart w:id="0" w:name="_GoBack"/>
      <w:bookmarkEnd w:id="0"/>
    </w:p>
    <w:p w14:paraId="7D864DDF" w14:textId="0B585617" w:rsidR="004E1902" w:rsidRDefault="004E1902" w:rsidP="002C4255">
      <w:pPr>
        <w:rPr>
          <w:rFonts w:ascii="Arial" w:hAnsi="Arial" w:cs="Arial"/>
        </w:rPr>
      </w:pPr>
    </w:p>
    <w:p w14:paraId="56EB5704" w14:textId="77777777" w:rsidR="004E1902" w:rsidRDefault="004E1902" w:rsidP="002C4255">
      <w:pPr>
        <w:rPr>
          <w:rFonts w:ascii="Arial" w:hAnsi="Arial" w:cs="Arial"/>
        </w:rPr>
      </w:pPr>
    </w:p>
    <w:p w14:paraId="3F21F632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 w:rsidRPr="00127BB5">
        <w:rPr>
          <w:rFonts w:ascii="Arial" w:hAnsi="Arial" w:cs="Arial"/>
          <w:b/>
          <w:color w:val="000000"/>
          <w:lang w:eastAsia="zh-CN"/>
        </w:rPr>
        <w:t>Numé</w:t>
      </w:r>
      <w:r>
        <w:rPr>
          <w:rFonts w:ascii="Arial" w:hAnsi="Arial" w:cs="Arial"/>
          <w:b/>
          <w:color w:val="000000"/>
          <w:lang w:eastAsia="zh-CN"/>
        </w:rPr>
        <w:t>ro et intitulé du lot concerné </w:t>
      </w:r>
      <w:r w:rsidRPr="00127BB5">
        <w:rPr>
          <w:rFonts w:ascii="Arial" w:hAnsi="Arial" w:cs="Arial"/>
          <w:b/>
          <w:color w:val="000000"/>
          <w:lang w:eastAsia="zh-CN"/>
        </w:rPr>
        <w:t>:</w:t>
      </w:r>
    </w:p>
    <w:p w14:paraId="14EEA61F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2267B174" w14:textId="5CC154D4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E037FB" w14:textId="29864DCD" w:rsidR="00DA7B0B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0F7FD6" w14:textId="07449447" w:rsidR="000E0BB5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>
        <w:rPr>
          <w:rFonts w:ascii="Arial" w:hAnsi="Arial" w:cs="Arial"/>
          <w:b/>
          <w:color w:val="000000"/>
          <w:lang w:eastAsia="zh-CN"/>
        </w:rPr>
        <w:t>Nom de la société candidate :</w:t>
      </w:r>
    </w:p>
    <w:p w14:paraId="6CF92ADA" w14:textId="77777777" w:rsidR="00D1684A" w:rsidRPr="00D1684A" w:rsidRDefault="00D1684A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693BA2EA" w14:textId="1AE03B67" w:rsidR="004E1902" w:rsidRDefault="004E1902" w:rsidP="000E0BB5">
      <w:pPr>
        <w:rPr>
          <w:rFonts w:ascii="Arial" w:hAnsi="Arial" w:cs="Arial"/>
        </w:rPr>
      </w:pPr>
    </w:p>
    <w:p w14:paraId="2753A6E0" w14:textId="77777777" w:rsidR="004E1902" w:rsidRDefault="004E1902" w:rsidP="000E0BB5">
      <w:pPr>
        <w:rPr>
          <w:rFonts w:ascii="Arial" w:hAnsi="Arial" w:cs="Arial"/>
        </w:rPr>
      </w:pPr>
    </w:p>
    <w:p w14:paraId="0E6874B0" w14:textId="7E1636FE" w:rsidR="006612F4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 xml:space="preserve">Les candidats sont tenus de renseigner le présent document en tenant compte des </w:t>
      </w:r>
      <w:r w:rsidRPr="00C4367B">
        <w:rPr>
          <w:rFonts w:ascii="Arial" w:hAnsi="Arial" w:cs="Arial"/>
        </w:rPr>
        <w:t>exigences formulées dans le CCTP</w:t>
      </w:r>
      <w:r w:rsidR="006612F4" w:rsidRPr="00C4367B">
        <w:rPr>
          <w:rFonts w:ascii="Arial" w:hAnsi="Arial" w:cs="Arial"/>
        </w:rPr>
        <w:t xml:space="preserve"> et des critères d’attribution mentionnés à l’article 8.3.2 du Règlement de Consultation.</w:t>
      </w:r>
      <w:r w:rsidRPr="00214F20">
        <w:rPr>
          <w:rFonts w:ascii="Arial" w:hAnsi="Arial" w:cs="Arial"/>
        </w:rPr>
        <w:t xml:space="preserve"> </w:t>
      </w:r>
    </w:p>
    <w:p w14:paraId="7485AADB" w14:textId="77777777" w:rsidR="006612F4" w:rsidRDefault="006612F4" w:rsidP="004E1902">
      <w:pPr>
        <w:jc w:val="both"/>
        <w:rPr>
          <w:rFonts w:ascii="Arial" w:hAnsi="Arial" w:cs="Arial"/>
        </w:rPr>
      </w:pPr>
    </w:p>
    <w:p w14:paraId="74F9FBCD" w14:textId="322FF2E3" w:rsidR="004E1902" w:rsidRPr="00214F20" w:rsidRDefault="004E1902" w:rsidP="004E19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 document</w:t>
      </w:r>
      <w:r w:rsidRPr="00214F20">
        <w:rPr>
          <w:rFonts w:ascii="Arial" w:hAnsi="Arial" w:cs="Arial"/>
        </w:rPr>
        <w:t xml:space="preserve"> doit être adapté au </w:t>
      </w:r>
      <w:r>
        <w:rPr>
          <w:rFonts w:ascii="Arial" w:hAnsi="Arial" w:cs="Arial"/>
        </w:rPr>
        <w:t>lot pour lequel il répond</w:t>
      </w:r>
      <w:r w:rsidRPr="00214F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et en aucun cas être générique.</w:t>
      </w:r>
    </w:p>
    <w:p w14:paraId="353DD2C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1FCBAD9B" w14:textId="77777777" w:rsidR="004E1902" w:rsidRPr="00214F20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>Les candidats peuvent fournir tous les docume</w:t>
      </w:r>
      <w:r>
        <w:rPr>
          <w:rFonts w:ascii="Arial" w:hAnsi="Arial" w:cs="Arial"/>
        </w:rPr>
        <w:t>nts qu’ils jugeront nécessaire à l’appui du présent document.</w:t>
      </w:r>
    </w:p>
    <w:p w14:paraId="63CFC53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34CD8169" w14:textId="271C492C" w:rsidR="009D5442" w:rsidRDefault="004E1902" w:rsidP="004E1902">
      <w:pPr>
        <w:jc w:val="both"/>
        <w:rPr>
          <w:rFonts w:ascii="Arial" w:hAnsi="Arial" w:cs="Arial"/>
          <w:b/>
          <w:u w:val="single"/>
        </w:rPr>
      </w:pPr>
      <w:r w:rsidRPr="00341816">
        <w:rPr>
          <w:rFonts w:ascii="Arial" w:hAnsi="Arial" w:cs="Arial"/>
        </w:rPr>
        <w:t xml:space="preserve">Dans le cas où le candidat soumissionnerait pour plusieurs lots, </w:t>
      </w:r>
      <w:r w:rsidRPr="00074890">
        <w:rPr>
          <w:rFonts w:ascii="Arial" w:hAnsi="Arial" w:cs="Arial"/>
          <w:b/>
          <w:u w:val="single"/>
        </w:rPr>
        <w:t xml:space="preserve">il remplira 1 document </w:t>
      </w:r>
      <w:r>
        <w:rPr>
          <w:rFonts w:ascii="Arial" w:hAnsi="Arial" w:cs="Arial"/>
          <w:b/>
          <w:u w:val="single"/>
        </w:rPr>
        <w:t xml:space="preserve">par lot </w:t>
      </w:r>
      <w:r w:rsidRPr="00711F56">
        <w:rPr>
          <w:rFonts w:ascii="Arial" w:hAnsi="Arial" w:cs="Arial"/>
          <w:b/>
          <w:u w:val="single"/>
        </w:rPr>
        <w:t>en indiquant le numéro et l’intitulé du lot concerné dans l’encadré plus haut.</w:t>
      </w:r>
    </w:p>
    <w:p w14:paraId="21152983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C52DFF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F516B6C" w14:textId="3D469EE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94ADEBB" w14:textId="73677DDB" w:rsidR="00DE0912" w:rsidRDefault="00DE0912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645426AE" w14:textId="353660CC" w:rsidR="00DE0912" w:rsidRDefault="00DE0912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1CA249DC" w14:textId="77777777" w:rsidR="00DE0912" w:rsidRDefault="00DE0912" w:rsidP="00FC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Arial" w:hAnsi="Arial" w:cs="Arial"/>
          <w:b/>
        </w:rPr>
      </w:pPr>
    </w:p>
    <w:p w14:paraId="18F83D23" w14:textId="2EC9475E" w:rsidR="00DE0912" w:rsidRDefault="00DE0912" w:rsidP="00FC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CRITERE N°2 : DELAI</w:t>
      </w:r>
    </w:p>
    <w:p w14:paraId="064E34BF" w14:textId="77777777" w:rsidR="00DE0912" w:rsidRDefault="00DE0912" w:rsidP="00FC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Arial" w:hAnsi="Arial" w:cs="Arial"/>
          <w:b/>
        </w:rPr>
      </w:pPr>
    </w:p>
    <w:p w14:paraId="014A2C60" w14:textId="61CCE56F" w:rsidR="00DE0912" w:rsidRPr="00DE0912" w:rsidRDefault="00DE0912" w:rsidP="00FC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Arial" w:hAnsi="Arial" w:cs="Arial"/>
          <w:b/>
        </w:rPr>
      </w:pPr>
      <w:r w:rsidRPr="00DE0912">
        <w:rPr>
          <w:rFonts w:ascii="Arial" w:hAnsi="Arial" w:cs="Arial"/>
          <w:b/>
          <w:kern w:val="1"/>
          <w:lang w:eastAsia="zh-CN"/>
        </w:rPr>
        <w:t>Délai d’intervention pour une prestation ponctuelle (hors évènement programmé)</w:t>
      </w:r>
      <w:r w:rsidRPr="00DE0912">
        <w:rPr>
          <w:rFonts w:ascii="Arial" w:hAnsi="Arial" w:cs="Arial"/>
          <w:b/>
        </w:rPr>
        <w:t xml:space="preserve"> (10 points)</w:t>
      </w:r>
    </w:p>
    <w:p w14:paraId="50350604" w14:textId="77777777" w:rsidR="00DE0912" w:rsidRPr="00DD6D92" w:rsidRDefault="00DE0912" w:rsidP="00FC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ABF8F" w:themeFill="accent6" w:themeFillTint="99"/>
        <w:jc w:val="center"/>
        <w:rPr>
          <w:rFonts w:ascii="Arial" w:hAnsi="Arial" w:cs="Arial"/>
          <w:b/>
        </w:rPr>
      </w:pPr>
    </w:p>
    <w:p w14:paraId="022C5458" w14:textId="56D29212" w:rsidR="00DE0912" w:rsidRDefault="00DE0912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7319F746" w14:textId="77777777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  <w:r w:rsidRPr="002A3F5B">
        <w:rPr>
          <w:rFonts w:ascii="Arial" w:hAnsi="Arial" w:cs="Arial"/>
          <w:i/>
          <w:sz w:val="22"/>
          <w:szCs w:val="22"/>
        </w:rPr>
        <w:t xml:space="preserve">Il s’agit du délai d’intervention maximum en jours calendaires pour honorer une prestation ponctuelle (hors évènement programmé). </w:t>
      </w:r>
    </w:p>
    <w:p w14:paraId="46303BA1" w14:textId="794FEEC9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  <w:r w:rsidRPr="002A3F5B">
        <w:rPr>
          <w:rFonts w:ascii="Arial" w:hAnsi="Arial" w:cs="Arial"/>
          <w:i/>
          <w:sz w:val="22"/>
          <w:szCs w:val="22"/>
        </w:rPr>
        <w:t xml:space="preserve">Ce délai court à compter de la réception du bon de commande jusqu’à l’exécution de la prestation et </w:t>
      </w:r>
      <w:r w:rsidRPr="002A3F5B">
        <w:rPr>
          <w:rFonts w:ascii="Arial" w:hAnsi="Arial" w:cs="Arial"/>
          <w:b/>
          <w:i/>
          <w:sz w:val="22"/>
          <w:szCs w:val="22"/>
        </w:rPr>
        <w:t xml:space="preserve">ne peut être supérieur à 7 jours calendaires </w:t>
      </w:r>
      <w:r w:rsidR="00F80E99">
        <w:rPr>
          <w:rFonts w:ascii="Arial" w:hAnsi="Arial" w:cs="Arial"/>
          <w:i/>
          <w:sz w:val="22"/>
          <w:szCs w:val="22"/>
        </w:rPr>
        <w:t>(conformément à l’article 4</w:t>
      </w:r>
      <w:r w:rsidRPr="002A3F5B">
        <w:rPr>
          <w:rFonts w:ascii="Arial" w:hAnsi="Arial" w:cs="Arial"/>
          <w:i/>
          <w:sz w:val="22"/>
          <w:szCs w:val="22"/>
        </w:rPr>
        <w:t>.5 du CCTP commun).</w:t>
      </w:r>
    </w:p>
    <w:p w14:paraId="436C6B6D" w14:textId="77777777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</w:p>
    <w:p w14:paraId="31620991" w14:textId="77777777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  <w:r w:rsidRPr="002A3F5B">
        <w:rPr>
          <w:rFonts w:ascii="Arial" w:hAnsi="Arial" w:cs="Arial"/>
          <w:i/>
          <w:sz w:val="22"/>
          <w:szCs w:val="22"/>
        </w:rPr>
        <w:t xml:space="preserve">Ce critère sera jugé par application de la formule suivante, sur 10 points : </w:t>
      </w:r>
    </w:p>
    <w:p w14:paraId="1915D8C5" w14:textId="77777777" w:rsidR="002A3F5B" w:rsidRPr="002A3F5B" w:rsidRDefault="002A3F5B" w:rsidP="002A3F5B">
      <w:pPr>
        <w:widowControl w:val="0"/>
        <w:autoSpaceDE/>
        <w:autoSpaceDN/>
        <w:jc w:val="center"/>
        <w:rPr>
          <w:rFonts w:ascii="Arial" w:hAnsi="Arial" w:cs="Arial"/>
          <w:i/>
          <w:sz w:val="22"/>
          <w:szCs w:val="22"/>
        </w:rPr>
      </w:pPr>
    </w:p>
    <w:p w14:paraId="7629AFEA" w14:textId="67F7D178" w:rsidR="002A3F5B" w:rsidRPr="002A3F5B" w:rsidRDefault="002A3F5B" w:rsidP="002A3F5B">
      <w:pPr>
        <w:autoSpaceDE/>
        <w:autoSpaceDN/>
        <w:spacing w:after="80"/>
        <w:ind w:left="1145"/>
        <w:contextualSpacing/>
        <w:jc w:val="center"/>
        <w:rPr>
          <w:rFonts w:ascii="Arial" w:hAnsi="Arial" w:cs="Arial"/>
          <w:i/>
          <w:sz w:val="22"/>
          <w:szCs w:val="22"/>
        </w:rPr>
      </w:pPr>
      <m:oMathPara>
        <m:oMath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10 ×</m:t>
          </m:r>
          <m:f>
            <m:f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Dmin</m:t>
              </m:r>
            </m:num>
            <m:den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D</m:t>
              </m:r>
            </m:den>
          </m:f>
        </m:oMath>
      </m:oMathPara>
    </w:p>
    <w:p w14:paraId="384EA69C" w14:textId="77777777" w:rsidR="002A3F5B" w:rsidRPr="002A3F5B" w:rsidRDefault="002A3F5B" w:rsidP="002A3F5B">
      <w:pPr>
        <w:widowControl w:val="0"/>
        <w:autoSpaceDE/>
        <w:autoSpaceDN/>
        <w:jc w:val="center"/>
        <w:rPr>
          <w:rFonts w:ascii="Arial" w:hAnsi="Arial" w:cs="Arial"/>
          <w:i/>
          <w:sz w:val="22"/>
          <w:szCs w:val="22"/>
        </w:rPr>
      </w:pPr>
    </w:p>
    <w:p w14:paraId="3C5A793A" w14:textId="77777777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  <w:proofErr w:type="spellStart"/>
      <w:r w:rsidRPr="002A3F5B">
        <w:rPr>
          <w:rFonts w:ascii="Arial" w:hAnsi="Arial" w:cs="Arial"/>
          <w:i/>
          <w:sz w:val="22"/>
          <w:szCs w:val="22"/>
        </w:rPr>
        <w:t>Dmin</w:t>
      </w:r>
      <w:proofErr w:type="spellEnd"/>
      <w:r w:rsidRPr="002A3F5B">
        <w:rPr>
          <w:rFonts w:ascii="Arial" w:hAnsi="Arial" w:cs="Arial"/>
          <w:i/>
          <w:sz w:val="22"/>
          <w:szCs w:val="22"/>
        </w:rPr>
        <w:t xml:space="preserve">= Délai en jours calendaires du candidat le plus réactif ; </w:t>
      </w:r>
    </w:p>
    <w:p w14:paraId="75E975A4" w14:textId="77777777" w:rsidR="002A3F5B" w:rsidRPr="002A3F5B" w:rsidRDefault="002A3F5B" w:rsidP="002A3F5B">
      <w:pPr>
        <w:widowControl w:val="0"/>
        <w:autoSpaceDE/>
        <w:autoSpaceDN/>
        <w:rPr>
          <w:rFonts w:ascii="Arial" w:hAnsi="Arial" w:cs="Arial"/>
          <w:i/>
          <w:sz w:val="22"/>
          <w:szCs w:val="22"/>
        </w:rPr>
      </w:pPr>
      <w:r w:rsidRPr="002A3F5B">
        <w:rPr>
          <w:rFonts w:ascii="Arial" w:hAnsi="Arial" w:cs="Arial"/>
          <w:i/>
          <w:sz w:val="22"/>
          <w:szCs w:val="22"/>
        </w:rPr>
        <w:t>D = Délai en jours calendaires du candidat analysé.</w:t>
      </w:r>
    </w:p>
    <w:p w14:paraId="18531109" w14:textId="77777777" w:rsidR="002A3F5B" w:rsidRPr="002A3F5B" w:rsidRDefault="002A3F5B" w:rsidP="002A3F5B">
      <w:pPr>
        <w:widowControl w:val="0"/>
        <w:autoSpaceDE/>
        <w:autoSpaceDN/>
        <w:rPr>
          <w:rFonts w:ascii="Arial" w:eastAsiaTheme="minorEastAsia" w:hAnsi="Arial" w:cs="Arial"/>
          <w:b/>
          <w:i/>
          <w:sz w:val="22"/>
          <w:szCs w:val="22"/>
          <w:lang w:eastAsia="en-US"/>
        </w:rPr>
      </w:pPr>
    </w:p>
    <w:p w14:paraId="45C154DF" w14:textId="77777777" w:rsidR="002A3F5B" w:rsidRPr="002A3F5B" w:rsidRDefault="002A3F5B" w:rsidP="002A3F5B">
      <w:pPr>
        <w:widowControl w:val="0"/>
        <w:autoSpaceDE/>
        <w:autoSpaceDN/>
        <w:rPr>
          <w:rFonts w:ascii="Arial" w:eastAsiaTheme="minorEastAsia" w:hAnsi="Arial" w:cs="Arial"/>
          <w:i/>
          <w:sz w:val="22"/>
          <w:szCs w:val="22"/>
          <w:lang w:eastAsia="en-US"/>
        </w:rPr>
      </w:pPr>
      <w:r w:rsidRPr="002A3F5B">
        <w:rPr>
          <w:rFonts w:ascii="Arial" w:eastAsiaTheme="minorEastAsia" w:hAnsi="Arial" w:cs="Arial"/>
          <w:b/>
          <w:i/>
          <w:sz w:val="22"/>
          <w:szCs w:val="22"/>
          <w:lang w:eastAsia="en-US"/>
        </w:rPr>
        <w:t>Le candidat indiquant le délai le plus court aura le maximum de points</w:t>
      </w:r>
      <w:r w:rsidRPr="002A3F5B">
        <w:rPr>
          <w:rFonts w:ascii="Arial" w:eastAsiaTheme="minorEastAsia" w:hAnsi="Arial" w:cs="Arial"/>
          <w:i/>
          <w:sz w:val="22"/>
          <w:szCs w:val="22"/>
          <w:lang w:eastAsia="en-US"/>
        </w:rPr>
        <w:t>.</w:t>
      </w:r>
    </w:p>
    <w:p w14:paraId="673A9122" w14:textId="77777777" w:rsidR="002A3F5B" w:rsidRDefault="002A3F5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27FEE9AB" w14:textId="0BA44520" w:rsidR="00DE0912" w:rsidRDefault="00DE0912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37FC9559" w14:textId="77777777" w:rsidR="00DE0912" w:rsidRDefault="00DE0912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146A96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9D0A226" w14:textId="3778140C" w:rsidR="00DB78A9" w:rsidRDefault="00DB78A9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14A5D42C" w14:textId="3509E771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800B503" w14:textId="5FC71028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72C3BDF2" w14:textId="6B19D270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8AAF42B" w14:textId="13F9C8EB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709D9325" w14:textId="70C03D88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1A058B23" w14:textId="5528364C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02B7E7E4" w14:textId="40BF86CC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0EA316BB" w14:textId="4E140A2F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71D79107" w14:textId="1BF1C656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255293B5" w14:textId="023FBECD" w:rsidR="00FC245D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62877BE9" w14:textId="77777777" w:rsidR="00FC245D" w:rsidRPr="00C357C0" w:rsidRDefault="00FC245D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20A07C2" w14:textId="77777777" w:rsidR="007C47C3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55364715" w14:textId="401664C5" w:rsidR="0099200D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CRITERE </w:t>
      </w:r>
      <w:r w:rsidR="007B68CB">
        <w:rPr>
          <w:rFonts w:ascii="Arial" w:hAnsi="Arial" w:cs="Arial"/>
          <w:b/>
        </w:rPr>
        <w:t xml:space="preserve">N°3 : </w:t>
      </w:r>
      <w:r w:rsidR="00172460">
        <w:rPr>
          <w:rFonts w:ascii="Arial" w:hAnsi="Arial" w:cs="Arial"/>
          <w:b/>
        </w:rPr>
        <w:t xml:space="preserve">TECHNIQUE </w:t>
      </w:r>
    </w:p>
    <w:p w14:paraId="479367AF" w14:textId="08AF229D" w:rsidR="007C47C3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30956268" w14:textId="69C80649" w:rsidR="00172460" w:rsidRPr="00DD6D92" w:rsidRDefault="007B68CB" w:rsidP="001724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  <w:proofErr w:type="spellStart"/>
      <w:r w:rsidRPr="00DD6D92">
        <w:rPr>
          <w:rFonts w:ascii="Arial" w:hAnsi="Arial" w:cs="Arial"/>
          <w:b/>
          <w:lang w:val="en-US"/>
        </w:rPr>
        <w:t>Procédure</w:t>
      </w:r>
      <w:proofErr w:type="spellEnd"/>
      <w:r w:rsidRPr="00DD6D92">
        <w:rPr>
          <w:rFonts w:ascii="Arial" w:hAnsi="Arial" w:cs="Arial"/>
          <w:b/>
          <w:lang w:val="en-US"/>
        </w:rPr>
        <w:t xml:space="preserve"> pour pallier une absence inopinée d’un agent </w:t>
      </w:r>
      <w:r w:rsidRPr="00DD6D92">
        <w:rPr>
          <w:rFonts w:ascii="Arial" w:hAnsi="Arial" w:cs="Arial"/>
          <w:b/>
        </w:rPr>
        <w:t>(10</w:t>
      </w:r>
      <w:r w:rsidR="00172460" w:rsidRPr="00DD6D92">
        <w:rPr>
          <w:rFonts w:ascii="Arial" w:hAnsi="Arial" w:cs="Arial"/>
          <w:b/>
        </w:rPr>
        <w:t xml:space="preserve"> points)</w:t>
      </w:r>
    </w:p>
    <w:p w14:paraId="37F8AA39" w14:textId="2C28D4C5" w:rsidR="00172460" w:rsidRPr="00412E70" w:rsidRDefault="00172460" w:rsidP="001724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rPr>
          <w:rFonts w:ascii="Arial" w:hAnsi="Arial" w:cs="Arial"/>
          <w:b/>
        </w:rPr>
      </w:pPr>
    </w:p>
    <w:p w14:paraId="738B03AB" w14:textId="3C6AC699" w:rsidR="00C51817" w:rsidRPr="00DD6D92" w:rsidRDefault="00C51817" w:rsidP="00C51817">
      <w:pPr>
        <w:autoSpaceDE/>
        <w:autoSpaceDN/>
        <w:jc w:val="both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37189A41" w14:textId="77777777" w:rsidR="00C51817" w:rsidRPr="00DD6D92" w:rsidRDefault="00C51817" w:rsidP="00C51817">
      <w:pPr>
        <w:autoSpaceDE/>
        <w:autoSpaceDN/>
        <w:jc w:val="both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DD6D92">
        <w:rPr>
          <w:rFonts w:ascii="Arial" w:hAnsi="Arial" w:cs="Arial"/>
          <w:b/>
          <w:i/>
          <w:iCs/>
          <w:color w:val="808080" w:themeColor="background1" w:themeShade="80"/>
          <w:kern w:val="1"/>
          <w:sz w:val="22"/>
          <w:szCs w:val="22"/>
          <w:lang w:eastAsia="zh-CN"/>
        </w:rPr>
        <w:t>Pour rappel</w:t>
      </w:r>
      <w:r w:rsidRPr="00DD6D9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 : </w:t>
      </w:r>
    </w:p>
    <w:p w14:paraId="45E26F14" w14:textId="20B7BC98" w:rsidR="00C51817" w:rsidRPr="00DD6D92" w:rsidRDefault="000C3409" w:rsidP="00C51817">
      <w:pPr>
        <w:autoSpaceDE/>
        <w:autoSpaceDN/>
        <w:jc w:val="both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Art 5</w:t>
      </w:r>
      <w:r w:rsidR="00C51817" w:rsidRPr="00DD6D9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.4 du CCTP commun : </w:t>
      </w:r>
    </w:p>
    <w:p w14:paraId="1ACC2656" w14:textId="77777777" w:rsidR="00C51817" w:rsidRPr="00DD6D92" w:rsidRDefault="00C51817" w:rsidP="00C51817">
      <w:pPr>
        <w:autoSpaceDE/>
        <w:autoSpaceDN/>
        <w:jc w:val="both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DD6D9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[…] un personnel absent doit être remplacé dans un délai d’une (1) heure maximum.</w:t>
      </w:r>
    </w:p>
    <w:p w14:paraId="7D73F138" w14:textId="24E78371" w:rsidR="00172460" w:rsidRPr="00DD6D92" w:rsidRDefault="00C51817" w:rsidP="00C51817">
      <w:pPr>
        <w:autoSpaceDE/>
        <w:autoSpaceDN/>
        <w:jc w:val="both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DD6D9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Le personnel absent doit être remplacé par un personnel de même qualification et ayant satisfait au contrôle élémentaire […]</w:t>
      </w:r>
    </w:p>
    <w:p w14:paraId="42EC0A1C" w14:textId="5A6F2679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2D9EB87E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Dans le cadre d’une continuité de service, le candidat devra transmettre un scénario type expliquant la procédure de remplacement d’un agent absent.</w:t>
      </w:r>
    </w:p>
    <w:p w14:paraId="3D189290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72BB8184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Ce scénario devra reprendre toutes les étapes à compter du constat de l’absence du personnel jusqu’à son remplacement sur site. </w:t>
      </w:r>
    </w:p>
    <w:p w14:paraId="1E6491AD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133562E8" w14:textId="77777777" w:rsidR="000C3409" w:rsidRPr="00CC3222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u w:val="single"/>
          <w:lang w:eastAsia="zh-CN"/>
        </w:rPr>
      </w:pPr>
      <w:r w:rsidRPr="00CC322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u w:val="single"/>
          <w:lang w:eastAsia="zh-CN"/>
        </w:rPr>
        <w:t>Il devra notamment faire apparaitre les points suivants :</w:t>
      </w:r>
    </w:p>
    <w:p w14:paraId="02201595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48BA6F17" w14:textId="77777777" w:rsidR="00CC3222" w:rsidRPr="00CC3222" w:rsidRDefault="00CC3222" w:rsidP="00CC3222">
      <w:pPr>
        <w:numPr>
          <w:ilvl w:val="0"/>
          <w:numId w:val="20"/>
        </w:numPr>
        <w:tabs>
          <w:tab w:val="left" w:pos="142"/>
        </w:tabs>
        <w:ind w:left="0" w:firstLine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proofErr w:type="gramStart"/>
      <w:r w:rsidRPr="00CC322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le</w:t>
      </w:r>
      <w:proofErr w:type="gramEnd"/>
      <w:r w:rsidRPr="00CC3222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 délai maximum de remplacement d’un agent absent par un personnel de même qualification et ayant satisfait au contrôle élémentaire</w:t>
      </w:r>
    </w:p>
    <w:p w14:paraId="61FA03E6" w14:textId="77777777" w:rsidR="00CC3222" w:rsidRPr="000C3409" w:rsidRDefault="00CC3222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2FE3D09F" w14:textId="2628BD47" w:rsidR="000C3409" w:rsidRDefault="000C3409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 xml:space="preserve">la procédure d’alerte et d’escalade (procédure organisée pour faire remonter une anomalie) en cas d’absence non prévue </w:t>
      </w:r>
    </w:p>
    <w:p w14:paraId="03F200B9" w14:textId="77777777" w:rsidR="00CC3222" w:rsidRPr="000C3409" w:rsidRDefault="00CC3222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51C735BC" w14:textId="7F86C4AA" w:rsidR="000C3409" w:rsidRDefault="000C3409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la disponibilité d'un vivier de remplaçants : le nombre d'agents disponibles en réserve pour pallier les absences, la localisation des remplaçants (proximité du site à garder)</w:t>
      </w:r>
    </w:p>
    <w:p w14:paraId="7033AFE8" w14:textId="77777777" w:rsidR="00CC3222" w:rsidRPr="000C3409" w:rsidRDefault="00CC3222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62653C32" w14:textId="77777777" w:rsidR="000C3409" w:rsidRPr="000C3409" w:rsidRDefault="000C3409" w:rsidP="00CC3222">
      <w:pPr>
        <w:tabs>
          <w:tab w:val="left" w:pos="142"/>
        </w:tabs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la gestion des plannings et les outils utilisés (suivi en temps réel, alertes automatiques)</w:t>
      </w:r>
    </w:p>
    <w:p w14:paraId="60C32E44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3AD2DA51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Le candidat pourra compléter son scénario en transmettant un exemple concret de gestion de crise : retour d’expérience sur des absences antérieures (réactivité, solutions mises en place).</w:t>
      </w:r>
    </w:p>
    <w:p w14:paraId="460E39AE" w14:textId="77777777" w:rsidR="000C3409" w:rsidRPr="000C3409" w:rsidRDefault="000C3409" w:rsidP="000C340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0BCFC996" w14:textId="2AC7A366" w:rsidR="00443E7B" w:rsidRDefault="000C3409" w:rsidP="000C3409">
      <w:pPr>
        <w:rPr>
          <w:rFonts w:ascii="Arial" w:eastAsiaTheme="majorEastAsia" w:hAnsi="Arial" w:cs="Arial"/>
          <w:color w:val="365F91" w:themeColor="accent1" w:themeShade="BF"/>
        </w:rPr>
      </w:pPr>
      <w:r w:rsidRPr="000C3409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Le candidat dont la procédure est jugée la plus pertinente au regard des prestations attendues dans le cahier des charges aura le maximum de points.</w:t>
      </w:r>
    </w:p>
    <w:p w14:paraId="6B570961" w14:textId="683F01A2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542E8BDA" w14:textId="607D2D1F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3D38DB06" w14:textId="77777777" w:rsidR="00443E7B" w:rsidRPr="00276977" w:rsidRDefault="00443E7B" w:rsidP="00BE2DD7">
      <w:pPr>
        <w:rPr>
          <w:rFonts w:ascii="Arial" w:hAnsi="Arial" w:cs="Arial"/>
        </w:rPr>
      </w:pPr>
    </w:p>
    <w:p w14:paraId="7EBB1824" w14:textId="6BD14AE8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73396F9" w14:textId="6249B4CF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0AA6462" w14:textId="67AF22E9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4DB2EBE" w14:textId="610DF7C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6FE725CB" w14:textId="18E78B21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05D130AE" w14:textId="2C72C56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A0B8E48" w14:textId="2DD0A423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835A762" w14:textId="424398DC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64C0065" w14:textId="0B1C69B4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C0FDC6E" w14:textId="73B163E7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77528EC0" w14:textId="345F20FF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4081B2A6" w14:textId="7FAC66AC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13EBBF1C" w14:textId="7E0AF00B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7146717A" w14:textId="29983D6B" w:rsidR="003335DA" w:rsidRDefault="003335DA" w:rsidP="000E0BB5">
      <w:pPr>
        <w:jc w:val="both"/>
        <w:rPr>
          <w:rFonts w:ascii="Arial" w:hAnsi="Arial" w:cs="Arial"/>
          <w:b/>
          <w:u w:val="single"/>
        </w:rPr>
      </w:pPr>
    </w:p>
    <w:p w14:paraId="1B4E168A" w14:textId="319EAC5F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4618E444" w14:textId="04B9ADB3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8A1560" w14:textId="54C105A2" w:rsidR="006B7D96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>CRITERE</w:t>
      </w:r>
      <w:r w:rsidR="009E08A3">
        <w:rPr>
          <w:rFonts w:ascii="Arial" w:hAnsi="Arial" w:cs="Arial"/>
          <w:b/>
        </w:rPr>
        <w:t xml:space="preserve"> N°4 : </w:t>
      </w:r>
      <w:r w:rsidR="001D4F1B">
        <w:rPr>
          <w:rFonts w:ascii="Arial" w:hAnsi="Arial" w:cs="Arial"/>
          <w:b/>
        </w:rPr>
        <w:t>ENVIRONNEMENTAL</w:t>
      </w:r>
    </w:p>
    <w:p w14:paraId="77CC2E35" w14:textId="0DF208F5" w:rsidR="00C83DB3" w:rsidRDefault="00C83DB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194E60CB" w14:textId="6B3D26BD" w:rsidR="00C83DB3" w:rsidRPr="00412E70" w:rsidRDefault="00DC1FA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1 :</w:t>
      </w:r>
      <w:r w:rsidR="005E0791">
        <w:rPr>
          <w:rFonts w:ascii="Arial" w:hAnsi="Arial" w:cs="Arial"/>
          <w:b/>
        </w:rPr>
        <w:t xml:space="preserve"> </w:t>
      </w:r>
      <w:r w:rsidR="00687639" w:rsidRPr="00687639">
        <w:rPr>
          <w:rFonts w:ascii="Arial" w:hAnsi="Arial" w:cs="Arial"/>
          <w:b/>
        </w:rPr>
        <w:t>Type de moyen de transport utilisé pour se rendre sur le lieu de la prestation</w:t>
      </w:r>
      <w:r w:rsidR="00687639">
        <w:rPr>
          <w:rFonts w:ascii="Arial" w:hAnsi="Arial" w:cs="Arial"/>
          <w:b/>
        </w:rPr>
        <w:t xml:space="preserve"> (7,5</w:t>
      </w:r>
      <w:r w:rsidR="008E197E">
        <w:rPr>
          <w:rFonts w:ascii="Arial" w:hAnsi="Arial" w:cs="Arial"/>
          <w:b/>
        </w:rPr>
        <w:t xml:space="preserve"> points)</w:t>
      </w:r>
    </w:p>
    <w:p w14:paraId="7C62F1F1" w14:textId="77777777" w:rsidR="006B7D96" w:rsidRDefault="006B7D96" w:rsidP="006B7D96">
      <w:pPr>
        <w:rPr>
          <w:rFonts w:ascii="Arial" w:hAnsi="Arial" w:cs="Arial"/>
        </w:rPr>
      </w:pPr>
    </w:p>
    <w:p w14:paraId="177C26DF" w14:textId="77777777" w:rsidR="00687639" w:rsidRPr="009E08A3" w:rsidRDefault="00687639" w:rsidP="0068763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Le candidat doit expliquer les moyens mis en œuvre concernant le transport de ses agents pour se rendre sur le lieu de la prestation.</w:t>
      </w:r>
    </w:p>
    <w:p w14:paraId="10EBF7A8" w14:textId="77777777" w:rsidR="00687639" w:rsidRPr="009E08A3" w:rsidRDefault="00687639" w:rsidP="0068763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</w:p>
    <w:p w14:paraId="478895D0" w14:textId="77777777" w:rsidR="00687639" w:rsidRPr="009E08A3" w:rsidRDefault="00687639" w:rsidP="00687639">
      <w:p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u w:val="single"/>
          <w:lang w:eastAsia="zh-CN"/>
        </w:rPr>
        <w:t>Exemples</w:t>
      </w: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 :</w:t>
      </w:r>
    </w:p>
    <w:p w14:paraId="5DE825BA" w14:textId="77777777" w:rsidR="00687639" w:rsidRPr="009E08A3" w:rsidRDefault="00687639" w:rsidP="00687639">
      <w:pPr>
        <w:numPr>
          <w:ilvl w:val="0"/>
          <w:numId w:val="19"/>
        </w:num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Contribution à la réduction de l'empreinte carbone (type de véhicule utilisé : thermique, électrique, hybride ou mécanique) </w:t>
      </w:r>
    </w:p>
    <w:p w14:paraId="2DFC3041" w14:textId="77777777" w:rsidR="00687639" w:rsidRPr="009E08A3" w:rsidRDefault="00687639" w:rsidP="00687639">
      <w:pPr>
        <w:numPr>
          <w:ilvl w:val="0"/>
          <w:numId w:val="19"/>
        </w:num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Éco conduite </w:t>
      </w:r>
    </w:p>
    <w:p w14:paraId="3ED405BB" w14:textId="77777777" w:rsidR="00687639" w:rsidRPr="009E08A3" w:rsidRDefault="00687639" w:rsidP="00687639">
      <w:pPr>
        <w:numPr>
          <w:ilvl w:val="0"/>
          <w:numId w:val="19"/>
        </w:num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Co-voiturage</w:t>
      </w:r>
    </w:p>
    <w:p w14:paraId="45FEDFBE" w14:textId="03DD444F" w:rsidR="00C83DB3" w:rsidRPr="009E08A3" w:rsidRDefault="00687639" w:rsidP="00687639">
      <w:pPr>
        <w:pStyle w:val="Paragraphedeliste"/>
        <w:numPr>
          <w:ilvl w:val="0"/>
          <w:numId w:val="19"/>
        </w:numPr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E08A3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Autre</w:t>
      </w:r>
    </w:p>
    <w:p w14:paraId="35593B1D" w14:textId="77777777" w:rsidR="00C83DB3" w:rsidRDefault="00C83DB3" w:rsidP="006B7D96">
      <w:pPr>
        <w:rPr>
          <w:rFonts w:ascii="Arial" w:hAnsi="Arial" w:cs="Arial"/>
        </w:rPr>
      </w:pPr>
    </w:p>
    <w:p w14:paraId="1033D886" w14:textId="77777777" w:rsidR="006B7D96" w:rsidRPr="00B21AAC" w:rsidRDefault="006B7D96" w:rsidP="006B7D96">
      <w:pPr>
        <w:widowControl w:val="0"/>
        <w:outlineLvl w:val="0"/>
        <w:rPr>
          <w:rFonts w:ascii="Arial" w:hAnsi="Arial" w:cs="Arial"/>
          <w:sz w:val="22"/>
          <w:szCs w:val="22"/>
        </w:rPr>
      </w:pPr>
    </w:p>
    <w:p w14:paraId="25877219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E516AB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1F64C5A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05FD441" w14:textId="741CB9E9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151EF3" w14:textId="5D6BA574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B74629" w14:textId="782D813C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4C3D682" w14:textId="195526FB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C52C25" w14:textId="4F843BA2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F085E1" w14:textId="77777777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0F73D7B" w14:textId="6D2FCD48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DE32217" w14:textId="249281DF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38CFB0A" w14:textId="38E7CAE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5F876A" w14:textId="6E6A9F3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B6AA2DA" w14:textId="2D0D2217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BE1A97D" w14:textId="1252B7AB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A5CCD40" w14:textId="64E1B740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8D30B08" w14:textId="74FB2FFA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36C7FC1" w14:textId="458E942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9D60817" w14:textId="7075C7C8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17E4A00" w14:textId="41183A2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97B83DE" w14:textId="48E3F3E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101B7C" w14:textId="077550A0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A2C83E" w14:textId="406CB1E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4F13BF1" w14:textId="4ACA438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8E623F" w14:textId="65E4625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9D3525" w14:textId="2BCB87FE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2CEFB8" w14:textId="5A82F08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531508" w14:textId="542B474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5B0468" w14:textId="308290A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F4EB15" w14:textId="6011691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6FA77BF" w14:textId="12328DCA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7640B2" w14:textId="5A408C87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FA0E2C" w14:textId="77777777" w:rsidR="000814F5" w:rsidRDefault="000814F5" w:rsidP="000814F5">
      <w:pPr>
        <w:widowControl w:val="0"/>
        <w:autoSpaceDE/>
        <w:autoSpaceDN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153B5D3" w14:textId="6D2F2494" w:rsidR="00F867A7" w:rsidRDefault="00F867A7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49B22CC" w14:textId="0098D9EB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071ABCE" w14:textId="0AA34AF1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7EBC18" w14:textId="77777777" w:rsidR="00CC7158" w:rsidRDefault="00CC7158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A39EED7" w14:textId="18A8CF30" w:rsidR="009D669E" w:rsidRDefault="009D669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F212793" w14:textId="77777777" w:rsidR="004A7C40" w:rsidRDefault="004A7C40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C74A41A" w14:textId="313F9095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 xml:space="preserve">CRITERE </w:t>
      </w:r>
      <w:r w:rsidR="00CC7158">
        <w:rPr>
          <w:rFonts w:ascii="Arial" w:hAnsi="Arial" w:cs="Arial"/>
          <w:b/>
        </w:rPr>
        <w:t xml:space="preserve">N°4 : </w:t>
      </w:r>
      <w:r w:rsidR="009D669E">
        <w:rPr>
          <w:rFonts w:ascii="Arial" w:hAnsi="Arial" w:cs="Arial"/>
          <w:b/>
        </w:rPr>
        <w:t>ENVIRONNEMENTAL</w:t>
      </w:r>
    </w:p>
    <w:p w14:paraId="71C83EAD" w14:textId="77777777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30D32F41" w14:textId="64FC6064" w:rsidR="00A25D23" w:rsidRPr="00412E70" w:rsidRDefault="00D16C9A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Sous-critère 2 : </w:t>
      </w:r>
      <w:r w:rsidR="009D669E" w:rsidRPr="009D669E">
        <w:rPr>
          <w:rFonts w:ascii="Arial" w:hAnsi="Arial" w:cs="Arial"/>
          <w:b/>
        </w:rPr>
        <w:t>Les actions environnementales (hors transport) mises en place dans le cadre du marché</w:t>
      </w:r>
      <w:r w:rsidR="009D669E">
        <w:rPr>
          <w:rFonts w:ascii="Arial" w:hAnsi="Arial" w:cs="Arial"/>
          <w:b/>
        </w:rPr>
        <w:t xml:space="preserve"> (7,5</w:t>
      </w:r>
      <w:r w:rsidR="00A25D23">
        <w:rPr>
          <w:rFonts w:ascii="Arial" w:hAnsi="Arial" w:cs="Arial"/>
          <w:b/>
        </w:rPr>
        <w:t xml:space="preserve"> points)</w:t>
      </w:r>
    </w:p>
    <w:p w14:paraId="1CCC9D25" w14:textId="480C37F0" w:rsidR="00C83DB3" w:rsidRDefault="00C83DB3" w:rsidP="00D16C9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66BFC8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Le candidat doit expliquer les actions concrètes qui seront </w:t>
      </w:r>
      <w:r w:rsidRPr="008769D7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u w:val="single"/>
          <w:lang w:eastAsia="zh-CN"/>
        </w:rPr>
        <w:t xml:space="preserve">mises en place dans le cadre du marché 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afin de contribuer à la réduction de l’impact environnemental tout en garantissant une efficacité opérationnelle.</w:t>
      </w:r>
    </w:p>
    <w:p w14:paraId="12D81CD9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 xml:space="preserve">   </w:t>
      </w:r>
    </w:p>
    <w:p w14:paraId="07D7655C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Exemples :</w:t>
      </w:r>
    </w:p>
    <w:p w14:paraId="6D583A8F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Gestion des déchets issus de l’activité</w:t>
      </w:r>
    </w:p>
    <w:p w14:paraId="6CCB6C5E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Communication dématérialisée</w:t>
      </w:r>
    </w:p>
    <w:p w14:paraId="53094C0E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Performance écologique des matériels utilisés</w:t>
      </w:r>
    </w:p>
    <w:p w14:paraId="26B7A34F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Niveau sonore des matériels utilisés</w:t>
      </w:r>
    </w:p>
    <w:p w14:paraId="6E00C897" w14:textId="77777777" w:rsidR="009C56AE" w:rsidRPr="009C56AE" w:rsidRDefault="009C56AE" w:rsidP="009C56AE">
      <w:pPr>
        <w:widowControl w:val="0"/>
        <w:outlineLvl w:val="0"/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Composition des tenues de travail et chaussures (réemploi, matières naturelles, etc.)</w:t>
      </w:r>
    </w:p>
    <w:p w14:paraId="0342D40F" w14:textId="2F1C4038" w:rsidR="00C83DB3" w:rsidRDefault="009C56AE" w:rsidP="009C56AE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>-</w:t>
      </w:r>
      <w:r w:rsidRPr="009C56AE">
        <w:rPr>
          <w:rFonts w:ascii="Arial" w:hAnsi="Arial" w:cs="Arial"/>
          <w:i/>
          <w:iCs/>
          <w:color w:val="808080" w:themeColor="background1" w:themeShade="80"/>
          <w:kern w:val="1"/>
          <w:sz w:val="22"/>
          <w:szCs w:val="22"/>
          <w:lang w:eastAsia="zh-CN"/>
        </w:rPr>
        <w:tab/>
        <w:t>Autre</w:t>
      </w:r>
    </w:p>
    <w:p w14:paraId="6C8AA9BC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27EB04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45D1E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7EA7D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99E13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EAA8939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716C75E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74A24A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FA2E2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09D02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CD602F3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805BB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E984B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1D84AFA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50874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87A642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D79233" w14:textId="5DBCEBD4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B01023" w14:textId="1D089200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D5C830" w14:textId="4DB9A6C6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63FD6C4" w14:textId="1F8B2487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050392" w14:textId="58D69ED3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DFBDBC" w14:textId="76C5FF0A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7D0AA2" w14:textId="27F78DF4" w:rsidR="004934DA" w:rsidRDefault="004934DA">
      <w:pPr>
        <w:rPr>
          <w:rFonts w:ascii="Arial" w:hAnsi="Arial" w:cs="Arial"/>
          <w:b/>
          <w:sz w:val="22"/>
          <w:szCs w:val="22"/>
          <w:u w:val="single"/>
        </w:rPr>
      </w:pPr>
    </w:p>
    <w:p w14:paraId="7DBB0BBC" w14:textId="6BB01E29" w:rsidR="00ED508A" w:rsidRDefault="00ED508A">
      <w:pPr>
        <w:rPr>
          <w:rFonts w:ascii="Arial" w:hAnsi="Arial" w:cs="Arial"/>
          <w:u w:val="single"/>
        </w:rPr>
      </w:pPr>
    </w:p>
    <w:p w14:paraId="5E81E987" w14:textId="0D89B14E" w:rsidR="00DC2B82" w:rsidRDefault="00DC2B82">
      <w:pPr>
        <w:rPr>
          <w:rFonts w:ascii="Arial" w:hAnsi="Arial" w:cs="Arial"/>
          <w:u w:val="single"/>
        </w:rPr>
      </w:pPr>
    </w:p>
    <w:p w14:paraId="7663AEF0" w14:textId="118F6C23" w:rsidR="00DC2B82" w:rsidRDefault="00DC2B82">
      <w:pPr>
        <w:rPr>
          <w:rFonts w:ascii="Arial" w:hAnsi="Arial" w:cs="Arial"/>
          <w:u w:val="single"/>
        </w:rPr>
      </w:pPr>
    </w:p>
    <w:p w14:paraId="46342AF8" w14:textId="6A6167C7" w:rsidR="00DC2B82" w:rsidRDefault="00DC2B82">
      <w:pPr>
        <w:rPr>
          <w:rFonts w:ascii="Arial" w:hAnsi="Arial" w:cs="Arial"/>
          <w:u w:val="single"/>
        </w:rPr>
      </w:pPr>
    </w:p>
    <w:p w14:paraId="35D7399A" w14:textId="382D6B01" w:rsidR="00DC2B82" w:rsidRDefault="00DC2B82">
      <w:pPr>
        <w:rPr>
          <w:rFonts w:ascii="Arial" w:hAnsi="Arial" w:cs="Arial"/>
          <w:u w:val="single"/>
        </w:rPr>
      </w:pPr>
    </w:p>
    <w:p w14:paraId="416ED038" w14:textId="105500EA" w:rsidR="00DC2B82" w:rsidRDefault="00DC2B82">
      <w:pPr>
        <w:rPr>
          <w:rFonts w:ascii="Arial" w:hAnsi="Arial" w:cs="Arial"/>
          <w:u w:val="single"/>
        </w:rPr>
      </w:pPr>
    </w:p>
    <w:p w14:paraId="2810BD5E" w14:textId="18E7871F" w:rsidR="00DC2B82" w:rsidRDefault="00DC2B82">
      <w:pPr>
        <w:rPr>
          <w:rFonts w:ascii="Arial" w:hAnsi="Arial" w:cs="Arial"/>
          <w:u w:val="single"/>
        </w:rPr>
      </w:pPr>
    </w:p>
    <w:p w14:paraId="05376B62" w14:textId="1EE6583A" w:rsidR="00DC2B82" w:rsidRDefault="00DC2B82">
      <w:pPr>
        <w:rPr>
          <w:rFonts w:ascii="Arial" w:hAnsi="Arial" w:cs="Arial"/>
          <w:u w:val="single"/>
        </w:rPr>
      </w:pPr>
    </w:p>
    <w:p w14:paraId="05D36F0F" w14:textId="7003F44D" w:rsidR="00BE0639" w:rsidRDefault="00BE0639">
      <w:pPr>
        <w:rPr>
          <w:rFonts w:ascii="Arial" w:hAnsi="Arial" w:cs="Arial"/>
          <w:u w:val="single"/>
        </w:rPr>
      </w:pPr>
    </w:p>
    <w:p w14:paraId="62C0191E" w14:textId="16F8F126" w:rsidR="00BE0639" w:rsidRDefault="00BE0639">
      <w:pPr>
        <w:rPr>
          <w:rFonts w:ascii="Arial" w:hAnsi="Arial" w:cs="Arial"/>
          <w:u w:val="single"/>
        </w:rPr>
      </w:pPr>
    </w:p>
    <w:p w14:paraId="6747EE75" w14:textId="14C43A33" w:rsidR="00BE0639" w:rsidRDefault="00BE0639">
      <w:pPr>
        <w:rPr>
          <w:rFonts w:ascii="Arial" w:hAnsi="Arial" w:cs="Arial"/>
          <w:u w:val="single"/>
        </w:rPr>
      </w:pPr>
    </w:p>
    <w:p w14:paraId="46F97CE3" w14:textId="110D6585" w:rsidR="00070D24" w:rsidRDefault="00070D24">
      <w:pPr>
        <w:rPr>
          <w:rFonts w:ascii="Arial" w:hAnsi="Arial" w:cs="Arial"/>
          <w:u w:val="single"/>
        </w:rPr>
      </w:pPr>
    </w:p>
    <w:p w14:paraId="49FC5F9B" w14:textId="77777777" w:rsidR="00090D49" w:rsidRDefault="00090D49">
      <w:pPr>
        <w:rPr>
          <w:rFonts w:ascii="Arial" w:hAnsi="Arial" w:cs="Arial"/>
          <w:u w:val="single"/>
        </w:rPr>
      </w:pPr>
    </w:p>
    <w:p w14:paraId="5EA2582F" w14:textId="77777777" w:rsidR="00070D24" w:rsidRDefault="00070D24">
      <w:pPr>
        <w:rPr>
          <w:rFonts w:ascii="Arial" w:hAnsi="Arial" w:cs="Arial"/>
          <w:u w:val="single"/>
        </w:rPr>
      </w:pPr>
    </w:p>
    <w:p w14:paraId="4F447592" w14:textId="638009EB" w:rsidR="00BE0639" w:rsidRDefault="00BE0639">
      <w:pPr>
        <w:rPr>
          <w:rFonts w:ascii="Arial" w:hAnsi="Arial" w:cs="Arial"/>
          <w:u w:val="single"/>
        </w:rPr>
      </w:pPr>
    </w:p>
    <w:p w14:paraId="54CE0511" w14:textId="1C7CBB0C" w:rsidR="002F62A2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Fait à </w:t>
      </w:r>
    </w:p>
    <w:p w14:paraId="7820884F" w14:textId="77777777" w:rsidR="00BE0639" w:rsidRPr="0091192F" w:rsidRDefault="00BE0639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B06190B" w14:textId="0A119D9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Le </w:t>
      </w:r>
    </w:p>
    <w:p w14:paraId="60D7B2F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70381F2" w14:textId="19EE450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>Tampon de la société candidate</w:t>
      </w:r>
    </w:p>
    <w:p w14:paraId="64DB326C" w14:textId="4BBF2448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7EDFC69A" w14:textId="6DC90972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47C474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8226C3C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32BF3BC" w14:textId="64EB62D6" w:rsid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7707A2">
        <w:rPr>
          <w:rFonts w:ascii="Arial" w:hAnsi="Arial" w:cs="Arial"/>
          <w:b/>
          <w:u w:val="single"/>
        </w:rPr>
        <w:t>Signature</w:t>
      </w:r>
      <w:r w:rsidRPr="0091192F">
        <w:rPr>
          <w:rFonts w:ascii="Arial" w:hAnsi="Arial" w:cs="Arial"/>
          <w:u w:val="single"/>
        </w:rPr>
        <w:t xml:space="preserve"> </w:t>
      </w:r>
      <w:r w:rsidR="007707A2" w:rsidRPr="007707A2">
        <w:rPr>
          <w:rFonts w:ascii="Arial" w:hAnsi="Arial" w:cs="Arial"/>
          <w:b/>
          <w:u w:val="single"/>
        </w:rPr>
        <w:t>obligatoire</w:t>
      </w:r>
      <w:r w:rsidR="007707A2">
        <w:rPr>
          <w:rFonts w:ascii="Arial" w:hAnsi="Arial" w:cs="Arial"/>
          <w:u w:val="single"/>
        </w:rPr>
        <w:t xml:space="preserve"> </w:t>
      </w:r>
      <w:r w:rsidRPr="0091192F">
        <w:rPr>
          <w:rFonts w:ascii="Arial" w:hAnsi="Arial" w:cs="Arial"/>
          <w:u w:val="single"/>
        </w:rPr>
        <w:t>de la personne ayant le pouvoir d'engager la société</w:t>
      </w:r>
    </w:p>
    <w:p w14:paraId="353B9B63" w14:textId="303914F7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8E60300" w14:textId="0C8F2F76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6C1C7CC2" w14:textId="2066AAEF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DB84448" w14:textId="77777777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FC59558" w14:textId="77777777" w:rsidR="003E0255" w:rsidRPr="0091192F" w:rsidRDefault="003E0255">
      <w:pPr>
        <w:rPr>
          <w:rFonts w:ascii="Arial" w:hAnsi="Arial" w:cs="Arial"/>
          <w:u w:val="single"/>
        </w:rPr>
      </w:pPr>
    </w:p>
    <w:sectPr w:rsidR="003E0255" w:rsidRPr="0091192F" w:rsidSect="00082F9B">
      <w:headerReference w:type="default" r:id="rId9"/>
      <w:footerReference w:type="default" r:id="rId10"/>
      <w:pgSz w:w="11906" w:h="16838"/>
      <w:pgMar w:top="1135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87572" w14:textId="77777777" w:rsidR="000C53DE" w:rsidRDefault="000C53DE" w:rsidP="00E75A3B">
      <w:r>
        <w:separator/>
      </w:r>
    </w:p>
  </w:endnote>
  <w:endnote w:type="continuationSeparator" w:id="0">
    <w:p w14:paraId="388D521D" w14:textId="77777777" w:rsidR="000C53DE" w:rsidRDefault="000C53DE" w:rsidP="00E7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538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9B618" w14:textId="7104FDFA" w:rsidR="000F1E5F" w:rsidRDefault="000F1E5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720C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720C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EB6A6B" w14:textId="7C78FFDD" w:rsidR="000F1E5F" w:rsidRDefault="00687639">
    <w:pPr>
      <w:pStyle w:val="Pieddepage"/>
    </w:pPr>
    <w:r>
      <w:t>DAF_2025_000589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CB73A" w14:textId="77777777" w:rsidR="000C53DE" w:rsidRDefault="000C53DE" w:rsidP="00E75A3B">
      <w:r>
        <w:separator/>
      </w:r>
    </w:p>
  </w:footnote>
  <w:footnote w:type="continuationSeparator" w:id="0">
    <w:p w14:paraId="5C08162A" w14:textId="77777777" w:rsidR="000C53DE" w:rsidRDefault="000C53DE" w:rsidP="00E7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73D0" w14:textId="77777777" w:rsidR="0054341B" w:rsidRDefault="0054341B" w:rsidP="0054341B">
    <w:pPr>
      <w:pStyle w:val="En-tte"/>
      <w:tabs>
        <w:tab w:val="clear" w:pos="4536"/>
        <w:tab w:val="clear" w:pos="9072"/>
        <w:tab w:val="left" w:pos="6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AB5"/>
    <w:multiLevelType w:val="hybridMultilevel"/>
    <w:tmpl w:val="1C821572"/>
    <w:lvl w:ilvl="0" w:tplc="D14E36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132D"/>
    <w:multiLevelType w:val="hybridMultilevel"/>
    <w:tmpl w:val="4CAE24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42809"/>
    <w:multiLevelType w:val="hybridMultilevel"/>
    <w:tmpl w:val="3F5AB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B27D5"/>
    <w:multiLevelType w:val="hybridMultilevel"/>
    <w:tmpl w:val="ABA44BD2"/>
    <w:lvl w:ilvl="0" w:tplc="C0FAB1FC">
      <w:start w:val="4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224E64"/>
    <w:multiLevelType w:val="hybridMultilevel"/>
    <w:tmpl w:val="616CECDA"/>
    <w:lvl w:ilvl="0" w:tplc="FB5E0B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A2228"/>
    <w:multiLevelType w:val="hybridMultilevel"/>
    <w:tmpl w:val="325C4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406FA"/>
    <w:multiLevelType w:val="hybridMultilevel"/>
    <w:tmpl w:val="9EA6D920"/>
    <w:lvl w:ilvl="0" w:tplc="C2B058AE">
      <w:start w:val="3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D137B"/>
    <w:multiLevelType w:val="hybridMultilevel"/>
    <w:tmpl w:val="0332CFA6"/>
    <w:lvl w:ilvl="0" w:tplc="158021EE">
      <w:start w:val="3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8E106C"/>
    <w:multiLevelType w:val="hybridMultilevel"/>
    <w:tmpl w:val="45C861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369A1"/>
    <w:multiLevelType w:val="hybridMultilevel"/>
    <w:tmpl w:val="A314B46A"/>
    <w:lvl w:ilvl="0" w:tplc="0F9C2054">
      <w:start w:val="3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B863AC"/>
    <w:multiLevelType w:val="hybridMultilevel"/>
    <w:tmpl w:val="EFD0A45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4D462E"/>
    <w:multiLevelType w:val="hybridMultilevel"/>
    <w:tmpl w:val="10C25048"/>
    <w:lvl w:ilvl="0" w:tplc="E364EE2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404F2"/>
    <w:multiLevelType w:val="hybridMultilevel"/>
    <w:tmpl w:val="F43C6AD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6A5497E"/>
    <w:multiLevelType w:val="hybridMultilevel"/>
    <w:tmpl w:val="6F06AE9C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4" w15:restartNumberingAfterBreak="0">
    <w:nsid w:val="5E0E7A6C"/>
    <w:multiLevelType w:val="hybridMultilevel"/>
    <w:tmpl w:val="A802FE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768A0"/>
    <w:multiLevelType w:val="hybridMultilevel"/>
    <w:tmpl w:val="0810C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75259"/>
    <w:multiLevelType w:val="hybridMultilevel"/>
    <w:tmpl w:val="B9F8E6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D790F"/>
    <w:multiLevelType w:val="hybridMultilevel"/>
    <w:tmpl w:val="003AF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DF6262"/>
    <w:multiLevelType w:val="hybridMultilevel"/>
    <w:tmpl w:val="3F1E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5"/>
  </w:num>
  <w:num w:numId="5">
    <w:abstractNumId w:val="13"/>
  </w:num>
  <w:num w:numId="6">
    <w:abstractNumId w:val="3"/>
  </w:num>
  <w:num w:numId="7">
    <w:abstractNumId w:val="19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8"/>
  </w:num>
  <w:num w:numId="13">
    <w:abstractNumId w:val="14"/>
  </w:num>
  <w:num w:numId="14">
    <w:abstractNumId w:val="2"/>
  </w:num>
  <w:num w:numId="15">
    <w:abstractNumId w:val="11"/>
  </w:num>
  <w:num w:numId="16">
    <w:abstractNumId w:val="16"/>
  </w:num>
  <w:num w:numId="17">
    <w:abstractNumId w:val="1"/>
  </w:num>
  <w:num w:numId="18">
    <w:abstractNumId w:val="0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B"/>
    <w:rsid w:val="0000681D"/>
    <w:rsid w:val="000357BD"/>
    <w:rsid w:val="000424FB"/>
    <w:rsid w:val="00045035"/>
    <w:rsid w:val="00061734"/>
    <w:rsid w:val="00070D24"/>
    <w:rsid w:val="000748D8"/>
    <w:rsid w:val="000800B6"/>
    <w:rsid w:val="000814F5"/>
    <w:rsid w:val="00082F9B"/>
    <w:rsid w:val="00090D49"/>
    <w:rsid w:val="00095B3A"/>
    <w:rsid w:val="000A0F3D"/>
    <w:rsid w:val="000C3409"/>
    <w:rsid w:val="000C53DE"/>
    <w:rsid w:val="000E0BB5"/>
    <w:rsid w:val="000E1183"/>
    <w:rsid w:val="000F1E5F"/>
    <w:rsid w:val="00100822"/>
    <w:rsid w:val="00111474"/>
    <w:rsid w:val="00127BB5"/>
    <w:rsid w:val="00145684"/>
    <w:rsid w:val="00166EF4"/>
    <w:rsid w:val="00172460"/>
    <w:rsid w:val="00181173"/>
    <w:rsid w:val="001A332C"/>
    <w:rsid w:val="001A5B40"/>
    <w:rsid w:val="001C1A9F"/>
    <w:rsid w:val="001D10BF"/>
    <w:rsid w:val="001D4F1B"/>
    <w:rsid w:val="002113FB"/>
    <w:rsid w:val="00221A46"/>
    <w:rsid w:val="00243D19"/>
    <w:rsid w:val="00246167"/>
    <w:rsid w:val="00251634"/>
    <w:rsid w:val="002551B5"/>
    <w:rsid w:val="00276977"/>
    <w:rsid w:val="002A3F5B"/>
    <w:rsid w:val="002A5047"/>
    <w:rsid w:val="002C4255"/>
    <w:rsid w:val="002D351F"/>
    <w:rsid w:val="002D6A89"/>
    <w:rsid w:val="002E0D4F"/>
    <w:rsid w:val="002F62A2"/>
    <w:rsid w:val="00301E05"/>
    <w:rsid w:val="00305930"/>
    <w:rsid w:val="00311CD7"/>
    <w:rsid w:val="0031656E"/>
    <w:rsid w:val="003335DA"/>
    <w:rsid w:val="00343C7D"/>
    <w:rsid w:val="0034521B"/>
    <w:rsid w:val="0034711B"/>
    <w:rsid w:val="00353970"/>
    <w:rsid w:val="00360C4C"/>
    <w:rsid w:val="0036237B"/>
    <w:rsid w:val="003A6BA9"/>
    <w:rsid w:val="003A774E"/>
    <w:rsid w:val="003E0255"/>
    <w:rsid w:val="004260A9"/>
    <w:rsid w:val="0042639A"/>
    <w:rsid w:val="00443E7B"/>
    <w:rsid w:val="00446724"/>
    <w:rsid w:val="00474E69"/>
    <w:rsid w:val="00485CF7"/>
    <w:rsid w:val="00491E93"/>
    <w:rsid w:val="004934DA"/>
    <w:rsid w:val="00493E33"/>
    <w:rsid w:val="004A7C40"/>
    <w:rsid w:val="004D46F9"/>
    <w:rsid w:val="004E1902"/>
    <w:rsid w:val="004E255F"/>
    <w:rsid w:val="004E6F64"/>
    <w:rsid w:val="004F6A0A"/>
    <w:rsid w:val="004F706B"/>
    <w:rsid w:val="00501293"/>
    <w:rsid w:val="005021AF"/>
    <w:rsid w:val="00506B5A"/>
    <w:rsid w:val="00510524"/>
    <w:rsid w:val="00510C79"/>
    <w:rsid w:val="005240B2"/>
    <w:rsid w:val="0053075D"/>
    <w:rsid w:val="00534B47"/>
    <w:rsid w:val="0054341B"/>
    <w:rsid w:val="00583A07"/>
    <w:rsid w:val="005845B2"/>
    <w:rsid w:val="0058553D"/>
    <w:rsid w:val="005874B5"/>
    <w:rsid w:val="00587F30"/>
    <w:rsid w:val="0059003D"/>
    <w:rsid w:val="00593FF3"/>
    <w:rsid w:val="005A5DE2"/>
    <w:rsid w:val="005A5EEC"/>
    <w:rsid w:val="005E0791"/>
    <w:rsid w:val="005E6A65"/>
    <w:rsid w:val="005F1AA8"/>
    <w:rsid w:val="005F35CF"/>
    <w:rsid w:val="0060191D"/>
    <w:rsid w:val="00603137"/>
    <w:rsid w:val="00606700"/>
    <w:rsid w:val="00607255"/>
    <w:rsid w:val="00623721"/>
    <w:rsid w:val="00646747"/>
    <w:rsid w:val="0065061A"/>
    <w:rsid w:val="00651FCF"/>
    <w:rsid w:val="006527E6"/>
    <w:rsid w:val="0065331E"/>
    <w:rsid w:val="006558E9"/>
    <w:rsid w:val="006612F4"/>
    <w:rsid w:val="006632FF"/>
    <w:rsid w:val="00682777"/>
    <w:rsid w:val="00685D71"/>
    <w:rsid w:val="00687639"/>
    <w:rsid w:val="00690D3F"/>
    <w:rsid w:val="00693DCD"/>
    <w:rsid w:val="0069689F"/>
    <w:rsid w:val="006A29D3"/>
    <w:rsid w:val="006B380A"/>
    <w:rsid w:val="006B4BDC"/>
    <w:rsid w:val="006B7018"/>
    <w:rsid w:val="006B7D96"/>
    <w:rsid w:val="006C3DAA"/>
    <w:rsid w:val="006D1FDB"/>
    <w:rsid w:val="006E125F"/>
    <w:rsid w:val="006E3D82"/>
    <w:rsid w:val="006E7FB6"/>
    <w:rsid w:val="00701E0D"/>
    <w:rsid w:val="0070314D"/>
    <w:rsid w:val="00706949"/>
    <w:rsid w:val="00724F9E"/>
    <w:rsid w:val="00730C69"/>
    <w:rsid w:val="00736E7C"/>
    <w:rsid w:val="00746F96"/>
    <w:rsid w:val="0075614A"/>
    <w:rsid w:val="007579D6"/>
    <w:rsid w:val="00763202"/>
    <w:rsid w:val="007707A2"/>
    <w:rsid w:val="007721EC"/>
    <w:rsid w:val="00775484"/>
    <w:rsid w:val="007911F1"/>
    <w:rsid w:val="00793979"/>
    <w:rsid w:val="007A1A5E"/>
    <w:rsid w:val="007B68CB"/>
    <w:rsid w:val="007B6ABD"/>
    <w:rsid w:val="007B7C4F"/>
    <w:rsid w:val="007C2F83"/>
    <w:rsid w:val="007C47C3"/>
    <w:rsid w:val="007D025D"/>
    <w:rsid w:val="007F0791"/>
    <w:rsid w:val="007F2920"/>
    <w:rsid w:val="00805094"/>
    <w:rsid w:val="00810544"/>
    <w:rsid w:val="00811EC0"/>
    <w:rsid w:val="00816C2D"/>
    <w:rsid w:val="008358A4"/>
    <w:rsid w:val="00872E38"/>
    <w:rsid w:val="008769D7"/>
    <w:rsid w:val="008861F4"/>
    <w:rsid w:val="00893B31"/>
    <w:rsid w:val="00896484"/>
    <w:rsid w:val="008A4D5E"/>
    <w:rsid w:val="008A6499"/>
    <w:rsid w:val="008C6672"/>
    <w:rsid w:val="008E197E"/>
    <w:rsid w:val="0090078F"/>
    <w:rsid w:val="00901ABE"/>
    <w:rsid w:val="00905E1A"/>
    <w:rsid w:val="0091192F"/>
    <w:rsid w:val="00924B49"/>
    <w:rsid w:val="00947937"/>
    <w:rsid w:val="0098008B"/>
    <w:rsid w:val="009856CD"/>
    <w:rsid w:val="0099200D"/>
    <w:rsid w:val="009B45B7"/>
    <w:rsid w:val="009B510B"/>
    <w:rsid w:val="009C56AE"/>
    <w:rsid w:val="009C68A8"/>
    <w:rsid w:val="009D5442"/>
    <w:rsid w:val="009D669E"/>
    <w:rsid w:val="009D721A"/>
    <w:rsid w:val="009E00B2"/>
    <w:rsid w:val="009E08A3"/>
    <w:rsid w:val="009E6CF6"/>
    <w:rsid w:val="009F458E"/>
    <w:rsid w:val="009F644A"/>
    <w:rsid w:val="00A2250F"/>
    <w:rsid w:val="00A25D23"/>
    <w:rsid w:val="00A517EA"/>
    <w:rsid w:val="00A53429"/>
    <w:rsid w:val="00A55DB8"/>
    <w:rsid w:val="00A70137"/>
    <w:rsid w:val="00A73EDD"/>
    <w:rsid w:val="00A8709B"/>
    <w:rsid w:val="00A87F1D"/>
    <w:rsid w:val="00A90AD9"/>
    <w:rsid w:val="00AB5DC8"/>
    <w:rsid w:val="00AC170F"/>
    <w:rsid w:val="00AD0752"/>
    <w:rsid w:val="00AF300F"/>
    <w:rsid w:val="00B102EF"/>
    <w:rsid w:val="00B113E4"/>
    <w:rsid w:val="00B21AAC"/>
    <w:rsid w:val="00B367BA"/>
    <w:rsid w:val="00B52204"/>
    <w:rsid w:val="00B65729"/>
    <w:rsid w:val="00B86013"/>
    <w:rsid w:val="00B87B0C"/>
    <w:rsid w:val="00B926E2"/>
    <w:rsid w:val="00BC0C4F"/>
    <w:rsid w:val="00BE01EE"/>
    <w:rsid w:val="00BE0639"/>
    <w:rsid w:val="00BE2DD7"/>
    <w:rsid w:val="00BF4C34"/>
    <w:rsid w:val="00C02E23"/>
    <w:rsid w:val="00C16530"/>
    <w:rsid w:val="00C2682B"/>
    <w:rsid w:val="00C3126E"/>
    <w:rsid w:val="00C357C0"/>
    <w:rsid w:val="00C419E4"/>
    <w:rsid w:val="00C4367B"/>
    <w:rsid w:val="00C440DF"/>
    <w:rsid w:val="00C51817"/>
    <w:rsid w:val="00C546EB"/>
    <w:rsid w:val="00C83D51"/>
    <w:rsid w:val="00C83DB3"/>
    <w:rsid w:val="00CC0543"/>
    <w:rsid w:val="00CC3222"/>
    <w:rsid w:val="00CC7158"/>
    <w:rsid w:val="00D020C6"/>
    <w:rsid w:val="00D1684A"/>
    <w:rsid w:val="00D16C9A"/>
    <w:rsid w:val="00D21690"/>
    <w:rsid w:val="00D22E29"/>
    <w:rsid w:val="00D246E9"/>
    <w:rsid w:val="00D25A5E"/>
    <w:rsid w:val="00D4266D"/>
    <w:rsid w:val="00D629F8"/>
    <w:rsid w:val="00D91DF8"/>
    <w:rsid w:val="00DA7B0B"/>
    <w:rsid w:val="00DB78A9"/>
    <w:rsid w:val="00DC1FA6"/>
    <w:rsid w:val="00DC2B82"/>
    <w:rsid w:val="00DC6A5E"/>
    <w:rsid w:val="00DD0879"/>
    <w:rsid w:val="00DD116A"/>
    <w:rsid w:val="00DD6D92"/>
    <w:rsid w:val="00DD720C"/>
    <w:rsid w:val="00DE0912"/>
    <w:rsid w:val="00DE4461"/>
    <w:rsid w:val="00DF478B"/>
    <w:rsid w:val="00DF4B86"/>
    <w:rsid w:val="00E14C4C"/>
    <w:rsid w:val="00E26ACC"/>
    <w:rsid w:val="00E44B9C"/>
    <w:rsid w:val="00E5280C"/>
    <w:rsid w:val="00E626ED"/>
    <w:rsid w:val="00E6781F"/>
    <w:rsid w:val="00E70A37"/>
    <w:rsid w:val="00E75A3B"/>
    <w:rsid w:val="00E85232"/>
    <w:rsid w:val="00E94FD3"/>
    <w:rsid w:val="00EA0BAC"/>
    <w:rsid w:val="00EB4390"/>
    <w:rsid w:val="00EB5310"/>
    <w:rsid w:val="00EC170F"/>
    <w:rsid w:val="00EC66A0"/>
    <w:rsid w:val="00ED41B5"/>
    <w:rsid w:val="00ED508A"/>
    <w:rsid w:val="00EE10E9"/>
    <w:rsid w:val="00F22802"/>
    <w:rsid w:val="00F2712C"/>
    <w:rsid w:val="00F3367B"/>
    <w:rsid w:val="00F447F6"/>
    <w:rsid w:val="00F4610F"/>
    <w:rsid w:val="00F62945"/>
    <w:rsid w:val="00F710E2"/>
    <w:rsid w:val="00F80E99"/>
    <w:rsid w:val="00F867A7"/>
    <w:rsid w:val="00FB40A9"/>
    <w:rsid w:val="00FB5C36"/>
    <w:rsid w:val="00FC119A"/>
    <w:rsid w:val="00FC245D"/>
    <w:rsid w:val="00FC70F1"/>
    <w:rsid w:val="00FD1672"/>
    <w:rsid w:val="00FD7FFC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51637"/>
  <w15:chartTrackingRefBased/>
  <w15:docId w15:val="{7D15DF24-D416-42A5-8E53-1E170B84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A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F5828"/>
    <w:pPr>
      <w:keepNext/>
      <w:keepLines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A5E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1A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A46"/>
    <w:rPr>
      <w:rFonts w:ascii="Segoe UI" w:eastAsia="Times New Roman" w:hAnsi="Segoe UI" w:cs="Segoe UI"/>
      <w:sz w:val="18"/>
      <w:szCs w:val="18"/>
      <w:lang w:eastAsia="fr-FR"/>
    </w:rPr>
  </w:style>
  <w:style w:type="character" w:styleId="Emphaseple">
    <w:name w:val="Subtle Emphasis"/>
    <w:basedOn w:val="Policepardfaut"/>
    <w:uiPriority w:val="19"/>
    <w:qFormat/>
    <w:rsid w:val="0099200D"/>
    <w:rPr>
      <w:i/>
      <w:iC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9920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920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9200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20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200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F58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FF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501293"/>
    <w:pPr>
      <w:pBdr>
        <w:top w:val="single" w:sz="6" w:space="8" w:color="9BBB59" w:themeColor="accent3"/>
        <w:bottom w:val="single" w:sz="6" w:space="8" w:color="9BBB59" w:themeColor="accent3"/>
      </w:pBdr>
      <w:autoSpaceDE/>
      <w:autoSpaceDN/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501293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8F66-4618-43A4-A72C-D438891D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BURDET Karine SA CL NORMALE DEF</dc:creator>
  <cp:keywords/>
  <dc:description/>
  <cp:lastModifiedBy>DELLAC Laurianne SA CE MINDEF</cp:lastModifiedBy>
  <cp:revision>8</cp:revision>
  <cp:lastPrinted>2021-11-16T12:24:00Z</cp:lastPrinted>
  <dcterms:created xsi:type="dcterms:W3CDTF">2025-07-04T08:20:00Z</dcterms:created>
  <dcterms:modified xsi:type="dcterms:W3CDTF">2025-07-09T15:26:00Z</dcterms:modified>
</cp:coreProperties>
</file>