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31DF" w14:textId="77777777" w:rsidR="009A4F96" w:rsidRPr="00162D45" w:rsidRDefault="009A4F96" w:rsidP="001E4F81">
      <w:pPr>
        <w:suppressAutoHyphens/>
        <w:spacing w:after="0" w:line="240" w:lineRule="auto"/>
        <w:jc w:val="center"/>
        <w:rPr>
          <w:rFonts w:ascii="Arial" w:eastAsia="Times New Roman" w:hAnsi="Arial" w:cs="Arial"/>
          <w:b/>
          <w:bCs/>
          <w:caps/>
          <w:lang w:eastAsia="ar-SA"/>
        </w:rPr>
      </w:pPr>
      <w:r w:rsidRPr="00162D45">
        <w:rPr>
          <w:rFonts w:ascii="Arial" w:hAnsi="Arial" w:cs="Arial"/>
          <w:b/>
          <w:noProof/>
          <w:sz w:val="28"/>
        </w:rPr>
        <w:drawing>
          <wp:inline distT="0" distB="0" distL="0" distR="0" wp14:anchorId="4AE9C6D0" wp14:editId="057CE7B7">
            <wp:extent cx="1318260" cy="457200"/>
            <wp:effectExtent l="0" t="0" r="0" b="0"/>
            <wp:docPr id="1" name="Image 1" descr="LOGO_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260" cy="457200"/>
                    </a:xfrm>
                    <a:prstGeom prst="rect">
                      <a:avLst/>
                    </a:prstGeom>
                    <a:noFill/>
                    <a:ln>
                      <a:noFill/>
                    </a:ln>
                  </pic:spPr>
                </pic:pic>
              </a:graphicData>
            </a:graphic>
          </wp:inline>
        </w:drawing>
      </w:r>
    </w:p>
    <w:p w14:paraId="7F0F1DD6" w14:textId="77777777" w:rsidR="009A4F96" w:rsidRPr="00162D45" w:rsidRDefault="009A4F96" w:rsidP="001E4F81">
      <w:pPr>
        <w:suppressAutoHyphens/>
        <w:spacing w:after="0" w:line="240" w:lineRule="auto"/>
        <w:rPr>
          <w:rFonts w:ascii="Arial" w:eastAsia="Times New Roman" w:hAnsi="Arial" w:cs="Arial"/>
          <w:b/>
          <w:bCs/>
          <w:caps/>
          <w:lang w:eastAsia="ar-SA"/>
        </w:rPr>
      </w:pPr>
    </w:p>
    <w:p w14:paraId="54830715" w14:textId="77777777" w:rsidR="00942DEB" w:rsidRPr="00942DEB" w:rsidRDefault="00942DEB" w:rsidP="001E4F81">
      <w:pPr>
        <w:pStyle w:val="En-tte"/>
        <w:jc w:val="center"/>
        <w:rPr>
          <w:rFonts w:ascii="Arial" w:hAnsi="Arial" w:cs="Arial"/>
          <w:b/>
          <w:bCs/>
          <w:iCs/>
          <w:sz w:val="28"/>
          <w:szCs w:val="28"/>
        </w:rPr>
      </w:pPr>
      <w:bookmarkStart w:id="0" w:name="_Hlk197940432"/>
      <w:r w:rsidRPr="00942DEB">
        <w:rPr>
          <w:rFonts w:ascii="Arial" w:hAnsi="Arial" w:cs="Arial"/>
          <w:b/>
          <w:bCs/>
          <w:iCs/>
          <w:sz w:val="28"/>
          <w:szCs w:val="28"/>
        </w:rPr>
        <w:t xml:space="preserve">ACCORD-CADRE N° 25B03 </w:t>
      </w:r>
    </w:p>
    <w:p w14:paraId="41B38154" w14:textId="77777777" w:rsidR="00942DEB" w:rsidRPr="00942DEB" w:rsidRDefault="00942DEB" w:rsidP="001E4F81">
      <w:pPr>
        <w:pStyle w:val="En-tte"/>
        <w:jc w:val="center"/>
        <w:rPr>
          <w:rFonts w:ascii="Arial" w:hAnsi="Arial" w:cs="Arial"/>
          <w:b/>
          <w:bCs/>
          <w:iCs/>
          <w:sz w:val="28"/>
          <w:szCs w:val="28"/>
        </w:rPr>
      </w:pPr>
    </w:p>
    <w:p w14:paraId="1E753F0C" w14:textId="77777777" w:rsidR="00942DEB" w:rsidRPr="00942DEB" w:rsidRDefault="00942DEB" w:rsidP="001E4F81">
      <w:pPr>
        <w:pStyle w:val="En-tte"/>
        <w:jc w:val="center"/>
        <w:rPr>
          <w:rFonts w:ascii="Arial" w:hAnsi="Arial" w:cs="Arial"/>
          <w:b/>
          <w:bCs/>
          <w:iCs/>
          <w:sz w:val="28"/>
          <w:szCs w:val="28"/>
        </w:rPr>
      </w:pPr>
      <w:r w:rsidRPr="00942DEB">
        <w:rPr>
          <w:rFonts w:ascii="Arial" w:hAnsi="Arial" w:cs="Arial"/>
          <w:b/>
          <w:bCs/>
          <w:iCs/>
          <w:sz w:val="28"/>
          <w:szCs w:val="28"/>
        </w:rPr>
        <w:t>PORTANT SUR L’ACQUISITION DE MATÉRIAUX, FOURNITURES ET CONSOMMABLES POUR L’ENTRETIEN DES BÂTIMENTS DE L’UNIVERSITÉ DE LORRAINE (OUTILLAGES, QUINCAILLERIE ET FOURNITURES DE TRAVAUX)</w:t>
      </w:r>
    </w:p>
    <w:p w14:paraId="2F12DE50" w14:textId="1300666F" w:rsidR="009A4F96" w:rsidRPr="00942DEB" w:rsidRDefault="009A4F96" w:rsidP="001E4F81">
      <w:pPr>
        <w:widowControl w:val="0"/>
        <w:autoSpaceDE w:val="0"/>
        <w:spacing w:after="0" w:line="240" w:lineRule="auto"/>
        <w:jc w:val="both"/>
        <w:rPr>
          <w:rFonts w:ascii="Arial" w:hAnsi="Arial" w:cs="Arial"/>
          <w:b/>
          <w:color w:val="000000"/>
          <w:sz w:val="28"/>
          <w:szCs w:val="28"/>
        </w:rPr>
      </w:pPr>
    </w:p>
    <w:p w14:paraId="11667736" w14:textId="5FBBEBCD" w:rsidR="00942DEB" w:rsidRPr="00942DEB" w:rsidRDefault="00942DEB" w:rsidP="001E4F81">
      <w:pPr>
        <w:widowControl w:val="0"/>
        <w:autoSpaceDE w:val="0"/>
        <w:spacing w:after="0" w:line="240" w:lineRule="auto"/>
        <w:jc w:val="center"/>
        <w:rPr>
          <w:rFonts w:ascii="Arial" w:hAnsi="Arial" w:cs="Arial"/>
          <w:b/>
          <w:color w:val="000000"/>
          <w:sz w:val="28"/>
          <w:szCs w:val="28"/>
        </w:rPr>
      </w:pPr>
      <w:r w:rsidRPr="00942DEB">
        <w:rPr>
          <w:rFonts w:ascii="Arial" w:hAnsi="Arial" w:cs="Arial"/>
          <w:b/>
          <w:color w:val="000000"/>
          <w:sz w:val="28"/>
          <w:szCs w:val="28"/>
        </w:rPr>
        <w:t>POUR L’UNIVERSITE DE LORRAINE</w:t>
      </w:r>
      <w:bookmarkEnd w:id="0"/>
    </w:p>
    <w:p w14:paraId="47520877" w14:textId="77777777" w:rsidR="00942DEB" w:rsidRPr="00162D45" w:rsidRDefault="00942DEB" w:rsidP="001E4F81">
      <w:pPr>
        <w:widowControl w:val="0"/>
        <w:autoSpaceDE w:val="0"/>
        <w:spacing w:after="0" w:line="240" w:lineRule="auto"/>
        <w:jc w:val="center"/>
        <w:rPr>
          <w:rFonts w:ascii="Arial" w:hAnsi="Arial" w:cs="Arial"/>
          <w:b/>
          <w:color w:val="000000"/>
        </w:rPr>
      </w:pPr>
    </w:p>
    <w:p w14:paraId="01E76740" w14:textId="677BD712" w:rsidR="009A4F96" w:rsidRDefault="009A4F96" w:rsidP="001E4F81">
      <w:pPr>
        <w:widowControl w:val="0"/>
        <w:autoSpaceDE w:val="0"/>
        <w:spacing w:after="0" w:line="240" w:lineRule="auto"/>
        <w:jc w:val="center"/>
        <w:rPr>
          <w:rFonts w:ascii="Arial" w:hAnsi="Arial" w:cs="Arial"/>
          <w:b/>
          <w:color w:val="000000"/>
          <w:sz w:val="36"/>
          <w:szCs w:val="36"/>
        </w:rPr>
      </w:pPr>
      <w:r w:rsidRPr="00162D45">
        <w:rPr>
          <w:rFonts w:ascii="Arial" w:hAnsi="Arial" w:cs="Arial"/>
          <w:b/>
          <w:color w:val="000000"/>
          <w:sz w:val="36"/>
          <w:szCs w:val="36"/>
        </w:rPr>
        <w:t>REGLEMENT DE LA CONSULTATION</w:t>
      </w:r>
    </w:p>
    <w:p w14:paraId="14F6B4DE" w14:textId="77777777" w:rsidR="001E4F81" w:rsidRPr="00162D45" w:rsidRDefault="001E4F81" w:rsidP="001E4F81">
      <w:pPr>
        <w:widowControl w:val="0"/>
        <w:autoSpaceDE w:val="0"/>
        <w:spacing w:after="0" w:line="240" w:lineRule="auto"/>
        <w:jc w:val="center"/>
        <w:rPr>
          <w:rFonts w:ascii="Arial" w:hAnsi="Arial" w:cs="Arial"/>
          <w:b/>
          <w:color w:val="000000"/>
          <w:sz w:val="36"/>
          <w:szCs w:val="36"/>
        </w:rPr>
      </w:pPr>
    </w:p>
    <w:p w14:paraId="2570C0F8" w14:textId="77777777" w:rsidR="009A4F96" w:rsidRPr="00162D45" w:rsidRDefault="009A4F96" w:rsidP="001E4F81">
      <w:pPr>
        <w:widowControl w:val="0"/>
        <w:autoSpaceDE w:val="0"/>
        <w:spacing w:after="0" w:line="240" w:lineRule="auto"/>
        <w:jc w:val="center"/>
        <w:rPr>
          <w:rFonts w:ascii="Arial" w:hAnsi="Arial" w:cs="Arial"/>
          <w:b/>
          <w:color w:val="000000"/>
          <w:sz w:val="32"/>
          <w:szCs w:val="32"/>
        </w:rPr>
      </w:pPr>
      <w:r w:rsidRPr="00162D45">
        <w:rPr>
          <w:rFonts w:ascii="Arial" w:hAnsi="Arial" w:cs="Arial"/>
          <w:b/>
          <w:color w:val="000000"/>
          <w:sz w:val="32"/>
          <w:szCs w:val="32"/>
        </w:rPr>
        <w:t>APPEL D’OFFRES OUVERT</w:t>
      </w:r>
    </w:p>
    <w:p w14:paraId="5B08463F" w14:textId="77777777" w:rsidR="001E4F81" w:rsidRDefault="001E4F81" w:rsidP="001E4F81">
      <w:pPr>
        <w:widowControl w:val="0"/>
        <w:autoSpaceDE w:val="0"/>
        <w:spacing w:after="0" w:line="240" w:lineRule="auto"/>
        <w:contextualSpacing/>
        <w:rPr>
          <w:rFonts w:ascii="Arial" w:hAnsi="Arial" w:cs="Arial"/>
          <w:color w:val="000000"/>
        </w:rPr>
      </w:pPr>
    </w:p>
    <w:p w14:paraId="34F2095B" w14:textId="77777777" w:rsidR="001E4F81" w:rsidRDefault="001E4F81" w:rsidP="001E4F81">
      <w:pPr>
        <w:widowControl w:val="0"/>
        <w:autoSpaceDE w:val="0"/>
        <w:spacing w:after="0" w:line="240" w:lineRule="auto"/>
        <w:contextualSpacing/>
        <w:rPr>
          <w:rFonts w:ascii="Arial" w:hAnsi="Arial" w:cs="Arial"/>
          <w:color w:val="000000"/>
        </w:rPr>
      </w:pPr>
    </w:p>
    <w:p w14:paraId="380D9416" w14:textId="445DACFE" w:rsidR="00AA73D0" w:rsidRDefault="00AA73D0" w:rsidP="001E4F81">
      <w:pPr>
        <w:widowControl w:val="0"/>
        <w:autoSpaceDE w:val="0"/>
        <w:spacing w:after="0" w:line="240" w:lineRule="auto"/>
        <w:contextualSpacing/>
        <w:rPr>
          <w:rFonts w:ascii="Arial" w:hAnsi="Arial" w:cs="Arial"/>
          <w:color w:val="000000"/>
        </w:rPr>
      </w:pPr>
      <w:r>
        <w:rPr>
          <w:rFonts w:ascii="Arial" w:hAnsi="Arial" w:cs="Arial"/>
          <w:color w:val="000000"/>
        </w:rPr>
        <w:t xml:space="preserve">Accord-cadre passé en application du Code de la Commande Publique (notamment ses articles R2161-2 à R2161-5 et R2162-1 à R2162-6) : </w:t>
      </w:r>
    </w:p>
    <w:p w14:paraId="58C26A4F" w14:textId="357530F7" w:rsidR="001E4F81" w:rsidRDefault="001E4F81" w:rsidP="001E4F81">
      <w:pPr>
        <w:widowControl w:val="0"/>
        <w:autoSpaceDE w:val="0"/>
        <w:spacing w:after="0" w:line="240" w:lineRule="auto"/>
        <w:contextualSpacing/>
        <w:rPr>
          <w:rFonts w:ascii="Arial" w:hAnsi="Arial" w:cs="Arial"/>
          <w:color w:val="000000"/>
        </w:rPr>
      </w:pPr>
    </w:p>
    <w:tbl>
      <w:tblPr>
        <w:tblStyle w:val="Grilledutableau"/>
        <w:tblW w:w="0" w:type="auto"/>
        <w:tblLook w:val="04A0" w:firstRow="1" w:lastRow="0" w:firstColumn="1" w:lastColumn="0" w:noHBand="0" w:noVBand="1"/>
      </w:tblPr>
      <w:tblGrid>
        <w:gridCol w:w="9212"/>
      </w:tblGrid>
      <w:tr w:rsidR="001E4F81" w14:paraId="717099A9" w14:textId="77777777" w:rsidTr="001E4F81">
        <w:trPr>
          <w:trHeight w:val="1662"/>
        </w:trPr>
        <w:tc>
          <w:tcPr>
            <w:tcW w:w="9212" w:type="dxa"/>
            <w:shd w:val="clear" w:color="auto" w:fill="D9D9D9" w:themeFill="background1" w:themeFillShade="D9"/>
            <w:vAlign w:val="center"/>
          </w:tcPr>
          <w:p w14:paraId="0E140F78" w14:textId="13C7DE45" w:rsidR="001E4F81" w:rsidRPr="001E4F81" w:rsidRDefault="001E4F81" w:rsidP="001E4F81">
            <w:pPr>
              <w:widowControl w:val="0"/>
              <w:autoSpaceDE w:val="0"/>
              <w:contextualSpacing/>
              <w:jc w:val="center"/>
              <w:rPr>
                <w:rFonts w:ascii="Arial" w:hAnsi="Arial" w:cs="Arial"/>
                <w:b/>
                <w:color w:val="000000"/>
                <w:sz w:val="26"/>
                <w:szCs w:val="26"/>
              </w:rPr>
            </w:pPr>
            <w:r w:rsidRPr="001E4F81">
              <w:rPr>
                <w:rFonts w:ascii="Arial" w:hAnsi="Arial" w:cs="Arial"/>
                <w:b/>
                <w:color w:val="000000"/>
                <w:sz w:val="26"/>
                <w:szCs w:val="26"/>
              </w:rPr>
              <w:t xml:space="preserve">Date limite de remise des plis : </w:t>
            </w:r>
            <w:r w:rsidRPr="001E4F81">
              <w:rPr>
                <w:rFonts w:ascii="Arial" w:hAnsi="Arial" w:cs="Arial"/>
                <w:b/>
                <w:color w:val="000000"/>
                <w:sz w:val="26"/>
                <w:szCs w:val="26"/>
                <w:highlight w:val="yellow"/>
              </w:rPr>
              <w:t>25/07/2025 à 16 heures</w:t>
            </w:r>
            <w:r w:rsidRPr="001E4F81">
              <w:rPr>
                <w:rFonts w:ascii="Arial" w:hAnsi="Arial" w:cs="Arial"/>
                <w:b/>
                <w:color w:val="000000"/>
                <w:sz w:val="26"/>
                <w:szCs w:val="26"/>
              </w:rPr>
              <w:t xml:space="preserve"> (Heure de Paris)</w:t>
            </w:r>
          </w:p>
          <w:p w14:paraId="75A6C1FF" w14:textId="77777777" w:rsidR="001E4F81" w:rsidRPr="001E4F81" w:rsidRDefault="001E4F81" w:rsidP="001E4F81">
            <w:pPr>
              <w:widowControl w:val="0"/>
              <w:autoSpaceDE w:val="0"/>
              <w:contextualSpacing/>
              <w:jc w:val="center"/>
              <w:rPr>
                <w:rFonts w:ascii="Arial" w:hAnsi="Arial" w:cs="Arial"/>
                <w:b/>
                <w:color w:val="000000"/>
              </w:rPr>
            </w:pPr>
          </w:p>
          <w:p w14:paraId="4BC8CD16" w14:textId="32A23494" w:rsidR="001E4F81" w:rsidRDefault="001E4F81" w:rsidP="001E4F81">
            <w:pPr>
              <w:widowControl w:val="0"/>
              <w:autoSpaceDE w:val="0"/>
              <w:contextualSpacing/>
              <w:jc w:val="center"/>
              <w:rPr>
                <w:rFonts w:ascii="Arial" w:hAnsi="Arial" w:cs="Arial"/>
                <w:color w:val="000000"/>
              </w:rPr>
            </w:pPr>
            <w:r w:rsidRPr="001E4F81">
              <w:rPr>
                <w:rFonts w:ascii="Arial" w:hAnsi="Arial" w:cs="Arial"/>
                <w:b/>
                <w:color w:val="000000"/>
              </w:rPr>
              <w:t>Attention, les réponses à la présente consultation doivent être remises exclusivement sous forme dématérialisée.</w:t>
            </w:r>
          </w:p>
        </w:tc>
      </w:tr>
    </w:tbl>
    <w:p w14:paraId="6BE44C85" w14:textId="0B1D57CA" w:rsidR="001E4F81" w:rsidRDefault="001E4F81" w:rsidP="001E4F81">
      <w:pPr>
        <w:widowControl w:val="0"/>
        <w:autoSpaceDE w:val="0"/>
        <w:spacing w:after="0" w:line="240" w:lineRule="auto"/>
        <w:contextualSpacing/>
        <w:rPr>
          <w:rFonts w:ascii="Arial" w:hAnsi="Arial" w:cs="Arial"/>
          <w:color w:val="000000"/>
        </w:rPr>
      </w:pPr>
    </w:p>
    <w:p w14:paraId="7FBDA191" w14:textId="7A4933DF" w:rsidR="001E4F81" w:rsidRDefault="001E4F81">
      <w:pPr>
        <w:rPr>
          <w:rFonts w:ascii="Arial" w:hAnsi="Arial" w:cs="Arial"/>
          <w:color w:val="000000"/>
        </w:rPr>
      </w:pPr>
      <w:r>
        <w:rPr>
          <w:rFonts w:ascii="Arial" w:hAnsi="Arial" w:cs="Arial"/>
          <w:color w:val="000000"/>
        </w:rPr>
        <w:br w:type="page"/>
      </w:r>
    </w:p>
    <w:p w14:paraId="2D5176E3" w14:textId="77777777" w:rsidR="001E4F81" w:rsidRDefault="00F2023E"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bookmarkStart w:id="1" w:name="_Toc360780380"/>
      <w:r w:rsidRPr="00CA1775">
        <w:rPr>
          <w:rFonts w:ascii="Arial" w:eastAsia="Times New Roman" w:hAnsi="Arial" w:cs="Arial"/>
          <w:b/>
          <w:iCs/>
          <w:sz w:val="26"/>
          <w:szCs w:val="26"/>
          <w:lang w:eastAsia="ar-SA"/>
        </w:rPr>
        <w:lastRenderedPageBreak/>
        <w:t xml:space="preserve">Pouvoir adjudicateur et présentation des lots </w:t>
      </w:r>
    </w:p>
    <w:p w14:paraId="566A76D3" w14:textId="5DFF7C53" w:rsidR="00F2023E" w:rsidRPr="001E4F81" w:rsidRDefault="00F2023E" w:rsidP="001E4F81">
      <w:pPr>
        <w:spacing w:after="0" w:line="240" w:lineRule="auto"/>
        <w:jc w:val="both"/>
        <w:rPr>
          <w:rFonts w:ascii="Arial" w:hAnsi="Arial" w:cs="Arial"/>
        </w:rPr>
      </w:pPr>
      <w:r w:rsidRPr="001E4F81">
        <w:rPr>
          <w:rFonts w:ascii="Arial" w:hAnsi="Arial" w:cs="Arial"/>
        </w:rPr>
        <w:t xml:space="preserve"> </w:t>
      </w:r>
      <w:bookmarkEnd w:id="1"/>
    </w:p>
    <w:p w14:paraId="4D5D6C5F" w14:textId="1E0AF7FB" w:rsidR="00F2023E" w:rsidRPr="00162D45" w:rsidRDefault="001E4F81" w:rsidP="001E4F81">
      <w:pPr>
        <w:keepNext/>
        <w:keepLines/>
        <w:spacing w:after="0" w:line="240" w:lineRule="auto"/>
        <w:contextualSpacing/>
        <w:jc w:val="both"/>
        <w:outlineLvl w:val="1"/>
        <w:rPr>
          <w:rFonts w:ascii="Arial" w:eastAsiaTheme="majorEastAsia" w:hAnsi="Arial" w:cs="Arial"/>
          <w:b/>
          <w:bCs/>
        </w:rPr>
      </w:pPr>
      <w:bookmarkStart w:id="2" w:name="_Toc360780381"/>
      <w:r>
        <w:rPr>
          <w:rFonts w:ascii="Arial" w:eastAsiaTheme="majorEastAsia" w:hAnsi="Arial" w:cs="Arial"/>
          <w:b/>
          <w:bCs/>
        </w:rPr>
        <w:t xml:space="preserve">1.1 </w:t>
      </w:r>
      <w:r w:rsidR="00F2023E" w:rsidRPr="00162D45">
        <w:rPr>
          <w:rFonts w:ascii="Arial" w:eastAsiaTheme="majorEastAsia" w:hAnsi="Arial" w:cs="Arial"/>
          <w:b/>
          <w:bCs/>
        </w:rPr>
        <w:t>- Pouvoir adjudicateur</w:t>
      </w:r>
    </w:p>
    <w:p w14:paraId="14134BAF" w14:textId="294AAA2C" w:rsidR="00F2023E" w:rsidRDefault="00F2023E" w:rsidP="001E4F81">
      <w:pPr>
        <w:spacing w:after="0" w:line="240" w:lineRule="auto"/>
        <w:jc w:val="both"/>
        <w:rPr>
          <w:rFonts w:ascii="Arial" w:hAnsi="Arial" w:cs="Arial"/>
          <w:lang w:eastAsia="ar-SA"/>
        </w:rPr>
      </w:pPr>
      <w:r w:rsidRPr="00162D45">
        <w:rPr>
          <w:rFonts w:ascii="Arial" w:hAnsi="Arial" w:cs="Arial"/>
          <w:lang w:eastAsia="ar-SA"/>
        </w:rPr>
        <w:br/>
        <w:t>La présente consultation est lancée par l’Université de Lorraine.</w:t>
      </w:r>
    </w:p>
    <w:p w14:paraId="306F2D4E" w14:textId="77777777" w:rsidR="001E4F81" w:rsidRPr="00162D45" w:rsidRDefault="001E4F81" w:rsidP="001E4F81">
      <w:pPr>
        <w:spacing w:after="0" w:line="240" w:lineRule="auto"/>
        <w:jc w:val="both"/>
        <w:rPr>
          <w:rFonts w:ascii="Arial" w:hAnsi="Arial" w:cs="Arial"/>
          <w:lang w:eastAsia="ar-SA"/>
        </w:rPr>
      </w:pPr>
    </w:p>
    <w:p w14:paraId="434B43E1" w14:textId="63359CD5" w:rsidR="00F2023E" w:rsidRPr="00162D45" w:rsidRDefault="001E4F81"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 xml:space="preserve">1.2 </w:t>
      </w:r>
      <w:r w:rsidR="00F2023E" w:rsidRPr="00162D45">
        <w:rPr>
          <w:rFonts w:ascii="Arial" w:eastAsiaTheme="majorEastAsia" w:hAnsi="Arial" w:cs="Arial"/>
          <w:b/>
          <w:bCs/>
        </w:rPr>
        <w:t>- Objet de la consultation</w:t>
      </w:r>
      <w:bookmarkEnd w:id="2"/>
    </w:p>
    <w:p w14:paraId="4C42C4ED" w14:textId="77777777" w:rsidR="00831138" w:rsidRPr="00AE11CF" w:rsidRDefault="00F2023E" w:rsidP="001E4F81">
      <w:pPr>
        <w:spacing w:after="0" w:line="240" w:lineRule="auto"/>
        <w:jc w:val="both"/>
        <w:rPr>
          <w:rFonts w:ascii="Arial" w:hAnsi="Arial" w:cs="Arial"/>
        </w:rPr>
      </w:pPr>
      <w:r w:rsidRPr="00162D45">
        <w:rPr>
          <w:rFonts w:ascii="Arial" w:hAnsi="Arial" w:cs="Arial"/>
          <w:lang w:eastAsia="ar-SA"/>
        </w:rPr>
        <w:br/>
      </w:r>
      <w:r w:rsidR="00831138" w:rsidRPr="00AE11CF">
        <w:rPr>
          <w:rFonts w:ascii="Arial" w:hAnsi="Arial" w:cs="Arial"/>
        </w:rPr>
        <w:t xml:space="preserve">Le présent accord-cadre a pour objet l’acquisition, la livraison et la garantie de matériaux, fournitures et consommables pour l’entretien et la maintenance des bâtiments de l’Université de Lorraine (outillages, quincaillerie et fournitures de travaux). </w:t>
      </w:r>
    </w:p>
    <w:p w14:paraId="3977D745" w14:textId="525970A1" w:rsidR="00F2023E" w:rsidRDefault="00F2023E" w:rsidP="001E4F81">
      <w:pPr>
        <w:spacing w:after="0" w:line="240" w:lineRule="auto"/>
        <w:jc w:val="both"/>
        <w:rPr>
          <w:rFonts w:ascii="Arial" w:hAnsi="Arial" w:cs="Arial"/>
          <w:lang w:eastAsia="ar-SA"/>
        </w:rPr>
      </w:pPr>
    </w:p>
    <w:p w14:paraId="458A4550" w14:textId="01C721A2" w:rsidR="00B47BFD" w:rsidRPr="001E4F81" w:rsidRDefault="00B47BFD" w:rsidP="001E4F81">
      <w:pPr>
        <w:keepNext/>
        <w:keepLines/>
        <w:spacing w:after="0" w:line="240" w:lineRule="auto"/>
        <w:contextualSpacing/>
        <w:jc w:val="both"/>
        <w:outlineLvl w:val="1"/>
        <w:rPr>
          <w:rFonts w:ascii="Arial" w:eastAsiaTheme="majorEastAsia" w:hAnsi="Arial" w:cs="Arial"/>
          <w:b/>
          <w:bCs/>
        </w:rPr>
      </w:pPr>
      <w:r w:rsidRPr="001E4F81">
        <w:rPr>
          <w:rFonts w:ascii="Arial" w:eastAsiaTheme="majorEastAsia" w:hAnsi="Arial" w:cs="Arial"/>
          <w:b/>
          <w:bCs/>
        </w:rPr>
        <w:t xml:space="preserve">1.3 - </w:t>
      </w:r>
      <w:r w:rsidR="001E4F81">
        <w:rPr>
          <w:rFonts w:ascii="Arial" w:eastAsiaTheme="majorEastAsia" w:hAnsi="Arial" w:cs="Arial"/>
          <w:b/>
          <w:bCs/>
        </w:rPr>
        <w:t>Allotissement</w:t>
      </w:r>
    </w:p>
    <w:p w14:paraId="542E51DB" w14:textId="77777777" w:rsidR="001E4F81" w:rsidRDefault="001E4F81" w:rsidP="001E4F81">
      <w:pPr>
        <w:spacing w:after="0" w:line="240" w:lineRule="auto"/>
        <w:jc w:val="both"/>
        <w:rPr>
          <w:rFonts w:ascii="Arial" w:hAnsi="Arial" w:cs="Arial"/>
        </w:rPr>
      </w:pPr>
    </w:p>
    <w:p w14:paraId="2EF5EC6B" w14:textId="1007267D" w:rsidR="00917333" w:rsidRDefault="00917333" w:rsidP="001E4F81">
      <w:pPr>
        <w:spacing w:after="0" w:line="240" w:lineRule="auto"/>
        <w:jc w:val="both"/>
        <w:rPr>
          <w:rFonts w:ascii="Arial" w:hAnsi="Arial" w:cs="Arial"/>
        </w:rPr>
      </w:pPr>
      <w:r>
        <w:rPr>
          <w:rFonts w:ascii="Arial" w:hAnsi="Arial" w:cs="Arial"/>
        </w:rPr>
        <w:t xml:space="preserve">Il est décomposé en plusieurs lots, définis comme suit : </w:t>
      </w:r>
    </w:p>
    <w:p w14:paraId="7D5C3A69" w14:textId="77777777" w:rsidR="001E4F81" w:rsidRDefault="001E4F81" w:rsidP="001E4F81">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988"/>
        <w:gridCol w:w="8074"/>
      </w:tblGrid>
      <w:tr w:rsidR="00917333" w14:paraId="7133D97B"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D7CDA5" w14:textId="77777777" w:rsidR="00917333" w:rsidRDefault="00917333" w:rsidP="001E4F81">
            <w:pPr>
              <w:jc w:val="center"/>
              <w:rPr>
                <w:rFonts w:ascii="Arial" w:hAnsi="Arial" w:cs="Arial"/>
                <w:b/>
                <w:szCs w:val="20"/>
              </w:rPr>
            </w:pPr>
            <w:bookmarkStart w:id="3" w:name="_Hlk66374308"/>
            <w:r>
              <w:rPr>
                <w:rFonts w:ascii="Arial" w:hAnsi="Arial" w:cs="Arial"/>
                <w:b/>
                <w:szCs w:val="20"/>
              </w:rPr>
              <w:t>Lot</w:t>
            </w:r>
          </w:p>
        </w:tc>
        <w:tc>
          <w:tcPr>
            <w:tcW w:w="80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F8DC9B" w14:textId="77777777" w:rsidR="00917333" w:rsidRDefault="00917333" w:rsidP="001E4F81">
            <w:pPr>
              <w:rPr>
                <w:rFonts w:ascii="Arial" w:hAnsi="Arial" w:cs="Arial"/>
                <w:b/>
                <w:szCs w:val="20"/>
              </w:rPr>
            </w:pPr>
            <w:r>
              <w:rPr>
                <w:rFonts w:ascii="Arial" w:hAnsi="Arial" w:cs="Arial"/>
                <w:b/>
                <w:szCs w:val="20"/>
              </w:rPr>
              <w:t>Désignation</w:t>
            </w:r>
          </w:p>
        </w:tc>
      </w:tr>
      <w:tr w:rsidR="00917333" w14:paraId="6DD50387"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6D2B4635" w14:textId="77777777" w:rsidR="00917333" w:rsidRDefault="00917333" w:rsidP="001E4F81">
            <w:pPr>
              <w:jc w:val="center"/>
              <w:rPr>
                <w:rFonts w:ascii="Arial" w:hAnsi="Arial" w:cs="Arial"/>
                <w:b/>
                <w:szCs w:val="20"/>
              </w:rPr>
            </w:pPr>
            <w:r>
              <w:rPr>
                <w:rFonts w:ascii="Arial" w:hAnsi="Arial" w:cs="Arial"/>
                <w:b/>
                <w:szCs w:val="20"/>
              </w:rPr>
              <w:t>1</w:t>
            </w:r>
          </w:p>
        </w:tc>
        <w:tc>
          <w:tcPr>
            <w:tcW w:w="8074" w:type="dxa"/>
            <w:tcBorders>
              <w:top w:val="single" w:sz="4" w:space="0" w:color="auto"/>
              <w:left w:val="single" w:sz="4" w:space="0" w:color="auto"/>
              <w:bottom w:val="single" w:sz="4" w:space="0" w:color="auto"/>
              <w:right w:val="single" w:sz="4" w:space="0" w:color="auto"/>
            </w:tcBorders>
            <w:vAlign w:val="center"/>
            <w:hideMark/>
          </w:tcPr>
          <w:p w14:paraId="30314947" w14:textId="77777777" w:rsidR="00917333" w:rsidRDefault="00917333" w:rsidP="001E4F81">
            <w:pPr>
              <w:ind w:right="25"/>
              <w:rPr>
                <w:rFonts w:ascii="Arial" w:hAnsi="Arial" w:cs="Arial"/>
                <w:szCs w:val="20"/>
              </w:rPr>
            </w:pPr>
            <w:r>
              <w:rPr>
                <w:rFonts w:ascii="Arial" w:hAnsi="Arial" w:cs="Arial"/>
                <w:szCs w:val="20"/>
              </w:rPr>
              <w:t>Outillages portatifs manuels et électriques et consommables associés</w:t>
            </w:r>
          </w:p>
        </w:tc>
      </w:tr>
      <w:tr w:rsidR="00917333" w14:paraId="50845AF0"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1FF550F9" w14:textId="77777777" w:rsidR="00917333" w:rsidRDefault="00917333" w:rsidP="001E4F81">
            <w:pPr>
              <w:jc w:val="center"/>
              <w:rPr>
                <w:rFonts w:ascii="Arial" w:hAnsi="Arial" w:cs="Arial"/>
                <w:b/>
                <w:szCs w:val="20"/>
              </w:rPr>
            </w:pPr>
            <w:r>
              <w:rPr>
                <w:rFonts w:ascii="Arial" w:hAnsi="Arial" w:cs="Arial"/>
                <w:b/>
                <w:szCs w:val="20"/>
              </w:rPr>
              <w:t>2</w:t>
            </w:r>
          </w:p>
        </w:tc>
        <w:tc>
          <w:tcPr>
            <w:tcW w:w="8074" w:type="dxa"/>
            <w:tcBorders>
              <w:top w:val="single" w:sz="4" w:space="0" w:color="auto"/>
              <w:left w:val="single" w:sz="4" w:space="0" w:color="auto"/>
              <w:bottom w:val="single" w:sz="4" w:space="0" w:color="auto"/>
              <w:right w:val="single" w:sz="4" w:space="0" w:color="auto"/>
            </w:tcBorders>
            <w:vAlign w:val="center"/>
            <w:hideMark/>
          </w:tcPr>
          <w:p w14:paraId="21302EE9" w14:textId="77777777" w:rsidR="00917333" w:rsidRDefault="00917333" w:rsidP="001E4F81">
            <w:pPr>
              <w:ind w:right="25"/>
              <w:rPr>
                <w:rFonts w:ascii="Arial" w:hAnsi="Arial" w:cs="Arial"/>
                <w:szCs w:val="20"/>
              </w:rPr>
            </w:pPr>
            <w:r>
              <w:rPr>
                <w:rFonts w:ascii="Arial" w:hAnsi="Arial" w:cs="Arial"/>
                <w:szCs w:val="20"/>
              </w:rPr>
              <w:t>Equipements de protection individuelle</w:t>
            </w:r>
          </w:p>
        </w:tc>
      </w:tr>
      <w:tr w:rsidR="00917333" w14:paraId="40289AA9"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00A18F2B" w14:textId="77777777" w:rsidR="00917333" w:rsidRDefault="00917333" w:rsidP="001E4F81">
            <w:pPr>
              <w:jc w:val="center"/>
              <w:rPr>
                <w:rFonts w:ascii="Arial" w:hAnsi="Arial" w:cs="Arial"/>
                <w:b/>
                <w:szCs w:val="20"/>
              </w:rPr>
            </w:pPr>
            <w:r>
              <w:rPr>
                <w:rFonts w:ascii="Arial" w:hAnsi="Arial" w:cs="Arial"/>
                <w:b/>
                <w:szCs w:val="20"/>
              </w:rPr>
              <w:t>3</w:t>
            </w:r>
          </w:p>
        </w:tc>
        <w:tc>
          <w:tcPr>
            <w:tcW w:w="8074" w:type="dxa"/>
            <w:tcBorders>
              <w:top w:val="single" w:sz="4" w:space="0" w:color="auto"/>
              <w:left w:val="single" w:sz="4" w:space="0" w:color="auto"/>
              <w:bottom w:val="single" w:sz="4" w:space="0" w:color="auto"/>
              <w:right w:val="single" w:sz="4" w:space="0" w:color="auto"/>
            </w:tcBorders>
            <w:vAlign w:val="center"/>
            <w:hideMark/>
          </w:tcPr>
          <w:p w14:paraId="50FE2043" w14:textId="77777777" w:rsidR="00917333" w:rsidRDefault="00917333" w:rsidP="001E4F81">
            <w:pPr>
              <w:ind w:right="25"/>
              <w:rPr>
                <w:rFonts w:ascii="Arial" w:hAnsi="Arial" w:cs="Arial"/>
                <w:szCs w:val="20"/>
              </w:rPr>
            </w:pPr>
            <w:r>
              <w:rPr>
                <w:rFonts w:ascii="Arial" w:hAnsi="Arial" w:cs="Arial"/>
                <w:szCs w:val="20"/>
              </w:rPr>
              <w:t>Quincaillerie et serrurerie</w:t>
            </w:r>
          </w:p>
        </w:tc>
      </w:tr>
      <w:tr w:rsidR="00917333" w14:paraId="1DA906C1"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70C20F0C" w14:textId="77777777" w:rsidR="00917333" w:rsidRDefault="00917333" w:rsidP="001E4F81">
            <w:pPr>
              <w:jc w:val="center"/>
              <w:rPr>
                <w:rFonts w:ascii="Arial" w:hAnsi="Arial" w:cs="Arial"/>
                <w:b/>
                <w:szCs w:val="20"/>
              </w:rPr>
            </w:pPr>
            <w:r>
              <w:rPr>
                <w:rFonts w:ascii="Arial" w:hAnsi="Arial" w:cs="Arial"/>
                <w:b/>
                <w:szCs w:val="20"/>
              </w:rPr>
              <w:t>4</w:t>
            </w:r>
          </w:p>
        </w:tc>
        <w:tc>
          <w:tcPr>
            <w:tcW w:w="8074" w:type="dxa"/>
            <w:tcBorders>
              <w:top w:val="single" w:sz="4" w:space="0" w:color="auto"/>
              <w:left w:val="single" w:sz="4" w:space="0" w:color="auto"/>
              <w:bottom w:val="single" w:sz="4" w:space="0" w:color="auto"/>
              <w:right w:val="single" w:sz="4" w:space="0" w:color="auto"/>
            </w:tcBorders>
            <w:vAlign w:val="center"/>
            <w:hideMark/>
          </w:tcPr>
          <w:p w14:paraId="5FC82E67" w14:textId="77777777" w:rsidR="00917333" w:rsidRDefault="00917333" w:rsidP="001E4F81">
            <w:pPr>
              <w:ind w:right="25"/>
              <w:rPr>
                <w:rFonts w:ascii="Arial" w:hAnsi="Arial" w:cs="Arial"/>
                <w:szCs w:val="20"/>
              </w:rPr>
            </w:pPr>
            <w:bookmarkStart w:id="4" w:name="_Hlk65851766"/>
            <w:r>
              <w:rPr>
                <w:rFonts w:ascii="Arial" w:hAnsi="Arial" w:cs="Arial"/>
                <w:szCs w:val="20"/>
              </w:rPr>
              <w:t>Matériels et équipements électriques des bâtiments, et outillages spécifiques</w:t>
            </w:r>
            <w:bookmarkEnd w:id="4"/>
          </w:p>
        </w:tc>
      </w:tr>
      <w:tr w:rsidR="00917333" w14:paraId="371B1C3E"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7874CBB6" w14:textId="77777777" w:rsidR="00917333" w:rsidRDefault="00917333" w:rsidP="001E4F81">
            <w:pPr>
              <w:jc w:val="center"/>
              <w:rPr>
                <w:rFonts w:ascii="Arial" w:hAnsi="Arial" w:cs="Arial"/>
                <w:b/>
                <w:szCs w:val="20"/>
              </w:rPr>
            </w:pPr>
            <w:r>
              <w:rPr>
                <w:rFonts w:ascii="Arial" w:hAnsi="Arial" w:cs="Arial"/>
                <w:b/>
                <w:szCs w:val="20"/>
              </w:rPr>
              <w:t>5</w:t>
            </w:r>
          </w:p>
        </w:tc>
        <w:tc>
          <w:tcPr>
            <w:tcW w:w="8074" w:type="dxa"/>
            <w:tcBorders>
              <w:top w:val="single" w:sz="4" w:space="0" w:color="auto"/>
              <w:left w:val="single" w:sz="4" w:space="0" w:color="auto"/>
              <w:bottom w:val="single" w:sz="4" w:space="0" w:color="auto"/>
              <w:right w:val="single" w:sz="4" w:space="0" w:color="auto"/>
            </w:tcBorders>
            <w:vAlign w:val="center"/>
            <w:hideMark/>
          </w:tcPr>
          <w:p w14:paraId="33B80EC3" w14:textId="77777777" w:rsidR="00917333" w:rsidRDefault="00917333" w:rsidP="001E4F81">
            <w:pPr>
              <w:ind w:right="25"/>
              <w:rPr>
                <w:rFonts w:ascii="Arial" w:hAnsi="Arial" w:cs="Arial"/>
                <w:szCs w:val="20"/>
              </w:rPr>
            </w:pPr>
            <w:bookmarkStart w:id="5" w:name="_Hlk67314174"/>
            <w:r>
              <w:rPr>
                <w:rFonts w:ascii="Arial" w:hAnsi="Arial" w:cs="Arial"/>
                <w:szCs w:val="20"/>
              </w:rPr>
              <w:t>Eclairages intérieurs, extérieurs (hors éclairage public) et accessoires</w:t>
            </w:r>
            <w:bookmarkEnd w:id="5"/>
          </w:p>
        </w:tc>
      </w:tr>
      <w:tr w:rsidR="00917333" w14:paraId="2D6AF557"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2617425A" w14:textId="77777777" w:rsidR="00917333" w:rsidRDefault="00917333" w:rsidP="001E4F81">
            <w:pPr>
              <w:jc w:val="center"/>
              <w:rPr>
                <w:rFonts w:ascii="Arial" w:hAnsi="Arial" w:cs="Arial"/>
                <w:b/>
                <w:szCs w:val="20"/>
              </w:rPr>
            </w:pPr>
            <w:r>
              <w:rPr>
                <w:rFonts w:ascii="Arial" w:hAnsi="Arial" w:cs="Arial"/>
                <w:b/>
                <w:szCs w:val="20"/>
              </w:rPr>
              <w:t>6</w:t>
            </w:r>
          </w:p>
        </w:tc>
        <w:tc>
          <w:tcPr>
            <w:tcW w:w="8074" w:type="dxa"/>
            <w:tcBorders>
              <w:top w:val="single" w:sz="4" w:space="0" w:color="auto"/>
              <w:left w:val="single" w:sz="4" w:space="0" w:color="auto"/>
              <w:bottom w:val="single" w:sz="4" w:space="0" w:color="auto"/>
              <w:right w:val="single" w:sz="4" w:space="0" w:color="auto"/>
            </w:tcBorders>
            <w:vAlign w:val="center"/>
            <w:hideMark/>
          </w:tcPr>
          <w:p w14:paraId="655949A4" w14:textId="77777777" w:rsidR="00917333" w:rsidRDefault="00917333" w:rsidP="001E4F81">
            <w:pPr>
              <w:ind w:right="25"/>
              <w:rPr>
                <w:rFonts w:ascii="Arial" w:hAnsi="Arial" w:cs="Arial"/>
                <w:szCs w:val="20"/>
              </w:rPr>
            </w:pPr>
            <w:r>
              <w:rPr>
                <w:rFonts w:ascii="Arial" w:hAnsi="Arial" w:cs="Arial"/>
                <w:szCs w:val="20"/>
              </w:rPr>
              <w:t>Plomberie, ventilation, chauffage, et outillages spécifiques</w:t>
            </w:r>
          </w:p>
        </w:tc>
      </w:tr>
      <w:tr w:rsidR="00917333" w14:paraId="1978C79A"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7B52DF7F" w14:textId="77777777" w:rsidR="00917333" w:rsidRDefault="00917333" w:rsidP="001E4F81">
            <w:pPr>
              <w:jc w:val="center"/>
              <w:rPr>
                <w:rFonts w:ascii="Arial" w:hAnsi="Arial" w:cs="Arial"/>
                <w:b/>
                <w:szCs w:val="20"/>
              </w:rPr>
            </w:pPr>
            <w:r>
              <w:rPr>
                <w:rFonts w:ascii="Arial" w:hAnsi="Arial" w:cs="Arial"/>
                <w:b/>
                <w:szCs w:val="20"/>
              </w:rPr>
              <w:t>7</w:t>
            </w:r>
          </w:p>
        </w:tc>
        <w:tc>
          <w:tcPr>
            <w:tcW w:w="8074" w:type="dxa"/>
            <w:tcBorders>
              <w:top w:val="single" w:sz="4" w:space="0" w:color="auto"/>
              <w:left w:val="single" w:sz="4" w:space="0" w:color="auto"/>
              <w:bottom w:val="single" w:sz="4" w:space="0" w:color="auto"/>
              <w:right w:val="single" w:sz="4" w:space="0" w:color="auto"/>
            </w:tcBorders>
            <w:vAlign w:val="center"/>
            <w:hideMark/>
          </w:tcPr>
          <w:p w14:paraId="3555039F" w14:textId="77777777" w:rsidR="00917333" w:rsidRDefault="00917333" w:rsidP="001E4F81">
            <w:pPr>
              <w:ind w:right="25"/>
              <w:rPr>
                <w:rFonts w:ascii="Arial" w:hAnsi="Arial" w:cs="Arial"/>
                <w:szCs w:val="20"/>
              </w:rPr>
            </w:pPr>
            <w:r>
              <w:rPr>
                <w:rFonts w:ascii="Arial" w:hAnsi="Arial" w:cs="Arial"/>
                <w:szCs w:val="20"/>
              </w:rPr>
              <w:t>Peintures, habillage et finition des murs, sols souples, et outillages spécifiques</w:t>
            </w:r>
          </w:p>
        </w:tc>
      </w:tr>
      <w:tr w:rsidR="00917333" w14:paraId="75FBEAB7"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498E1472" w14:textId="77777777" w:rsidR="00917333" w:rsidRDefault="00917333" w:rsidP="001E4F81">
            <w:pPr>
              <w:jc w:val="center"/>
              <w:rPr>
                <w:rFonts w:ascii="Arial" w:hAnsi="Arial" w:cs="Arial"/>
                <w:b/>
                <w:szCs w:val="20"/>
              </w:rPr>
            </w:pPr>
            <w:r>
              <w:rPr>
                <w:rFonts w:ascii="Arial" w:hAnsi="Arial" w:cs="Arial"/>
                <w:b/>
                <w:szCs w:val="20"/>
              </w:rPr>
              <w:t>8</w:t>
            </w:r>
          </w:p>
        </w:tc>
        <w:tc>
          <w:tcPr>
            <w:tcW w:w="8074" w:type="dxa"/>
            <w:tcBorders>
              <w:top w:val="single" w:sz="4" w:space="0" w:color="auto"/>
              <w:left w:val="single" w:sz="4" w:space="0" w:color="auto"/>
              <w:bottom w:val="single" w:sz="4" w:space="0" w:color="auto"/>
              <w:right w:val="single" w:sz="4" w:space="0" w:color="auto"/>
            </w:tcBorders>
            <w:vAlign w:val="center"/>
            <w:hideMark/>
          </w:tcPr>
          <w:p w14:paraId="6AB3276A" w14:textId="77777777" w:rsidR="00917333" w:rsidRDefault="00917333" w:rsidP="001E4F81">
            <w:pPr>
              <w:tabs>
                <w:tab w:val="left" w:pos="1418"/>
              </w:tabs>
              <w:rPr>
                <w:rFonts w:ascii="Arial" w:hAnsi="Arial" w:cs="Arial"/>
                <w:sz w:val="20"/>
                <w:szCs w:val="20"/>
              </w:rPr>
            </w:pPr>
            <w:r>
              <w:rPr>
                <w:rFonts w:ascii="Arial" w:hAnsi="Arial" w:cs="Arial"/>
                <w:szCs w:val="20"/>
              </w:rPr>
              <w:t>Bois Massifs, menuiserie d'intérieur et panneaux</w:t>
            </w:r>
          </w:p>
        </w:tc>
      </w:tr>
      <w:tr w:rsidR="00917333" w14:paraId="5F9E4155" w14:textId="77777777" w:rsidTr="00917333">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5C686D2F" w14:textId="77777777" w:rsidR="00917333" w:rsidRDefault="00917333" w:rsidP="001E4F81">
            <w:pPr>
              <w:jc w:val="center"/>
              <w:rPr>
                <w:rFonts w:ascii="Arial" w:hAnsi="Arial" w:cs="Arial"/>
                <w:b/>
                <w:szCs w:val="20"/>
              </w:rPr>
            </w:pPr>
            <w:r>
              <w:rPr>
                <w:rFonts w:ascii="Arial" w:hAnsi="Arial" w:cs="Arial"/>
                <w:b/>
                <w:szCs w:val="20"/>
              </w:rPr>
              <w:t>9</w:t>
            </w:r>
          </w:p>
        </w:tc>
        <w:tc>
          <w:tcPr>
            <w:tcW w:w="8074" w:type="dxa"/>
            <w:tcBorders>
              <w:top w:val="single" w:sz="4" w:space="0" w:color="auto"/>
              <w:left w:val="single" w:sz="4" w:space="0" w:color="auto"/>
              <w:bottom w:val="single" w:sz="4" w:space="0" w:color="auto"/>
              <w:right w:val="single" w:sz="4" w:space="0" w:color="auto"/>
            </w:tcBorders>
            <w:vAlign w:val="center"/>
            <w:hideMark/>
          </w:tcPr>
          <w:p w14:paraId="2D3183E9" w14:textId="77777777" w:rsidR="00917333" w:rsidRDefault="00917333" w:rsidP="001E4F81">
            <w:pPr>
              <w:ind w:right="25"/>
              <w:rPr>
                <w:rFonts w:ascii="Arial" w:hAnsi="Arial" w:cs="Arial"/>
                <w:szCs w:val="20"/>
              </w:rPr>
            </w:pPr>
            <w:r>
              <w:rPr>
                <w:rFonts w:ascii="Arial" w:hAnsi="Arial" w:cs="Arial"/>
                <w:szCs w:val="20"/>
              </w:rPr>
              <w:t>Maçonnerie, cloisonnement et plafond</w:t>
            </w:r>
          </w:p>
        </w:tc>
      </w:tr>
      <w:bookmarkEnd w:id="3"/>
    </w:tbl>
    <w:p w14:paraId="553D42DA" w14:textId="77777777" w:rsidR="00917333" w:rsidRDefault="00917333" w:rsidP="001E4F81">
      <w:pPr>
        <w:spacing w:after="0" w:line="240" w:lineRule="auto"/>
        <w:jc w:val="both"/>
        <w:rPr>
          <w:rFonts w:ascii="Arial" w:eastAsia="Times New Roman" w:hAnsi="Arial" w:cs="Arial"/>
          <w:lang w:eastAsia="zh-CN"/>
        </w:rPr>
      </w:pPr>
    </w:p>
    <w:p w14:paraId="3D269167" w14:textId="5E51B0B0" w:rsidR="00B47BFD" w:rsidRPr="00CB2740" w:rsidRDefault="00B47BFD" w:rsidP="001E4F81">
      <w:pPr>
        <w:widowControl w:val="0"/>
        <w:autoSpaceDE w:val="0"/>
        <w:spacing w:after="0" w:line="240" w:lineRule="auto"/>
        <w:rPr>
          <w:rFonts w:ascii="Arial" w:hAnsi="Arial" w:cs="Arial"/>
          <w:color w:val="000000"/>
        </w:rPr>
      </w:pPr>
      <w:r w:rsidRPr="00CB2740">
        <w:rPr>
          <w:rFonts w:ascii="Arial" w:hAnsi="Arial" w:cs="Arial"/>
          <w:color w:val="000000"/>
        </w:rPr>
        <w:t xml:space="preserve">Les candidats pourront soumissionner à </w:t>
      </w:r>
      <w:r w:rsidR="00CB2740" w:rsidRPr="00CB2740">
        <w:rPr>
          <w:rFonts w:ascii="Arial" w:hAnsi="Arial" w:cs="Arial"/>
          <w:color w:val="000000"/>
        </w:rPr>
        <w:t xml:space="preserve">un ou plusieurs lots </w:t>
      </w:r>
      <w:r w:rsidRPr="00CB2740">
        <w:rPr>
          <w:rFonts w:ascii="Arial" w:hAnsi="Arial" w:cs="Arial"/>
          <w:color w:val="000000"/>
        </w:rPr>
        <w:t>de la consultation</w:t>
      </w:r>
      <w:r w:rsidR="00CB2740" w:rsidRPr="00CB2740">
        <w:rPr>
          <w:rFonts w:ascii="Arial" w:hAnsi="Arial" w:cs="Arial"/>
          <w:color w:val="000000"/>
        </w:rPr>
        <w:t>.</w:t>
      </w:r>
      <w:r w:rsidRPr="00CB2740">
        <w:rPr>
          <w:rFonts w:ascii="Arial" w:hAnsi="Arial" w:cs="Arial"/>
          <w:color w:val="000000"/>
        </w:rPr>
        <w:t xml:space="preserve"> </w:t>
      </w:r>
    </w:p>
    <w:p w14:paraId="77192A48" w14:textId="77777777" w:rsidR="00CB2740" w:rsidRPr="00B47BFD" w:rsidRDefault="00CB2740" w:rsidP="001E4F81">
      <w:pPr>
        <w:widowControl w:val="0"/>
        <w:autoSpaceDE w:val="0"/>
        <w:spacing w:after="0" w:line="240" w:lineRule="auto"/>
        <w:rPr>
          <w:rFonts w:ascii="Arial" w:hAnsi="Arial" w:cs="Arial"/>
          <w:color w:val="000000"/>
        </w:rPr>
      </w:pPr>
    </w:p>
    <w:p w14:paraId="5234B766" w14:textId="0EB3E51E" w:rsidR="00B47BFD" w:rsidRPr="00316808" w:rsidRDefault="004F3D85"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Pr>
          <w:rFonts w:ascii="Arial" w:eastAsia="Times New Roman" w:hAnsi="Arial" w:cs="Arial"/>
          <w:b/>
          <w:iCs/>
          <w:sz w:val="26"/>
          <w:szCs w:val="26"/>
          <w:lang w:eastAsia="ar-SA"/>
        </w:rPr>
        <w:t>Forme du contrat</w:t>
      </w:r>
    </w:p>
    <w:p w14:paraId="4B6CA1DD" w14:textId="374F975B" w:rsidR="00B47BFD" w:rsidRDefault="00B47BFD" w:rsidP="001E4F81">
      <w:pPr>
        <w:spacing w:after="0" w:line="240" w:lineRule="auto"/>
        <w:jc w:val="both"/>
        <w:rPr>
          <w:rFonts w:ascii="Arial" w:hAnsi="Arial" w:cs="Arial"/>
          <w:highlight w:val="cyan"/>
        </w:rPr>
      </w:pPr>
    </w:p>
    <w:p w14:paraId="6916B6BF" w14:textId="77777777" w:rsidR="00600260" w:rsidRDefault="00600260" w:rsidP="001E4F81">
      <w:pPr>
        <w:autoSpaceDE w:val="0"/>
        <w:spacing w:after="0" w:line="240" w:lineRule="auto"/>
        <w:jc w:val="both"/>
        <w:rPr>
          <w:rFonts w:ascii="Arial" w:hAnsi="Arial" w:cs="Arial"/>
          <w:b/>
        </w:rPr>
      </w:pPr>
      <w:r>
        <w:rPr>
          <w:rFonts w:ascii="Arial" w:hAnsi="Arial" w:cs="Arial"/>
        </w:rPr>
        <w:t xml:space="preserve">Le contrat conclu est un </w:t>
      </w:r>
      <w:r>
        <w:rPr>
          <w:rFonts w:ascii="Arial" w:hAnsi="Arial" w:cs="Arial"/>
          <w:b/>
        </w:rPr>
        <w:t xml:space="preserve">accord-cadre fixant toutes les stipulations contractuelles. Il s’exécute par l’émission de bons de commande, </w:t>
      </w:r>
      <w:r>
        <w:rPr>
          <w:rFonts w:ascii="Arial" w:hAnsi="Arial" w:cs="Arial"/>
        </w:rPr>
        <w:t>conformément aux articles R2162-13 et R2162-14 du Code de la Commande Publique.</w:t>
      </w:r>
      <w:r>
        <w:rPr>
          <w:rFonts w:ascii="Arial" w:hAnsi="Arial" w:cs="Arial"/>
          <w:b/>
        </w:rPr>
        <w:t xml:space="preserve"> </w:t>
      </w:r>
    </w:p>
    <w:p w14:paraId="276D9A3A" w14:textId="77777777" w:rsidR="00600260" w:rsidRDefault="00600260" w:rsidP="001E4F81">
      <w:pPr>
        <w:autoSpaceDE w:val="0"/>
        <w:spacing w:after="0" w:line="240" w:lineRule="auto"/>
        <w:jc w:val="both"/>
        <w:rPr>
          <w:rFonts w:ascii="Arial" w:hAnsi="Arial" w:cs="Arial"/>
          <w:b/>
          <w:highlight w:val="cyan"/>
        </w:rPr>
      </w:pPr>
    </w:p>
    <w:p w14:paraId="32C25892" w14:textId="77777777" w:rsidR="00600260" w:rsidRDefault="00600260" w:rsidP="001E4F81">
      <w:pPr>
        <w:autoSpaceDE w:val="0"/>
        <w:spacing w:after="0" w:line="240" w:lineRule="auto"/>
        <w:jc w:val="both"/>
        <w:rPr>
          <w:rFonts w:ascii="Arial" w:hAnsi="Arial" w:cs="Arial"/>
          <w:b/>
          <w:szCs w:val="20"/>
        </w:rPr>
      </w:pPr>
      <w:r>
        <w:rPr>
          <w:rFonts w:ascii="Arial" w:hAnsi="Arial" w:cs="Arial"/>
          <w:b/>
        </w:rPr>
        <w:t xml:space="preserve">Chaque lot de l’accord-cadre est conclu avec un titulaire. </w:t>
      </w:r>
    </w:p>
    <w:p w14:paraId="6606C1CF" w14:textId="77777777" w:rsidR="00600260" w:rsidRDefault="00600260" w:rsidP="001E4F81">
      <w:pPr>
        <w:autoSpaceDE w:val="0"/>
        <w:spacing w:after="0" w:line="240" w:lineRule="auto"/>
        <w:jc w:val="both"/>
        <w:rPr>
          <w:rFonts w:ascii="Arial" w:hAnsi="Arial" w:cs="Arial"/>
        </w:rPr>
      </w:pPr>
      <w:bookmarkStart w:id="6" w:name="_Hlk167778476"/>
    </w:p>
    <w:p w14:paraId="2C4601F6" w14:textId="4C024F89" w:rsidR="00600260" w:rsidRDefault="00600260" w:rsidP="001E4F81">
      <w:pPr>
        <w:autoSpaceDE w:val="0"/>
        <w:spacing w:after="0" w:line="240" w:lineRule="auto"/>
        <w:jc w:val="both"/>
        <w:rPr>
          <w:rFonts w:ascii="Arial" w:hAnsi="Arial" w:cs="Arial"/>
        </w:rPr>
      </w:pPr>
      <w:r>
        <w:rPr>
          <w:rFonts w:ascii="Arial" w:hAnsi="Arial" w:cs="Arial"/>
        </w:rPr>
        <w:t>Pour le lot n°1</w:t>
      </w:r>
      <w:r w:rsidR="001E4F81">
        <w:rPr>
          <w:rFonts w:ascii="Arial" w:hAnsi="Arial" w:cs="Arial"/>
        </w:rPr>
        <w:t>,</w:t>
      </w:r>
      <w:r>
        <w:rPr>
          <w:rFonts w:ascii="Arial" w:hAnsi="Arial" w:cs="Arial"/>
        </w:rPr>
        <w:t xml:space="preserve"> l’université s’engage sans minimum en valeur comme en quantité et avec un maximum de 700 000 € HT. </w:t>
      </w:r>
    </w:p>
    <w:p w14:paraId="14C5F317" w14:textId="77777777" w:rsidR="00600260" w:rsidRDefault="00600260" w:rsidP="001E4F81">
      <w:pPr>
        <w:autoSpaceDE w:val="0"/>
        <w:spacing w:after="0" w:line="240" w:lineRule="auto"/>
        <w:jc w:val="both"/>
        <w:rPr>
          <w:rFonts w:ascii="Arial" w:hAnsi="Arial" w:cs="Arial"/>
        </w:rPr>
      </w:pPr>
    </w:p>
    <w:p w14:paraId="090B8017" w14:textId="3E90971F" w:rsidR="00600260" w:rsidRDefault="00600260" w:rsidP="001E4F81">
      <w:pPr>
        <w:autoSpaceDE w:val="0"/>
        <w:spacing w:after="0" w:line="240" w:lineRule="auto"/>
        <w:jc w:val="both"/>
        <w:rPr>
          <w:rFonts w:ascii="Arial" w:hAnsi="Arial" w:cs="Arial"/>
        </w:rPr>
      </w:pPr>
      <w:r>
        <w:rPr>
          <w:rFonts w:ascii="Arial" w:hAnsi="Arial" w:cs="Arial"/>
        </w:rPr>
        <w:t>Pour le lot n°2</w:t>
      </w:r>
      <w:r w:rsidR="001E4F81">
        <w:rPr>
          <w:rFonts w:ascii="Arial" w:hAnsi="Arial" w:cs="Arial"/>
        </w:rPr>
        <w:t>,</w:t>
      </w:r>
      <w:r>
        <w:rPr>
          <w:rFonts w:ascii="Arial" w:hAnsi="Arial" w:cs="Arial"/>
        </w:rPr>
        <w:t xml:space="preserve"> l’université s’engage sans minimum en valeur comme en quantité et avec un maximum de 500 000 € HT. </w:t>
      </w:r>
    </w:p>
    <w:p w14:paraId="193DB7D1" w14:textId="77777777" w:rsidR="00600260" w:rsidRDefault="00600260" w:rsidP="001E4F81">
      <w:pPr>
        <w:autoSpaceDE w:val="0"/>
        <w:spacing w:after="0" w:line="240" w:lineRule="auto"/>
        <w:jc w:val="both"/>
        <w:rPr>
          <w:rFonts w:ascii="Arial" w:hAnsi="Arial" w:cs="Arial"/>
          <w:lang w:eastAsia="zh-CN"/>
        </w:rPr>
      </w:pPr>
    </w:p>
    <w:p w14:paraId="6FC18F03" w14:textId="77777777" w:rsidR="00600260" w:rsidRDefault="00600260" w:rsidP="001E4F81">
      <w:pPr>
        <w:autoSpaceDE w:val="0"/>
        <w:spacing w:after="0" w:line="240" w:lineRule="auto"/>
        <w:jc w:val="both"/>
        <w:rPr>
          <w:rFonts w:ascii="Arial" w:hAnsi="Arial" w:cs="Arial"/>
        </w:rPr>
      </w:pPr>
      <w:r>
        <w:rPr>
          <w:rFonts w:ascii="Arial" w:hAnsi="Arial" w:cs="Arial"/>
        </w:rPr>
        <w:t>Pour le lot n°3, l’université s’engage sans minimum en valeur comme en quantité et avec un maximum de 1 200 000 € HT.</w:t>
      </w:r>
    </w:p>
    <w:p w14:paraId="6F9847DE" w14:textId="77777777" w:rsidR="00600260" w:rsidRDefault="00600260" w:rsidP="001E4F81">
      <w:pPr>
        <w:autoSpaceDE w:val="0"/>
        <w:spacing w:after="0" w:line="240" w:lineRule="auto"/>
        <w:jc w:val="both"/>
        <w:rPr>
          <w:rFonts w:ascii="Arial" w:hAnsi="Arial" w:cs="Arial"/>
        </w:rPr>
      </w:pPr>
    </w:p>
    <w:p w14:paraId="5D4E2D18" w14:textId="18B3E332" w:rsidR="00600260" w:rsidRDefault="001E4F81" w:rsidP="001E4F81">
      <w:pPr>
        <w:autoSpaceDE w:val="0"/>
        <w:spacing w:after="0" w:line="240" w:lineRule="auto"/>
        <w:jc w:val="both"/>
        <w:rPr>
          <w:rFonts w:ascii="Arial" w:hAnsi="Arial" w:cs="Arial"/>
        </w:rPr>
      </w:pPr>
      <w:r>
        <w:rPr>
          <w:rFonts w:ascii="Arial" w:hAnsi="Arial" w:cs="Arial"/>
        </w:rPr>
        <w:t xml:space="preserve">Pour le lot n°4, l’université s’engage sans minimum en valeur comme en quantité et avec un maximum de 2 </w:t>
      </w:r>
      <w:r>
        <w:rPr>
          <w:rFonts w:ascii="Arial" w:hAnsi="Arial" w:cs="Arial"/>
        </w:rPr>
        <w:t>5</w:t>
      </w:r>
      <w:r>
        <w:rPr>
          <w:rFonts w:ascii="Arial" w:hAnsi="Arial" w:cs="Arial"/>
        </w:rPr>
        <w:t>00 000 € HT.</w:t>
      </w:r>
    </w:p>
    <w:p w14:paraId="5E2FFF22" w14:textId="77777777" w:rsidR="001E4F81" w:rsidRDefault="001E4F81" w:rsidP="001E4F81">
      <w:pPr>
        <w:autoSpaceDE w:val="0"/>
        <w:spacing w:after="0" w:line="240" w:lineRule="auto"/>
        <w:jc w:val="both"/>
        <w:rPr>
          <w:rFonts w:ascii="Arial" w:hAnsi="Arial" w:cs="Arial"/>
        </w:rPr>
      </w:pPr>
    </w:p>
    <w:p w14:paraId="1B24EA81" w14:textId="481FBBAC" w:rsidR="00600260" w:rsidRDefault="00600260" w:rsidP="001E4F81">
      <w:pPr>
        <w:autoSpaceDE w:val="0"/>
        <w:spacing w:after="0" w:line="240" w:lineRule="auto"/>
        <w:jc w:val="both"/>
        <w:rPr>
          <w:rFonts w:ascii="Arial" w:hAnsi="Arial" w:cs="Arial"/>
        </w:rPr>
      </w:pPr>
      <w:r>
        <w:rPr>
          <w:rFonts w:ascii="Arial" w:hAnsi="Arial" w:cs="Arial"/>
        </w:rPr>
        <w:t xml:space="preserve">Pour le lot n°5, l’université s’engage sans minimum en valeur comme en quantité et avec un maximum de 1 </w:t>
      </w:r>
      <w:r w:rsidR="001E4F81">
        <w:rPr>
          <w:rFonts w:ascii="Arial" w:hAnsi="Arial" w:cs="Arial"/>
        </w:rPr>
        <w:t>7</w:t>
      </w:r>
      <w:r>
        <w:rPr>
          <w:rFonts w:ascii="Arial" w:hAnsi="Arial" w:cs="Arial"/>
        </w:rPr>
        <w:t>00 000 € HT.</w:t>
      </w:r>
    </w:p>
    <w:p w14:paraId="72452935" w14:textId="77777777" w:rsidR="00600260" w:rsidRDefault="00600260" w:rsidP="001E4F81">
      <w:pPr>
        <w:autoSpaceDE w:val="0"/>
        <w:spacing w:after="0" w:line="240" w:lineRule="auto"/>
        <w:jc w:val="both"/>
        <w:rPr>
          <w:rFonts w:ascii="Arial" w:hAnsi="Arial" w:cs="Arial"/>
        </w:rPr>
      </w:pPr>
    </w:p>
    <w:p w14:paraId="624AC7FE" w14:textId="77777777" w:rsidR="00600260" w:rsidRDefault="00600260" w:rsidP="001E4F81">
      <w:pPr>
        <w:autoSpaceDE w:val="0"/>
        <w:spacing w:after="0" w:line="240" w:lineRule="auto"/>
        <w:jc w:val="both"/>
        <w:rPr>
          <w:rFonts w:ascii="Arial" w:hAnsi="Arial" w:cs="Arial"/>
        </w:rPr>
      </w:pPr>
      <w:r>
        <w:rPr>
          <w:rFonts w:ascii="Arial" w:hAnsi="Arial" w:cs="Arial"/>
        </w:rPr>
        <w:t>Et pour le lot n°6, l’université s’engage sans minimum en valeur comme en quantité et avec un maximum de 700 000 € HT.</w:t>
      </w:r>
    </w:p>
    <w:p w14:paraId="69E75149" w14:textId="77777777" w:rsidR="00600260" w:rsidRDefault="00600260" w:rsidP="001E4F81">
      <w:pPr>
        <w:autoSpaceDE w:val="0"/>
        <w:spacing w:after="0" w:line="240" w:lineRule="auto"/>
        <w:jc w:val="both"/>
        <w:rPr>
          <w:rFonts w:ascii="Arial" w:hAnsi="Arial" w:cs="Arial"/>
        </w:rPr>
      </w:pPr>
    </w:p>
    <w:p w14:paraId="6A263A94" w14:textId="511F2711" w:rsidR="00600260" w:rsidRDefault="00600260" w:rsidP="001E4F81">
      <w:pPr>
        <w:autoSpaceDE w:val="0"/>
        <w:spacing w:after="0" w:line="240" w:lineRule="auto"/>
        <w:jc w:val="both"/>
        <w:rPr>
          <w:rFonts w:ascii="Arial" w:hAnsi="Arial" w:cs="Arial"/>
          <w:lang w:eastAsia="zh-CN"/>
        </w:rPr>
      </w:pPr>
      <w:r>
        <w:rPr>
          <w:rFonts w:ascii="Arial" w:hAnsi="Arial" w:cs="Arial"/>
        </w:rPr>
        <w:t>Pour le lot n°7</w:t>
      </w:r>
      <w:r w:rsidR="001E4F81">
        <w:rPr>
          <w:rFonts w:ascii="Arial" w:hAnsi="Arial" w:cs="Arial"/>
        </w:rPr>
        <w:t>,</w:t>
      </w:r>
      <w:r>
        <w:rPr>
          <w:rFonts w:ascii="Arial" w:hAnsi="Arial" w:cs="Arial"/>
        </w:rPr>
        <w:t xml:space="preserve"> l’université s’engage sans minimum en valeur comme en quantité et avec un maximum de 700 000 € HT. </w:t>
      </w:r>
    </w:p>
    <w:p w14:paraId="57A23088" w14:textId="77777777" w:rsidR="00600260" w:rsidRDefault="00600260" w:rsidP="001E4F81">
      <w:pPr>
        <w:autoSpaceDE w:val="0"/>
        <w:spacing w:after="0" w:line="240" w:lineRule="auto"/>
        <w:jc w:val="both"/>
        <w:rPr>
          <w:rFonts w:ascii="Arial" w:hAnsi="Arial" w:cs="Arial"/>
        </w:rPr>
      </w:pPr>
    </w:p>
    <w:p w14:paraId="042CB969" w14:textId="332AA83E" w:rsidR="00600260" w:rsidRDefault="00600260" w:rsidP="001E4F81">
      <w:pPr>
        <w:autoSpaceDE w:val="0"/>
        <w:spacing w:after="0" w:line="240" w:lineRule="auto"/>
        <w:jc w:val="both"/>
        <w:rPr>
          <w:rFonts w:ascii="Arial" w:hAnsi="Arial" w:cs="Arial"/>
          <w:lang w:eastAsia="zh-CN"/>
        </w:rPr>
      </w:pPr>
      <w:r>
        <w:rPr>
          <w:rFonts w:ascii="Arial" w:hAnsi="Arial" w:cs="Arial"/>
        </w:rPr>
        <w:t>Pour le lot n°8</w:t>
      </w:r>
      <w:r w:rsidR="001E4F81">
        <w:rPr>
          <w:rFonts w:ascii="Arial" w:hAnsi="Arial" w:cs="Arial"/>
        </w:rPr>
        <w:t>,</w:t>
      </w:r>
      <w:r>
        <w:rPr>
          <w:rFonts w:ascii="Arial" w:hAnsi="Arial" w:cs="Arial"/>
        </w:rPr>
        <w:t xml:space="preserve"> l’université s’engage sans minimum en valeur comme en quantité et avec un maximum de 400 000 € HT. </w:t>
      </w:r>
    </w:p>
    <w:p w14:paraId="42D1A91E" w14:textId="77777777" w:rsidR="00600260" w:rsidRDefault="00600260" w:rsidP="001E4F81">
      <w:pPr>
        <w:autoSpaceDE w:val="0"/>
        <w:spacing w:after="0" w:line="240" w:lineRule="auto"/>
        <w:jc w:val="both"/>
        <w:rPr>
          <w:rFonts w:ascii="Arial" w:hAnsi="Arial" w:cs="Arial"/>
        </w:rPr>
      </w:pPr>
    </w:p>
    <w:p w14:paraId="0051B1AE" w14:textId="0685300A" w:rsidR="00600260" w:rsidRDefault="00600260" w:rsidP="001E4F81">
      <w:pPr>
        <w:autoSpaceDE w:val="0"/>
        <w:spacing w:after="0" w:line="240" w:lineRule="auto"/>
        <w:jc w:val="both"/>
        <w:rPr>
          <w:rFonts w:ascii="Arial" w:hAnsi="Arial" w:cs="Arial"/>
          <w:lang w:eastAsia="zh-CN"/>
        </w:rPr>
      </w:pPr>
      <w:r>
        <w:rPr>
          <w:rFonts w:ascii="Arial" w:hAnsi="Arial" w:cs="Arial"/>
        </w:rPr>
        <w:t>Pour le lot n°9</w:t>
      </w:r>
      <w:r w:rsidR="001E4F81">
        <w:rPr>
          <w:rFonts w:ascii="Arial" w:hAnsi="Arial" w:cs="Arial"/>
        </w:rPr>
        <w:t>,</w:t>
      </w:r>
      <w:r>
        <w:rPr>
          <w:rFonts w:ascii="Arial" w:hAnsi="Arial" w:cs="Arial"/>
        </w:rPr>
        <w:t xml:space="preserve"> l’université s’engage sans minimum en valeur comme en quantité et avec un maximum de 400 000 € HT. </w:t>
      </w:r>
    </w:p>
    <w:bookmarkEnd w:id="6"/>
    <w:p w14:paraId="4E665807" w14:textId="77777777" w:rsidR="000F5F01" w:rsidRDefault="000F5F01" w:rsidP="001E4F81">
      <w:pPr>
        <w:autoSpaceDE w:val="0"/>
        <w:spacing w:after="0" w:line="240" w:lineRule="auto"/>
        <w:jc w:val="both"/>
        <w:rPr>
          <w:rFonts w:ascii="Arial" w:hAnsi="Arial" w:cs="Arial"/>
        </w:rPr>
      </w:pPr>
    </w:p>
    <w:p w14:paraId="5FCA3608" w14:textId="77DDABF7" w:rsidR="00600260" w:rsidRDefault="00600260" w:rsidP="001E4F81">
      <w:pPr>
        <w:autoSpaceDE w:val="0"/>
        <w:spacing w:after="0" w:line="240" w:lineRule="auto"/>
        <w:jc w:val="both"/>
        <w:rPr>
          <w:rFonts w:ascii="Arial" w:hAnsi="Arial" w:cs="Arial"/>
        </w:rPr>
      </w:pPr>
      <w:r>
        <w:rPr>
          <w:rFonts w:ascii="Arial" w:hAnsi="Arial" w:cs="Arial"/>
        </w:rPr>
        <w:t>Les montants s’entendent sur toute la durée du contrat</w:t>
      </w:r>
    </w:p>
    <w:p w14:paraId="0E1B24A9" w14:textId="77777777" w:rsidR="001E4F81" w:rsidRDefault="001E4F81" w:rsidP="001E4F81">
      <w:pPr>
        <w:autoSpaceDE w:val="0"/>
        <w:spacing w:after="0" w:line="240" w:lineRule="auto"/>
        <w:jc w:val="both"/>
        <w:rPr>
          <w:rFonts w:ascii="Arial" w:hAnsi="Arial" w:cs="Arial"/>
        </w:rPr>
      </w:pPr>
    </w:p>
    <w:p w14:paraId="52B06B06" w14:textId="35820DEB" w:rsidR="001E4F81" w:rsidRDefault="00F2023E"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sidRPr="00316808">
        <w:rPr>
          <w:rFonts w:ascii="Arial" w:eastAsia="Times New Roman" w:hAnsi="Arial" w:cs="Arial"/>
          <w:b/>
          <w:iCs/>
          <w:sz w:val="26"/>
          <w:szCs w:val="26"/>
          <w:lang w:eastAsia="ar-SA"/>
        </w:rPr>
        <w:t>Variantes</w:t>
      </w:r>
      <w:r w:rsidR="00F8468E" w:rsidRPr="00316808">
        <w:rPr>
          <w:rFonts w:ascii="Arial" w:eastAsia="Times New Roman" w:hAnsi="Arial" w:cs="Arial"/>
          <w:b/>
          <w:iCs/>
          <w:sz w:val="26"/>
          <w:szCs w:val="26"/>
          <w:lang w:eastAsia="ar-SA"/>
        </w:rPr>
        <w:t xml:space="preserve"> et prestations supplémentaires éventuelles</w:t>
      </w:r>
    </w:p>
    <w:p w14:paraId="595CBBD3" w14:textId="77777777" w:rsidR="001E4F81" w:rsidRPr="001E4F81" w:rsidRDefault="001E4F81" w:rsidP="001E4F81">
      <w:pPr>
        <w:spacing w:after="0" w:line="240" w:lineRule="auto"/>
        <w:jc w:val="both"/>
        <w:rPr>
          <w:rFonts w:ascii="Arial" w:hAnsi="Arial" w:cs="Arial"/>
        </w:rPr>
      </w:pPr>
    </w:p>
    <w:p w14:paraId="2CE29C7B" w14:textId="79217107" w:rsidR="00476749" w:rsidRPr="00380756" w:rsidRDefault="00380756" w:rsidP="001E4F81">
      <w:pPr>
        <w:keepNext/>
        <w:keepLines/>
        <w:spacing w:after="0" w:line="240" w:lineRule="auto"/>
        <w:contextualSpacing/>
        <w:jc w:val="both"/>
        <w:outlineLvl w:val="1"/>
        <w:rPr>
          <w:rFonts w:ascii="Arial" w:eastAsiaTheme="majorEastAsia" w:hAnsi="Arial" w:cs="Arial"/>
          <w:b/>
          <w:bCs/>
        </w:rPr>
      </w:pPr>
      <w:r w:rsidRPr="00380756">
        <w:rPr>
          <w:rFonts w:ascii="Arial" w:eastAsiaTheme="majorEastAsia" w:hAnsi="Arial" w:cs="Arial"/>
          <w:b/>
          <w:bCs/>
        </w:rPr>
        <w:t xml:space="preserve">3.1 - </w:t>
      </w:r>
      <w:r w:rsidR="00476749" w:rsidRPr="00380756">
        <w:rPr>
          <w:rFonts w:ascii="Arial" w:eastAsiaTheme="majorEastAsia" w:hAnsi="Arial" w:cs="Arial"/>
          <w:b/>
          <w:bCs/>
        </w:rPr>
        <w:t>Variantes</w:t>
      </w:r>
      <w:r w:rsidR="00844522" w:rsidRPr="00380756">
        <w:rPr>
          <w:rFonts w:ascii="Arial" w:eastAsiaTheme="majorEastAsia" w:hAnsi="Arial" w:cs="Arial"/>
          <w:b/>
          <w:bCs/>
        </w:rPr>
        <w:t xml:space="preserve"> </w:t>
      </w:r>
      <w:r w:rsidR="00253BE5" w:rsidRPr="00380756">
        <w:rPr>
          <w:rFonts w:ascii="Arial" w:eastAsiaTheme="majorEastAsia" w:hAnsi="Arial" w:cs="Arial"/>
          <w:b/>
          <w:bCs/>
        </w:rPr>
        <w:t xml:space="preserve"> </w:t>
      </w:r>
    </w:p>
    <w:p w14:paraId="1597B0C1" w14:textId="77777777" w:rsidR="001E4F81" w:rsidRDefault="001E4F81" w:rsidP="001E4F81">
      <w:pPr>
        <w:spacing w:after="0" w:line="240" w:lineRule="auto"/>
        <w:jc w:val="both"/>
        <w:rPr>
          <w:rFonts w:ascii="Arial" w:hAnsi="Arial" w:cs="Arial"/>
        </w:rPr>
      </w:pPr>
    </w:p>
    <w:p w14:paraId="0C99D475" w14:textId="425A19AC" w:rsidR="00C92815" w:rsidRPr="00162D45" w:rsidRDefault="00C92815" w:rsidP="001E4F81">
      <w:pPr>
        <w:spacing w:after="0" w:line="240" w:lineRule="auto"/>
        <w:jc w:val="both"/>
        <w:rPr>
          <w:rFonts w:ascii="Arial" w:hAnsi="Arial" w:cs="Arial"/>
        </w:rPr>
      </w:pPr>
      <w:r w:rsidRPr="008027D5">
        <w:rPr>
          <w:rFonts w:ascii="Arial" w:hAnsi="Arial" w:cs="Arial"/>
        </w:rPr>
        <w:t>La présentation de variantes n’est pas autorisée.</w:t>
      </w:r>
      <w:r w:rsidRPr="00162D45">
        <w:rPr>
          <w:rFonts w:ascii="Arial" w:hAnsi="Arial" w:cs="Arial"/>
        </w:rPr>
        <w:t xml:space="preserve"> </w:t>
      </w:r>
    </w:p>
    <w:p w14:paraId="147D6EE2" w14:textId="7BA53E6A" w:rsidR="0096541F" w:rsidRDefault="0096541F" w:rsidP="001E4F81">
      <w:pPr>
        <w:widowControl w:val="0"/>
        <w:autoSpaceDE w:val="0"/>
        <w:spacing w:after="0" w:line="240" w:lineRule="auto"/>
        <w:jc w:val="both"/>
        <w:rPr>
          <w:rFonts w:ascii="Arial" w:hAnsi="Arial" w:cs="Arial"/>
        </w:rPr>
      </w:pPr>
    </w:p>
    <w:p w14:paraId="2A3EC82B" w14:textId="3CB3B2BC" w:rsidR="00476749" w:rsidRPr="00380756" w:rsidRDefault="00380756" w:rsidP="001E4F81">
      <w:pPr>
        <w:keepNext/>
        <w:keepLines/>
        <w:spacing w:after="0" w:line="240" w:lineRule="auto"/>
        <w:contextualSpacing/>
        <w:jc w:val="both"/>
        <w:outlineLvl w:val="1"/>
        <w:rPr>
          <w:rFonts w:ascii="Arial" w:eastAsiaTheme="majorEastAsia" w:hAnsi="Arial" w:cs="Arial"/>
          <w:b/>
          <w:bCs/>
        </w:rPr>
      </w:pPr>
      <w:r w:rsidRPr="00380756">
        <w:rPr>
          <w:rFonts w:ascii="Arial" w:eastAsiaTheme="majorEastAsia" w:hAnsi="Arial" w:cs="Arial"/>
          <w:b/>
          <w:bCs/>
        </w:rPr>
        <w:t xml:space="preserve">3.2 - </w:t>
      </w:r>
      <w:r w:rsidR="00F8468E" w:rsidRPr="00380756">
        <w:rPr>
          <w:rFonts w:ascii="Arial" w:eastAsiaTheme="majorEastAsia" w:hAnsi="Arial" w:cs="Arial"/>
          <w:b/>
          <w:bCs/>
        </w:rPr>
        <w:t>Prestations supplémentaires éventuelles</w:t>
      </w:r>
      <w:r w:rsidR="0096541F" w:rsidRPr="00380756">
        <w:rPr>
          <w:rFonts w:ascii="Arial" w:eastAsiaTheme="majorEastAsia" w:hAnsi="Arial" w:cs="Arial"/>
          <w:b/>
          <w:bCs/>
        </w:rPr>
        <w:t xml:space="preserve"> </w:t>
      </w:r>
      <w:r w:rsidR="002E4AB7" w:rsidRPr="00380756">
        <w:rPr>
          <w:rFonts w:ascii="Arial" w:eastAsiaTheme="majorEastAsia" w:hAnsi="Arial" w:cs="Arial"/>
          <w:b/>
          <w:bCs/>
        </w:rPr>
        <w:t>(PSE)</w:t>
      </w:r>
    </w:p>
    <w:p w14:paraId="6BF5F6B6" w14:textId="77777777" w:rsidR="001E4F81" w:rsidRDefault="001E4F81" w:rsidP="001E4F81">
      <w:pPr>
        <w:spacing w:after="0" w:line="240" w:lineRule="auto"/>
        <w:jc w:val="both"/>
        <w:rPr>
          <w:rFonts w:ascii="Arial" w:hAnsi="Arial" w:cs="Arial"/>
        </w:rPr>
      </w:pPr>
    </w:p>
    <w:p w14:paraId="4591E11A" w14:textId="7764AAB6" w:rsidR="00F8468E" w:rsidRPr="008027D5" w:rsidRDefault="00F8468E" w:rsidP="001E4F81">
      <w:pPr>
        <w:spacing w:after="0" w:line="240" w:lineRule="auto"/>
        <w:jc w:val="both"/>
        <w:rPr>
          <w:rFonts w:ascii="Arial" w:hAnsi="Arial" w:cs="Arial"/>
        </w:rPr>
      </w:pPr>
      <w:r w:rsidRPr="008027D5">
        <w:rPr>
          <w:rFonts w:ascii="Arial" w:hAnsi="Arial" w:cs="Arial"/>
        </w:rPr>
        <w:t xml:space="preserve">Le pouvoir adjudicateur </w:t>
      </w:r>
      <w:r w:rsidR="008027D5" w:rsidRPr="008027D5">
        <w:rPr>
          <w:rFonts w:ascii="Arial" w:hAnsi="Arial" w:cs="Arial"/>
        </w:rPr>
        <w:t xml:space="preserve">ne </w:t>
      </w:r>
      <w:r w:rsidRPr="008027D5">
        <w:rPr>
          <w:rFonts w:ascii="Arial" w:hAnsi="Arial" w:cs="Arial"/>
        </w:rPr>
        <w:t xml:space="preserve">définit </w:t>
      </w:r>
      <w:r w:rsidR="008027D5" w:rsidRPr="008027D5">
        <w:rPr>
          <w:rFonts w:ascii="Arial" w:hAnsi="Arial" w:cs="Arial"/>
        </w:rPr>
        <w:t xml:space="preserve">aucune </w:t>
      </w:r>
      <w:r w:rsidRPr="008027D5">
        <w:rPr>
          <w:rFonts w:ascii="Arial" w:hAnsi="Arial" w:cs="Arial"/>
        </w:rPr>
        <w:t xml:space="preserve">prestation supplémentaire éventuelle (PSE) </w:t>
      </w:r>
      <w:r w:rsidR="008027D5" w:rsidRPr="008027D5">
        <w:rPr>
          <w:rFonts w:ascii="Arial" w:hAnsi="Arial" w:cs="Arial"/>
        </w:rPr>
        <w:t>dans le cadre du présent accord-cadre.</w:t>
      </w:r>
      <w:r w:rsidRPr="008027D5">
        <w:rPr>
          <w:rFonts w:ascii="Arial" w:hAnsi="Arial" w:cs="Arial"/>
        </w:rPr>
        <w:t xml:space="preserve"> </w:t>
      </w:r>
    </w:p>
    <w:p w14:paraId="693E701B" w14:textId="3A1E5ED5" w:rsidR="00A71BEF" w:rsidRDefault="00A71BEF" w:rsidP="001E4F81">
      <w:pPr>
        <w:spacing w:after="0" w:line="240" w:lineRule="auto"/>
        <w:jc w:val="both"/>
        <w:rPr>
          <w:rFonts w:ascii="Arial" w:hAnsi="Arial" w:cs="Arial"/>
        </w:rPr>
      </w:pPr>
    </w:p>
    <w:p w14:paraId="517A46A0" w14:textId="77777777" w:rsidR="00A71BEF" w:rsidRDefault="00A71BEF"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Pr>
          <w:rFonts w:ascii="Arial" w:eastAsia="Times New Roman" w:hAnsi="Arial" w:cs="Arial"/>
          <w:b/>
          <w:iCs/>
          <w:sz w:val="26"/>
          <w:szCs w:val="26"/>
          <w:lang w:eastAsia="ar-SA"/>
        </w:rPr>
        <w:t>Accès au dossier de consultation et modalités de dépôt des réponses</w:t>
      </w:r>
    </w:p>
    <w:p w14:paraId="5AF43C31" w14:textId="77777777" w:rsidR="00A71BEF" w:rsidRPr="001E4F81" w:rsidRDefault="00A71BEF" w:rsidP="001E4F81">
      <w:pPr>
        <w:spacing w:after="0" w:line="240" w:lineRule="auto"/>
        <w:jc w:val="both"/>
        <w:rPr>
          <w:rFonts w:ascii="Arial" w:hAnsi="Arial" w:cs="Arial"/>
        </w:rPr>
      </w:pPr>
    </w:p>
    <w:p w14:paraId="66B61C5C" w14:textId="54DCB3BB" w:rsidR="00A71BEF" w:rsidRDefault="00A71BEF"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4</w:t>
      </w:r>
      <w:r w:rsidRPr="009D3599">
        <w:rPr>
          <w:rFonts w:ascii="Arial" w:eastAsiaTheme="majorEastAsia" w:hAnsi="Arial" w:cs="Arial"/>
          <w:b/>
          <w:bCs/>
        </w:rPr>
        <w:t xml:space="preserve">.1 </w:t>
      </w:r>
      <w:r w:rsidR="00380756">
        <w:rPr>
          <w:rFonts w:ascii="Arial" w:eastAsiaTheme="majorEastAsia" w:hAnsi="Arial" w:cs="Arial"/>
          <w:b/>
          <w:bCs/>
        </w:rPr>
        <w:t xml:space="preserve">- </w:t>
      </w:r>
      <w:r>
        <w:rPr>
          <w:rFonts w:ascii="Arial" w:eastAsiaTheme="majorEastAsia" w:hAnsi="Arial" w:cs="Arial"/>
          <w:b/>
          <w:bCs/>
        </w:rPr>
        <w:t>Accès au dossier de consultation</w:t>
      </w:r>
    </w:p>
    <w:p w14:paraId="736AD939" w14:textId="77777777" w:rsidR="00A71BEF" w:rsidRPr="001E4F81" w:rsidRDefault="00A71BEF" w:rsidP="001E4F81">
      <w:pPr>
        <w:spacing w:after="0" w:line="240" w:lineRule="auto"/>
        <w:jc w:val="both"/>
        <w:rPr>
          <w:rFonts w:ascii="Arial" w:hAnsi="Arial" w:cs="Arial"/>
        </w:rPr>
      </w:pPr>
    </w:p>
    <w:p w14:paraId="6DC8DCA4" w14:textId="77777777" w:rsidR="001E4F81" w:rsidRDefault="00A71BEF" w:rsidP="001E4F81">
      <w:pPr>
        <w:spacing w:after="0" w:line="240" w:lineRule="auto"/>
        <w:jc w:val="both"/>
        <w:rPr>
          <w:rFonts w:ascii="Arial" w:eastAsia="Calibri" w:hAnsi="Arial" w:cs="Arial"/>
          <w:color w:val="000000"/>
          <w:lang w:eastAsia="en-US"/>
        </w:rPr>
      </w:pPr>
      <w:r w:rsidRPr="00CD4796">
        <w:rPr>
          <w:rFonts w:ascii="Arial" w:hAnsi="Arial" w:cs="Arial"/>
        </w:rPr>
        <w:t>Le dossier de consultation peut être</w:t>
      </w:r>
      <w:r w:rsidR="001E4F81">
        <w:rPr>
          <w:rFonts w:ascii="Arial" w:hAnsi="Arial" w:cs="Arial"/>
        </w:rPr>
        <w:t xml:space="preserve"> </w:t>
      </w:r>
      <w:r w:rsidRPr="009D3599">
        <w:rPr>
          <w:rFonts w:ascii="Arial" w:eastAsia="Calibri" w:hAnsi="Arial" w:cs="Arial"/>
          <w:color w:val="000000"/>
          <w:lang w:eastAsia="en-US"/>
        </w:rPr>
        <w:t xml:space="preserve">retiré sur le site : </w:t>
      </w:r>
    </w:p>
    <w:p w14:paraId="0C47C304" w14:textId="50A091FA" w:rsidR="00A71BEF" w:rsidRPr="001E4F81" w:rsidRDefault="0040011F" w:rsidP="001E4F81">
      <w:pPr>
        <w:spacing w:after="0" w:line="240" w:lineRule="auto"/>
        <w:jc w:val="both"/>
        <w:rPr>
          <w:rFonts w:ascii="Arial" w:hAnsi="Arial" w:cs="Arial"/>
          <w:spacing w:val="-8"/>
        </w:rPr>
      </w:pPr>
      <w:hyperlink r:id="rId9" w:history="1">
        <w:r w:rsidR="001E4F81" w:rsidRPr="000967DB">
          <w:rPr>
            <w:rStyle w:val="Lienhypertexte"/>
            <w:rFonts w:ascii="Arial" w:hAnsi="Arial" w:cs="Arial"/>
            <w:spacing w:val="-8"/>
          </w:rPr>
          <w:t>https://www.marches-publics.gouv.fr/?page=entreprise.EntrepriseAdvancedSearch&amp;searchAnnCons</w:t>
        </w:r>
      </w:hyperlink>
    </w:p>
    <w:p w14:paraId="7B3E3BA4" w14:textId="39A60EED" w:rsidR="001E4F81" w:rsidRDefault="00A71BEF" w:rsidP="001E4F81">
      <w:pPr>
        <w:autoSpaceDE w:val="0"/>
        <w:autoSpaceDN w:val="0"/>
        <w:adjustRightInd w:val="0"/>
        <w:spacing w:after="0" w:line="240" w:lineRule="auto"/>
        <w:jc w:val="both"/>
        <w:rPr>
          <w:rFonts w:ascii="Arial" w:eastAsia="Calibri" w:hAnsi="Arial" w:cs="Arial"/>
          <w:color w:val="000000"/>
          <w:lang w:eastAsia="en-US"/>
        </w:rPr>
      </w:pPr>
      <w:r w:rsidRPr="009D3599">
        <w:rPr>
          <w:rFonts w:ascii="Arial" w:eastAsia="Calibri" w:hAnsi="Arial" w:cs="Arial"/>
          <w:color w:val="000000"/>
          <w:lang w:eastAsia="en-US"/>
        </w:rPr>
        <w:t xml:space="preserve">Dans la barre de recherche rapide, rechercher la consultation en spécifiant sa référence, soit </w:t>
      </w:r>
      <w:r w:rsidR="008027D5">
        <w:rPr>
          <w:rFonts w:ascii="Arial" w:eastAsia="Calibri" w:hAnsi="Arial" w:cs="Arial"/>
          <w:color w:val="000000"/>
          <w:lang w:eastAsia="en-US"/>
        </w:rPr>
        <w:t>25B03</w:t>
      </w:r>
      <w:r w:rsidRPr="009D3599">
        <w:rPr>
          <w:rFonts w:ascii="Arial" w:eastAsia="Calibri" w:hAnsi="Arial" w:cs="Arial"/>
          <w:color w:val="000000"/>
          <w:lang w:eastAsia="en-US"/>
        </w:rPr>
        <w:t xml:space="preserve"> et valider ladite recherche.</w:t>
      </w:r>
    </w:p>
    <w:p w14:paraId="32977549" w14:textId="77777777" w:rsidR="001E4F81" w:rsidRPr="009D3599" w:rsidRDefault="001E4F81" w:rsidP="001E4F81">
      <w:pPr>
        <w:autoSpaceDE w:val="0"/>
        <w:autoSpaceDN w:val="0"/>
        <w:adjustRightInd w:val="0"/>
        <w:spacing w:after="0" w:line="240" w:lineRule="auto"/>
        <w:jc w:val="both"/>
        <w:rPr>
          <w:rFonts w:ascii="Arial" w:eastAsia="Calibri" w:hAnsi="Arial" w:cs="Arial"/>
          <w:color w:val="000000"/>
          <w:lang w:eastAsia="en-US"/>
        </w:rPr>
      </w:pPr>
    </w:p>
    <w:p w14:paraId="05A1C75E" w14:textId="64E9D596" w:rsidR="00A71BEF" w:rsidRPr="001E4F81" w:rsidRDefault="001E4F81" w:rsidP="001E4F81">
      <w:pPr>
        <w:spacing w:after="0" w:line="240" w:lineRule="auto"/>
        <w:jc w:val="both"/>
        <w:rPr>
          <w:rStyle w:val="Lienhypertexte"/>
          <w:rFonts w:ascii="Arial" w:eastAsia="Calibri" w:hAnsi="Arial" w:cs="Arial"/>
          <w:lang w:eastAsia="en-US"/>
        </w:rPr>
      </w:pPr>
      <w:r w:rsidRPr="00CD4796">
        <w:rPr>
          <w:rFonts w:ascii="Arial" w:hAnsi="Arial" w:cs="Arial"/>
        </w:rPr>
        <w:t xml:space="preserve">Le dossier de consultation peut </w:t>
      </w:r>
      <w:r>
        <w:rPr>
          <w:rFonts w:ascii="Arial" w:hAnsi="Arial" w:cs="Arial"/>
        </w:rPr>
        <w:t>également être</w:t>
      </w:r>
      <w:r w:rsidR="00A71BEF" w:rsidRPr="009D3599">
        <w:rPr>
          <w:rFonts w:ascii="Arial" w:eastAsia="Calibri" w:hAnsi="Arial" w:cs="Arial"/>
          <w:color w:val="000000"/>
          <w:lang w:eastAsia="en-US"/>
        </w:rPr>
        <w:t xml:space="preserve"> demandé à l'adresse électronique suivante </w:t>
      </w:r>
      <w:r w:rsidR="00A71BEF" w:rsidRPr="00313C58">
        <w:rPr>
          <w:rFonts w:ascii="Arial" w:eastAsia="Calibri" w:hAnsi="Arial" w:cs="Arial"/>
          <w:color w:val="000000"/>
          <w:lang w:eastAsia="en-US"/>
        </w:rPr>
        <w:t xml:space="preserve">: </w:t>
      </w:r>
      <w:hyperlink r:id="rId10" w:history="1">
        <w:r w:rsidRPr="001E4F81">
          <w:rPr>
            <w:rStyle w:val="Lienhypertexte"/>
            <w:rFonts w:ascii="Arial" w:eastAsia="Calibri" w:hAnsi="Arial" w:cs="Arial"/>
            <w:lang w:eastAsia="en-US"/>
          </w:rPr>
          <w:t>dha-nancy@univ-lorraine.fr</w:t>
        </w:r>
      </w:hyperlink>
    </w:p>
    <w:p w14:paraId="505A3658" w14:textId="77777777" w:rsidR="001E4F81" w:rsidRDefault="001E4F81" w:rsidP="001E4F81">
      <w:pPr>
        <w:spacing w:after="0" w:line="240" w:lineRule="auto"/>
        <w:jc w:val="both"/>
        <w:rPr>
          <w:rStyle w:val="Lienhypertexte"/>
          <w:rFonts w:ascii="Arial" w:eastAsia="Calibri" w:hAnsi="Arial" w:cs="Arial"/>
          <w:lang w:eastAsia="en-US"/>
        </w:rPr>
      </w:pPr>
    </w:p>
    <w:p w14:paraId="1754E76F" w14:textId="42F66A76" w:rsidR="00865491" w:rsidRDefault="00865491"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4</w:t>
      </w:r>
      <w:r w:rsidRPr="009D3599">
        <w:rPr>
          <w:rFonts w:ascii="Arial" w:eastAsiaTheme="majorEastAsia" w:hAnsi="Arial" w:cs="Arial"/>
          <w:b/>
          <w:bCs/>
        </w:rPr>
        <w:t>.</w:t>
      </w:r>
      <w:r>
        <w:rPr>
          <w:rFonts w:ascii="Arial" w:eastAsiaTheme="majorEastAsia" w:hAnsi="Arial" w:cs="Arial"/>
          <w:b/>
          <w:bCs/>
        </w:rPr>
        <w:t xml:space="preserve">2 - </w:t>
      </w:r>
      <w:r w:rsidRPr="00865491">
        <w:rPr>
          <w:rFonts w:ascii="Arial" w:eastAsiaTheme="majorEastAsia" w:hAnsi="Arial" w:cs="Arial"/>
          <w:b/>
          <w:bCs/>
        </w:rPr>
        <w:t>Renseignements complémentaires</w:t>
      </w:r>
    </w:p>
    <w:p w14:paraId="64629379" w14:textId="77777777" w:rsidR="00865491" w:rsidRPr="001E4F81" w:rsidRDefault="00865491" w:rsidP="001E4F81">
      <w:pPr>
        <w:spacing w:after="0" w:line="240" w:lineRule="auto"/>
        <w:jc w:val="both"/>
        <w:rPr>
          <w:rFonts w:ascii="Arial" w:hAnsi="Arial" w:cs="Arial"/>
        </w:rPr>
      </w:pPr>
    </w:p>
    <w:p w14:paraId="34C06259" w14:textId="16C55402" w:rsidR="00865491" w:rsidRDefault="00865491" w:rsidP="001E4F81">
      <w:pPr>
        <w:spacing w:after="0" w:line="240" w:lineRule="auto"/>
        <w:jc w:val="both"/>
        <w:rPr>
          <w:rFonts w:ascii="Arial" w:hAnsi="Arial" w:cs="Arial"/>
        </w:rPr>
      </w:pPr>
      <w:r w:rsidRPr="0023002E">
        <w:rPr>
          <w:rFonts w:ascii="Arial" w:hAnsi="Arial" w:cs="Arial"/>
        </w:rPr>
        <w:t xml:space="preserve">Les candidats peuvent demander tous les renseignements complémentaires qui leur seraient nécessaires </w:t>
      </w:r>
      <w:r w:rsidRPr="00313C58">
        <w:rPr>
          <w:rFonts w:ascii="Arial" w:hAnsi="Arial" w:cs="Arial"/>
        </w:rPr>
        <w:t xml:space="preserve">en faisant parvenir leur demande écrite à l'adresse électronique suivante : </w:t>
      </w:r>
    </w:p>
    <w:p w14:paraId="2B349450" w14:textId="77777777" w:rsidR="001E4F81" w:rsidRPr="00313C58" w:rsidRDefault="001E4F81" w:rsidP="001E4F81">
      <w:pPr>
        <w:spacing w:after="0" w:line="240" w:lineRule="auto"/>
        <w:jc w:val="both"/>
        <w:rPr>
          <w:rFonts w:ascii="Arial" w:hAnsi="Arial" w:cs="Arial"/>
        </w:rPr>
      </w:pPr>
    </w:p>
    <w:p w14:paraId="08AF1F76" w14:textId="3F579D0D" w:rsidR="00313C58" w:rsidRPr="00313C58" w:rsidRDefault="00313C58" w:rsidP="001E4F81">
      <w:pPr>
        <w:spacing w:after="0" w:line="240" w:lineRule="auto"/>
        <w:jc w:val="center"/>
        <w:rPr>
          <w:rFonts w:ascii="Arial" w:hAnsi="Arial" w:cs="Arial"/>
        </w:rPr>
      </w:pPr>
      <w:r w:rsidRPr="001E4F81">
        <w:rPr>
          <w:rFonts w:ascii="Arial" w:hAnsi="Arial" w:cs="Arial"/>
          <w:b/>
        </w:rPr>
        <w:t xml:space="preserve">Courriel : </w:t>
      </w:r>
      <w:r w:rsidRPr="001E4F81">
        <w:rPr>
          <w:rStyle w:val="Lienhypertexte"/>
          <w:rFonts w:ascii="Arial" w:eastAsia="Calibri" w:hAnsi="Arial" w:cs="Arial"/>
          <w:lang w:eastAsia="en-US"/>
        </w:rPr>
        <w:t>dha-nancy@univ-lorraine.fr</w:t>
      </w:r>
    </w:p>
    <w:p w14:paraId="78D53150" w14:textId="77777777" w:rsidR="001E4F81" w:rsidRDefault="001E4F81" w:rsidP="001E4F81">
      <w:pPr>
        <w:spacing w:after="0" w:line="240" w:lineRule="auto"/>
        <w:jc w:val="both"/>
        <w:rPr>
          <w:rFonts w:ascii="Arial" w:hAnsi="Arial" w:cs="Arial"/>
        </w:rPr>
      </w:pPr>
    </w:p>
    <w:p w14:paraId="66603FB3" w14:textId="25D1C219" w:rsidR="00865491" w:rsidRDefault="00865491" w:rsidP="001E4F81">
      <w:pPr>
        <w:spacing w:after="0" w:line="240" w:lineRule="auto"/>
        <w:jc w:val="both"/>
        <w:rPr>
          <w:rFonts w:ascii="Arial" w:hAnsi="Arial" w:cs="Arial"/>
        </w:rPr>
      </w:pPr>
      <w:r w:rsidRPr="0023002E">
        <w:rPr>
          <w:rFonts w:ascii="Arial" w:hAnsi="Arial" w:cs="Arial"/>
        </w:rPr>
        <w:t>Cependant, l’université ne s’engage à répondre aux demandes de renseignements complémentaires que dans l’hypothèse où celles-ci lui parviendraient au plus tard le</w:t>
      </w:r>
      <w:r w:rsidRPr="0023002E">
        <w:rPr>
          <w:rFonts w:ascii="Arial" w:hAnsi="Arial" w:cs="Arial"/>
          <w:color w:val="000000"/>
        </w:rPr>
        <w:t xml:space="preserve"> </w:t>
      </w:r>
      <w:r w:rsidR="002B3A17">
        <w:rPr>
          <w:rFonts w:ascii="Arial" w:hAnsi="Arial" w:cs="Arial"/>
          <w:color w:val="000000"/>
        </w:rPr>
        <w:t>18/07/2025</w:t>
      </w:r>
      <w:r w:rsidRPr="0023002E">
        <w:rPr>
          <w:rFonts w:ascii="Arial" w:hAnsi="Arial" w:cs="Arial"/>
        </w:rPr>
        <w:t xml:space="preserve"> à 16 h 00 (heure de Paris).</w:t>
      </w:r>
    </w:p>
    <w:p w14:paraId="7B10129E" w14:textId="77777777" w:rsidR="001E4F81" w:rsidRDefault="001E4F81" w:rsidP="001E4F81">
      <w:pPr>
        <w:spacing w:after="0" w:line="240" w:lineRule="auto"/>
        <w:jc w:val="both"/>
        <w:rPr>
          <w:rFonts w:ascii="Arial" w:hAnsi="Arial" w:cs="Arial"/>
        </w:rPr>
      </w:pPr>
    </w:p>
    <w:p w14:paraId="50DFFF08" w14:textId="32A739ED" w:rsidR="00865491" w:rsidRDefault="00865491" w:rsidP="001E4F81">
      <w:pPr>
        <w:spacing w:after="0" w:line="240" w:lineRule="auto"/>
        <w:jc w:val="both"/>
        <w:rPr>
          <w:rFonts w:ascii="Arial" w:hAnsi="Arial" w:cs="Arial"/>
        </w:rPr>
      </w:pPr>
      <w:r w:rsidRPr="0023002E">
        <w:rPr>
          <w:rFonts w:ascii="Arial" w:hAnsi="Arial" w:cs="Arial"/>
        </w:rPr>
        <w:t>Au-delà de cette date, l’université se réserve la possibilité de ne pas répondre aux demandes de renseignements complémentaires, en considérant qu’elles n’ont pas été transmises en temps utile.</w:t>
      </w:r>
    </w:p>
    <w:p w14:paraId="5465FCC2" w14:textId="77777777" w:rsidR="001E4F81" w:rsidRPr="009D3599" w:rsidRDefault="001E4F81" w:rsidP="001E4F81">
      <w:pPr>
        <w:spacing w:after="0" w:line="240" w:lineRule="auto"/>
        <w:jc w:val="both"/>
        <w:rPr>
          <w:rFonts w:ascii="Arial" w:hAnsi="Arial" w:cs="Arial"/>
        </w:rPr>
      </w:pPr>
    </w:p>
    <w:p w14:paraId="3C47AA6D" w14:textId="679E7923" w:rsidR="00865491" w:rsidRDefault="00865491" w:rsidP="001E4F81">
      <w:pPr>
        <w:spacing w:after="0" w:line="240" w:lineRule="auto"/>
        <w:jc w:val="both"/>
        <w:rPr>
          <w:rFonts w:ascii="Arial" w:hAnsi="Arial" w:cs="Arial"/>
        </w:rPr>
      </w:pPr>
      <w:r w:rsidRPr="0023002E">
        <w:rPr>
          <w:rFonts w:ascii="Arial" w:hAnsi="Arial" w:cs="Arial"/>
        </w:rPr>
        <w:t xml:space="preserve">Les réponses apportées par l'université seront envoyées à l'ensemble des </w:t>
      </w:r>
      <w:r>
        <w:rPr>
          <w:rFonts w:ascii="Arial" w:hAnsi="Arial" w:cs="Arial"/>
        </w:rPr>
        <w:t>personnes s’étant identifiées p</w:t>
      </w:r>
      <w:r w:rsidRPr="0023002E">
        <w:rPr>
          <w:rFonts w:ascii="Arial" w:hAnsi="Arial" w:cs="Arial"/>
        </w:rPr>
        <w:t xml:space="preserve">ar courriel à l’adresse électronique indiquée par les candidats ayant téléchargé le dossier. </w:t>
      </w:r>
    </w:p>
    <w:p w14:paraId="459A2BAD" w14:textId="77777777" w:rsidR="001E4F81" w:rsidRPr="009D3599" w:rsidRDefault="001E4F81" w:rsidP="001E4F81">
      <w:pPr>
        <w:spacing w:after="0" w:line="240" w:lineRule="auto"/>
        <w:jc w:val="both"/>
        <w:rPr>
          <w:rFonts w:ascii="Arial" w:hAnsi="Arial" w:cs="Arial"/>
        </w:rPr>
      </w:pPr>
    </w:p>
    <w:p w14:paraId="2461ED3E" w14:textId="468A5E45" w:rsidR="00865491" w:rsidRDefault="00865491" w:rsidP="001E4F81">
      <w:pPr>
        <w:spacing w:after="0" w:line="240" w:lineRule="auto"/>
        <w:jc w:val="both"/>
        <w:rPr>
          <w:rFonts w:ascii="Arial" w:hAnsi="Arial" w:cs="Arial"/>
        </w:rPr>
      </w:pPr>
      <w:r w:rsidRPr="0023002E">
        <w:rPr>
          <w:rFonts w:ascii="Arial" w:hAnsi="Arial" w:cs="Arial"/>
        </w:rPr>
        <w:t>Aucune question ne pourra être posée verbalement et aucune réponse ne sera donnée en dehors du dispositif prévu au présent article.</w:t>
      </w:r>
    </w:p>
    <w:p w14:paraId="454F4F6A" w14:textId="77777777" w:rsidR="001E4F81" w:rsidRDefault="001E4F81" w:rsidP="001E4F81">
      <w:pPr>
        <w:spacing w:after="0" w:line="240" w:lineRule="auto"/>
        <w:jc w:val="both"/>
        <w:rPr>
          <w:rFonts w:ascii="Arial" w:hAnsi="Arial" w:cs="Arial"/>
        </w:rPr>
      </w:pPr>
    </w:p>
    <w:p w14:paraId="2A6A1CCB" w14:textId="1841296F" w:rsidR="00A71BEF" w:rsidRDefault="00A71BEF"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4</w:t>
      </w:r>
      <w:r w:rsidRPr="009D3599">
        <w:rPr>
          <w:rFonts w:ascii="Arial" w:eastAsiaTheme="majorEastAsia" w:hAnsi="Arial" w:cs="Arial"/>
          <w:b/>
          <w:bCs/>
        </w:rPr>
        <w:t>.</w:t>
      </w:r>
      <w:r w:rsidR="00865491">
        <w:rPr>
          <w:rFonts w:ascii="Arial" w:eastAsiaTheme="majorEastAsia" w:hAnsi="Arial" w:cs="Arial"/>
          <w:b/>
          <w:bCs/>
        </w:rPr>
        <w:t>3 -</w:t>
      </w:r>
      <w:r>
        <w:rPr>
          <w:rFonts w:ascii="Arial" w:eastAsiaTheme="majorEastAsia" w:hAnsi="Arial" w:cs="Arial"/>
          <w:b/>
          <w:bCs/>
        </w:rPr>
        <w:t xml:space="preserve"> Modalités de dépôt des réponses</w:t>
      </w:r>
    </w:p>
    <w:p w14:paraId="1FDFB3F7" w14:textId="77777777" w:rsidR="001E4F81" w:rsidRDefault="001E4F81" w:rsidP="001E4F81">
      <w:pPr>
        <w:spacing w:after="0" w:line="240" w:lineRule="auto"/>
        <w:jc w:val="both"/>
        <w:rPr>
          <w:rFonts w:ascii="Arial" w:hAnsi="Arial" w:cs="Arial"/>
          <w:lang w:eastAsia="ar-SA"/>
        </w:rPr>
      </w:pPr>
    </w:p>
    <w:p w14:paraId="6BB3F494" w14:textId="6407D9DA" w:rsidR="00A71BEF" w:rsidRDefault="00A71BEF" w:rsidP="001E4F81">
      <w:pPr>
        <w:spacing w:after="0" w:line="240" w:lineRule="auto"/>
        <w:jc w:val="both"/>
        <w:rPr>
          <w:rFonts w:ascii="Arial" w:hAnsi="Arial" w:cs="Arial"/>
          <w:lang w:eastAsia="ar-SA"/>
        </w:rPr>
      </w:pPr>
      <w:r w:rsidRPr="00162D45">
        <w:rPr>
          <w:rFonts w:ascii="Arial" w:hAnsi="Arial" w:cs="Arial"/>
          <w:lang w:eastAsia="ar-SA"/>
        </w:rPr>
        <w:t xml:space="preserve">Les candidats doivent remettre leur réponse à la présente consultation au plus tard aux dates et heures indiquées en page de garde du présent document. </w:t>
      </w:r>
    </w:p>
    <w:p w14:paraId="1C3D7935" w14:textId="77777777" w:rsidR="001E4F81" w:rsidRPr="00162D45" w:rsidRDefault="001E4F81" w:rsidP="001E4F81">
      <w:pPr>
        <w:spacing w:after="0" w:line="240" w:lineRule="auto"/>
        <w:jc w:val="both"/>
        <w:rPr>
          <w:rFonts w:ascii="Arial" w:hAnsi="Arial" w:cs="Arial"/>
          <w:lang w:eastAsia="ar-SA"/>
        </w:rPr>
      </w:pPr>
    </w:p>
    <w:p w14:paraId="71BAC8D3" w14:textId="7D5FA723" w:rsidR="00A71BEF" w:rsidRDefault="00A71BEF" w:rsidP="001E4F81">
      <w:pPr>
        <w:spacing w:after="0" w:line="240" w:lineRule="auto"/>
        <w:jc w:val="both"/>
        <w:rPr>
          <w:rFonts w:ascii="Arial" w:hAnsi="Arial" w:cs="Arial"/>
          <w:lang w:eastAsia="ar-SA"/>
        </w:rPr>
      </w:pPr>
      <w:r w:rsidRPr="00162D45">
        <w:rPr>
          <w:rFonts w:ascii="Arial" w:hAnsi="Arial" w:cs="Arial"/>
          <w:lang w:eastAsia="ar-SA"/>
        </w:rPr>
        <w:t xml:space="preserve">Les réponses qui parviendraient après cette date, quel que soit le mode de dépôt, seront éliminées. </w:t>
      </w:r>
    </w:p>
    <w:p w14:paraId="599BF574" w14:textId="77777777" w:rsidR="001E4F81" w:rsidRPr="00162D45" w:rsidRDefault="001E4F81" w:rsidP="001E4F81">
      <w:pPr>
        <w:spacing w:after="0" w:line="240" w:lineRule="auto"/>
        <w:jc w:val="both"/>
        <w:rPr>
          <w:rFonts w:ascii="Arial" w:hAnsi="Arial" w:cs="Arial"/>
          <w:lang w:eastAsia="ar-SA"/>
        </w:rPr>
      </w:pPr>
    </w:p>
    <w:p w14:paraId="25B7389F" w14:textId="4F245A33" w:rsidR="00A71BEF" w:rsidRDefault="00A71BEF" w:rsidP="001E4F81">
      <w:pPr>
        <w:spacing w:after="0" w:line="240" w:lineRule="auto"/>
        <w:jc w:val="both"/>
        <w:rPr>
          <w:rFonts w:ascii="Arial" w:hAnsi="Arial" w:cs="Arial"/>
          <w:b/>
          <w:u w:val="single"/>
        </w:rPr>
      </w:pPr>
      <w:r w:rsidRPr="008E120B">
        <w:rPr>
          <w:rFonts w:ascii="Arial" w:hAnsi="Arial" w:cs="Arial"/>
          <w:b/>
        </w:rPr>
        <w:t xml:space="preserve">Les réponses à la présente consultation doivent être remises </w:t>
      </w:r>
      <w:r>
        <w:rPr>
          <w:rFonts w:ascii="Arial" w:hAnsi="Arial" w:cs="Arial"/>
          <w:b/>
        </w:rPr>
        <w:t xml:space="preserve">exclusivement </w:t>
      </w:r>
      <w:r w:rsidRPr="00FB19A8">
        <w:rPr>
          <w:rFonts w:ascii="Arial" w:hAnsi="Arial" w:cs="Arial"/>
          <w:b/>
          <w:u w:val="single"/>
        </w:rPr>
        <w:t xml:space="preserve">sous forme </w:t>
      </w:r>
      <w:r w:rsidRPr="009D3599">
        <w:rPr>
          <w:rFonts w:ascii="Arial" w:hAnsi="Arial" w:cs="Arial"/>
          <w:b/>
          <w:u w:val="single"/>
        </w:rPr>
        <w:t>dématérialisée.</w:t>
      </w:r>
    </w:p>
    <w:p w14:paraId="40A5486B" w14:textId="77777777" w:rsidR="001E4F81" w:rsidRPr="009D3599" w:rsidRDefault="001E4F81" w:rsidP="001E4F81">
      <w:pPr>
        <w:spacing w:after="0" w:line="240" w:lineRule="auto"/>
        <w:jc w:val="both"/>
        <w:rPr>
          <w:rFonts w:ascii="Arial" w:hAnsi="Arial" w:cs="Arial"/>
          <w:b/>
          <w:u w:val="single"/>
        </w:rPr>
      </w:pPr>
    </w:p>
    <w:p w14:paraId="3EA9B395" w14:textId="77777777" w:rsidR="001E4F81" w:rsidRDefault="00A71BEF" w:rsidP="001E4F81">
      <w:pPr>
        <w:autoSpaceDE w:val="0"/>
        <w:autoSpaceDN w:val="0"/>
        <w:adjustRightInd w:val="0"/>
        <w:spacing w:after="0" w:line="240" w:lineRule="auto"/>
        <w:jc w:val="both"/>
        <w:rPr>
          <w:rFonts w:ascii="Arial" w:hAnsi="Arial" w:cs="Arial"/>
        </w:rPr>
      </w:pPr>
      <w:r w:rsidRPr="009D3599">
        <w:rPr>
          <w:rFonts w:ascii="Arial" w:hAnsi="Arial" w:cs="Arial"/>
        </w:rPr>
        <w:t xml:space="preserve">La transmission des plis s’effectue à l’adresse suivante : </w:t>
      </w:r>
    </w:p>
    <w:p w14:paraId="0103E9E2" w14:textId="20A339BA" w:rsidR="00A71BEF" w:rsidRPr="001E4F81" w:rsidRDefault="0040011F" w:rsidP="001E4F81">
      <w:pPr>
        <w:autoSpaceDE w:val="0"/>
        <w:autoSpaceDN w:val="0"/>
        <w:adjustRightInd w:val="0"/>
        <w:spacing w:after="0" w:line="240" w:lineRule="auto"/>
        <w:jc w:val="both"/>
        <w:rPr>
          <w:rFonts w:ascii="Arial" w:eastAsia="Calibri" w:hAnsi="Arial" w:cs="Arial"/>
          <w:color w:val="000000"/>
          <w:spacing w:val="-8"/>
          <w:lang w:eastAsia="en-US"/>
        </w:rPr>
      </w:pPr>
      <w:hyperlink r:id="rId11" w:history="1">
        <w:r w:rsidR="001E4F81" w:rsidRPr="000967DB">
          <w:rPr>
            <w:rStyle w:val="Lienhypertexte"/>
            <w:rFonts w:ascii="Arial" w:hAnsi="Arial" w:cs="Arial"/>
            <w:spacing w:val="-8"/>
          </w:rPr>
          <w:t>https://www.marches-publics.gouv.fr/?page=entreprise.EntrepriseAdvancedSearch&amp;searchAnnCons</w:t>
        </w:r>
      </w:hyperlink>
    </w:p>
    <w:p w14:paraId="0E302679" w14:textId="20688620" w:rsidR="00A71BEF" w:rsidRDefault="001E4F81" w:rsidP="001E4F81">
      <w:pPr>
        <w:autoSpaceDE w:val="0"/>
        <w:autoSpaceDN w:val="0"/>
        <w:adjustRightInd w:val="0"/>
        <w:spacing w:after="0" w:line="240" w:lineRule="auto"/>
        <w:jc w:val="both"/>
        <w:rPr>
          <w:rFonts w:ascii="Arial" w:hAnsi="Arial" w:cs="Arial"/>
        </w:rPr>
      </w:pPr>
      <w:r>
        <w:rPr>
          <w:rFonts w:ascii="Arial" w:hAnsi="Arial" w:cs="Arial"/>
        </w:rPr>
        <w:t>(N</w:t>
      </w:r>
      <w:r w:rsidR="00A71BEF" w:rsidRPr="009D3599">
        <w:rPr>
          <w:rFonts w:ascii="Arial" w:hAnsi="Arial" w:cs="Arial"/>
        </w:rPr>
        <w:t xml:space="preserve">° de référence de la consultation </w:t>
      </w:r>
      <w:r w:rsidR="008027D5">
        <w:rPr>
          <w:rFonts w:ascii="Arial" w:hAnsi="Arial" w:cs="Arial"/>
        </w:rPr>
        <w:t>25B03</w:t>
      </w:r>
      <w:r w:rsidR="00A71BEF" w:rsidRPr="009D3599">
        <w:rPr>
          <w:rFonts w:ascii="Arial" w:hAnsi="Arial" w:cs="Arial"/>
        </w:rPr>
        <w:t>) en cliquant sur l'icône "</w:t>
      </w:r>
      <w:r w:rsidR="00106D15">
        <w:rPr>
          <w:rFonts w:ascii="Arial" w:hAnsi="Arial" w:cs="Arial"/>
          <w:noProof/>
        </w:rPr>
        <w:drawing>
          <wp:inline distT="0" distB="0" distL="0" distR="0" wp14:anchorId="778D489E" wp14:editId="0227DD8C">
            <wp:extent cx="286247" cy="202265"/>
            <wp:effectExtent l="0" t="0" r="0" b="7620"/>
            <wp:docPr id="3" name="Image 3" descr="C:\Users\russeil1\Desktop\Doc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seil1\Desktop\Docs\Cap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467" cy="227858"/>
                    </a:xfrm>
                    <a:prstGeom prst="rect">
                      <a:avLst/>
                    </a:prstGeom>
                    <a:noFill/>
                    <a:ln>
                      <a:noFill/>
                    </a:ln>
                  </pic:spPr>
                </pic:pic>
              </a:graphicData>
            </a:graphic>
          </wp:inline>
        </w:drawing>
      </w:r>
      <w:r w:rsidR="00A71BEF" w:rsidRPr="009D3599">
        <w:rPr>
          <w:rFonts w:ascii="Arial" w:hAnsi="Arial" w:cs="Arial"/>
        </w:rPr>
        <w:t>", "accéder à la consultation" – Onglet Dépôts".</w:t>
      </w:r>
    </w:p>
    <w:p w14:paraId="64EE30C5" w14:textId="77777777" w:rsidR="001E4F81" w:rsidRPr="009D3599" w:rsidRDefault="001E4F81" w:rsidP="001E4F81">
      <w:pPr>
        <w:autoSpaceDE w:val="0"/>
        <w:autoSpaceDN w:val="0"/>
        <w:adjustRightInd w:val="0"/>
        <w:spacing w:after="0" w:line="240" w:lineRule="auto"/>
        <w:jc w:val="both"/>
        <w:rPr>
          <w:rFonts w:ascii="Arial" w:hAnsi="Arial" w:cs="Arial"/>
        </w:rPr>
      </w:pPr>
    </w:p>
    <w:p w14:paraId="6840993E" w14:textId="77777777" w:rsidR="00A71BEF" w:rsidRPr="009D3599" w:rsidRDefault="00A71BEF" w:rsidP="001E4F81">
      <w:pPr>
        <w:spacing w:after="0" w:line="240" w:lineRule="auto"/>
        <w:jc w:val="both"/>
        <w:rPr>
          <w:rFonts w:ascii="Arial" w:hAnsi="Arial" w:cs="Arial"/>
        </w:rPr>
      </w:pPr>
      <w:r w:rsidRPr="009D3599">
        <w:rPr>
          <w:rFonts w:ascii="Arial" w:hAnsi="Arial" w:cs="Arial"/>
        </w:rPr>
        <w:t>Tout document électronique envoyé par un candidat dans lequel un virus informatique est détecté par l’Université de Lorraine peut faire l’objet d’un archivage de sécurité sans lecture dudit document. Ce document est dès lors réputé n’avoir jamais été reçu et le candidat en est informé.</w:t>
      </w:r>
    </w:p>
    <w:p w14:paraId="1143C817" w14:textId="77777777" w:rsidR="00A71BEF" w:rsidRPr="009D3599" w:rsidRDefault="00A71BEF" w:rsidP="001E4F81">
      <w:pPr>
        <w:spacing w:after="0" w:line="240" w:lineRule="auto"/>
        <w:jc w:val="both"/>
        <w:rPr>
          <w:rFonts w:ascii="Arial" w:hAnsi="Arial" w:cs="Arial"/>
          <w:bCs/>
          <w:u w:val="single"/>
        </w:rPr>
      </w:pPr>
      <w:r w:rsidRPr="001E4F81">
        <w:rPr>
          <w:rFonts w:ascii="Arial" w:hAnsi="Arial" w:cs="Arial"/>
        </w:rPr>
        <w:br/>
      </w:r>
      <w:r w:rsidRPr="009D3599">
        <w:rPr>
          <w:rFonts w:ascii="Arial" w:hAnsi="Arial" w:cs="Arial"/>
          <w:bCs/>
          <w:u w:val="single"/>
        </w:rPr>
        <w:t>Copie de sauvegarde :</w:t>
      </w:r>
    </w:p>
    <w:p w14:paraId="705FCD01" w14:textId="5708EA34" w:rsidR="00A71BEF" w:rsidRPr="009D3599" w:rsidRDefault="00A71BEF" w:rsidP="001E4F81">
      <w:pPr>
        <w:autoSpaceDE w:val="0"/>
        <w:spacing w:after="0" w:line="240" w:lineRule="auto"/>
        <w:jc w:val="both"/>
        <w:rPr>
          <w:rFonts w:ascii="Arial" w:hAnsi="Arial" w:cs="Arial"/>
        </w:rPr>
      </w:pPr>
      <w:r w:rsidRPr="009D3599">
        <w:rPr>
          <w:rFonts w:ascii="Arial" w:hAnsi="Arial" w:cs="Arial"/>
        </w:rPr>
        <w:t>Le candidat peut, s’il le désire, envoyer une copie de sauvegarde de sa réponse (sur support papier ou sur support physique électronique : CD Rom, clé USB,</w:t>
      </w:r>
      <w:r w:rsidR="00980139">
        <w:rPr>
          <w:rFonts w:ascii="Arial" w:hAnsi="Arial" w:cs="Arial"/>
        </w:rPr>
        <w:t xml:space="preserve"> </w:t>
      </w:r>
      <w:r w:rsidRPr="009D3599">
        <w:rPr>
          <w:rFonts w:ascii="Arial" w:hAnsi="Arial" w:cs="Arial"/>
        </w:rPr>
        <w:t xml:space="preserve">...). </w:t>
      </w:r>
    </w:p>
    <w:p w14:paraId="2648977A" w14:textId="20D1E9C8" w:rsidR="00A71BEF" w:rsidRDefault="00A71BEF" w:rsidP="001E4F81">
      <w:pPr>
        <w:spacing w:after="0" w:line="240" w:lineRule="auto"/>
        <w:jc w:val="both"/>
        <w:rPr>
          <w:rFonts w:ascii="Arial" w:hAnsi="Arial" w:cs="Arial"/>
        </w:rPr>
      </w:pPr>
      <w:r w:rsidRPr="009D3599">
        <w:rPr>
          <w:rFonts w:ascii="Arial" w:hAnsi="Arial" w:cs="Arial"/>
        </w:rPr>
        <w:t xml:space="preserve">Cette copie de sauvegarde doit respecter les modalités de présentation des candidatures et des offres et être placée dans un pli scellé adressé à l’adresse figurant ci-dessous : </w:t>
      </w:r>
    </w:p>
    <w:p w14:paraId="30026CEF" w14:textId="6819C70B" w:rsidR="001E4F81" w:rsidRDefault="001E4F81" w:rsidP="001E4F81">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9212"/>
      </w:tblGrid>
      <w:tr w:rsidR="001E4F81" w14:paraId="66B25A93" w14:textId="77777777" w:rsidTr="001E4F81">
        <w:trPr>
          <w:trHeight w:val="2452"/>
        </w:trPr>
        <w:tc>
          <w:tcPr>
            <w:tcW w:w="9212" w:type="dxa"/>
            <w:vAlign w:val="center"/>
          </w:tcPr>
          <w:p w14:paraId="3AB1609A" w14:textId="77777777" w:rsidR="001E4F81" w:rsidRPr="001E4F81" w:rsidRDefault="001E4F81" w:rsidP="001E4F81">
            <w:pPr>
              <w:jc w:val="center"/>
              <w:rPr>
                <w:rFonts w:ascii="Arial" w:hAnsi="Arial" w:cs="Arial"/>
              </w:rPr>
            </w:pPr>
            <w:r w:rsidRPr="001E4F81">
              <w:rPr>
                <w:rFonts w:ascii="Arial" w:hAnsi="Arial" w:cs="Arial"/>
              </w:rPr>
              <w:t>Université de Lorraine</w:t>
            </w:r>
          </w:p>
          <w:p w14:paraId="41D3BD60" w14:textId="77777777" w:rsidR="001E4F81" w:rsidRPr="001E4F81" w:rsidRDefault="001E4F81" w:rsidP="001E4F81">
            <w:pPr>
              <w:jc w:val="center"/>
              <w:rPr>
                <w:rFonts w:ascii="Arial" w:hAnsi="Arial" w:cs="Arial"/>
              </w:rPr>
            </w:pPr>
            <w:r w:rsidRPr="001E4F81">
              <w:rPr>
                <w:rFonts w:ascii="Arial" w:hAnsi="Arial" w:cs="Arial"/>
              </w:rPr>
              <w:t>Service achats du site de Nancy</w:t>
            </w:r>
          </w:p>
          <w:p w14:paraId="7314E603" w14:textId="77777777" w:rsidR="001E4F81" w:rsidRPr="001E4F81" w:rsidRDefault="001E4F81" w:rsidP="001E4F81">
            <w:pPr>
              <w:jc w:val="center"/>
              <w:rPr>
                <w:rFonts w:ascii="Arial" w:hAnsi="Arial" w:cs="Arial"/>
              </w:rPr>
            </w:pPr>
            <w:r w:rsidRPr="001E4F81">
              <w:rPr>
                <w:rFonts w:ascii="Arial" w:hAnsi="Arial" w:cs="Arial"/>
              </w:rPr>
              <w:t>Brabois Ingénierie – Direction des Achats</w:t>
            </w:r>
          </w:p>
          <w:p w14:paraId="03C8EEA4" w14:textId="77777777" w:rsidR="001E4F81" w:rsidRPr="001E4F81" w:rsidRDefault="001E4F81" w:rsidP="001E4F81">
            <w:pPr>
              <w:jc w:val="center"/>
              <w:rPr>
                <w:rFonts w:ascii="Arial" w:hAnsi="Arial" w:cs="Arial"/>
              </w:rPr>
            </w:pPr>
            <w:r w:rsidRPr="001E4F81">
              <w:rPr>
                <w:rFonts w:ascii="Arial" w:hAnsi="Arial" w:cs="Arial"/>
              </w:rPr>
              <w:t>2 avenue de la Forêt de Haye</w:t>
            </w:r>
          </w:p>
          <w:p w14:paraId="4E77AC45" w14:textId="77777777" w:rsidR="001E4F81" w:rsidRPr="001E4F81" w:rsidRDefault="001E4F81" w:rsidP="001E4F81">
            <w:pPr>
              <w:jc w:val="center"/>
              <w:rPr>
                <w:rFonts w:ascii="Arial" w:hAnsi="Arial" w:cs="Arial"/>
              </w:rPr>
            </w:pPr>
            <w:r w:rsidRPr="001E4F81">
              <w:rPr>
                <w:rFonts w:ascii="Arial" w:hAnsi="Arial" w:cs="Arial"/>
              </w:rPr>
              <w:t>BP 91179</w:t>
            </w:r>
          </w:p>
          <w:p w14:paraId="6018B0BA" w14:textId="77777777" w:rsidR="001E4F81" w:rsidRPr="001E4F81" w:rsidRDefault="001E4F81" w:rsidP="001E4F81">
            <w:pPr>
              <w:jc w:val="center"/>
              <w:rPr>
                <w:rFonts w:ascii="Arial" w:hAnsi="Arial" w:cs="Arial"/>
              </w:rPr>
            </w:pPr>
            <w:r w:rsidRPr="001E4F81">
              <w:rPr>
                <w:rFonts w:ascii="Arial" w:hAnsi="Arial" w:cs="Arial"/>
              </w:rPr>
              <w:t>54505 VANDOEUVRE CEDEX</w:t>
            </w:r>
          </w:p>
          <w:p w14:paraId="2E40AB5C" w14:textId="77777777" w:rsidR="001E4F81" w:rsidRPr="001E4F81" w:rsidRDefault="001E4F81" w:rsidP="001E4F81">
            <w:pPr>
              <w:jc w:val="center"/>
              <w:rPr>
                <w:rFonts w:ascii="Arial" w:hAnsi="Arial" w:cs="Arial"/>
              </w:rPr>
            </w:pPr>
            <w:r w:rsidRPr="001E4F81">
              <w:rPr>
                <w:rFonts w:ascii="Arial" w:hAnsi="Arial" w:cs="Arial"/>
              </w:rPr>
              <w:t>Avec la mention suivante :</w:t>
            </w:r>
          </w:p>
          <w:p w14:paraId="6F7B427B" w14:textId="4CA09030" w:rsidR="001E4F81" w:rsidRDefault="001E4F81" w:rsidP="001E4F81">
            <w:pPr>
              <w:jc w:val="center"/>
              <w:rPr>
                <w:rFonts w:ascii="Arial" w:hAnsi="Arial" w:cs="Arial"/>
              </w:rPr>
            </w:pPr>
            <w:r w:rsidRPr="001E4F81">
              <w:rPr>
                <w:rFonts w:ascii="Arial" w:hAnsi="Arial" w:cs="Arial"/>
              </w:rPr>
              <w:t>« Copie de sauvegarde - Accord-cadre 25B03 – Ne pas ouvrir</w:t>
            </w:r>
            <w:r>
              <w:rPr>
                <w:rFonts w:ascii="Arial" w:hAnsi="Arial" w:cs="Arial"/>
              </w:rPr>
              <w:t> »</w:t>
            </w:r>
          </w:p>
        </w:tc>
      </w:tr>
    </w:tbl>
    <w:p w14:paraId="3FF5D001" w14:textId="54399C7D" w:rsidR="001E4F81" w:rsidRDefault="001E4F81" w:rsidP="001E4F81">
      <w:pPr>
        <w:spacing w:after="0" w:line="240" w:lineRule="auto"/>
        <w:jc w:val="both"/>
        <w:rPr>
          <w:rFonts w:ascii="Arial" w:hAnsi="Arial" w:cs="Arial"/>
        </w:rPr>
      </w:pPr>
    </w:p>
    <w:p w14:paraId="7E779E5B" w14:textId="30C74F6B" w:rsidR="00E255BC" w:rsidRDefault="00E255BC" w:rsidP="001E4F81">
      <w:pPr>
        <w:autoSpaceDE w:val="0"/>
        <w:autoSpaceDN w:val="0"/>
        <w:adjustRightInd w:val="0"/>
        <w:spacing w:after="0" w:line="240" w:lineRule="auto"/>
        <w:jc w:val="both"/>
        <w:rPr>
          <w:rFonts w:ascii="Arial" w:eastAsia="Calibri" w:hAnsi="Arial" w:cs="Arial"/>
        </w:rPr>
      </w:pPr>
      <w:r w:rsidRPr="0042316A">
        <w:rPr>
          <w:rFonts w:ascii="Arial" w:eastAsia="Calibri" w:hAnsi="Arial" w:cs="Arial"/>
        </w:rPr>
        <w:lastRenderedPageBreak/>
        <w:t>En cas de remise d’une copie de sauvegarde contre récépissé, l’attention des candidats est appelée sur le fait que le secrétariat du service auxquels les plis doivent être remis sont situés au rez-de-chaussée de la présidence de l’université de Lorraine – Site de Brabois et sont ouverts au public du lundi au vendredi de 9h00 à 12h00 et de 14h00 à 16h00 (heure de Paris), sauf jours fériés et éventuelles périodes de fermeture de l’établissement</w:t>
      </w:r>
      <w:r>
        <w:rPr>
          <w:rFonts w:ascii="Arial" w:eastAsia="Calibri" w:hAnsi="Arial" w:cs="Arial"/>
        </w:rPr>
        <w:t>.</w:t>
      </w:r>
    </w:p>
    <w:p w14:paraId="693E8A52" w14:textId="77777777" w:rsidR="001E4F81" w:rsidRPr="00A71BEF" w:rsidRDefault="001E4F81" w:rsidP="001E4F81">
      <w:pPr>
        <w:autoSpaceDE w:val="0"/>
        <w:autoSpaceDN w:val="0"/>
        <w:adjustRightInd w:val="0"/>
        <w:spacing w:after="0" w:line="240" w:lineRule="auto"/>
        <w:jc w:val="both"/>
        <w:rPr>
          <w:rFonts w:ascii="Arial" w:hAnsi="Arial" w:cs="Arial"/>
        </w:rPr>
      </w:pPr>
    </w:p>
    <w:p w14:paraId="23E35F6E" w14:textId="3C82F8F7" w:rsidR="00A71BEF" w:rsidRDefault="00A71BEF"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4</w:t>
      </w:r>
      <w:r w:rsidRPr="009D3599">
        <w:rPr>
          <w:rFonts w:ascii="Arial" w:eastAsiaTheme="majorEastAsia" w:hAnsi="Arial" w:cs="Arial"/>
          <w:b/>
          <w:bCs/>
        </w:rPr>
        <w:t>.</w:t>
      </w:r>
      <w:r w:rsidR="00865491">
        <w:rPr>
          <w:rFonts w:ascii="Arial" w:eastAsiaTheme="majorEastAsia" w:hAnsi="Arial" w:cs="Arial"/>
          <w:b/>
          <w:bCs/>
        </w:rPr>
        <w:t xml:space="preserve">4 - </w:t>
      </w:r>
      <w:r>
        <w:rPr>
          <w:rFonts w:ascii="Arial" w:eastAsiaTheme="majorEastAsia" w:hAnsi="Arial" w:cs="Arial"/>
          <w:b/>
          <w:bCs/>
        </w:rPr>
        <w:t xml:space="preserve">Signature électronique </w:t>
      </w:r>
    </w:p>
    <w:p w14:paraId="737A9763" w14:textId="77777777" w:rsidR="001E4F81" w:rsidRDefault="001E4F81" w:rsidP="001E4F81">
      <w:pPr>
        <w:spacing w:after="0" w:line="240" w:lineRule="auto"/>
        <w:jc w:val="both"/>
        <w:rPr>
          <w:rFonts w:ascii="Arial" w:hAnsi="Arial" w:cs="Arial"/>
          <w:b/>
        </w:rPr>
      </w:pPr>
    </w:p>
    <w:p w14:paraId="388A9FA2" w14:textId="410EB956" w:rsidR="00A71BEF" w:rsidRDefault="00A71BEF" w:rsidP="001E4F81">
      <w:pPr>
        <w:spacing w:after="0" w:line="240" w:lineRule="auto"/>
        <w:jc w:val="both"/>
        <w:rPr>
          <w:rFonts w:ascii="Arial" w:hAnsi="Arial" w:cs="Arial"/>
        </w:rPr>
      </w:pPr>
      <w:r w:rsidRPr="00BB2D3F">
        <w:rPr>
          <w:rFonts w:ascii="Arial" w:hAnsi="Arial" w:cs="Arial"/>
          <w:b/>
        </w:rPr>
        <w:t xml:space="preserve">La signature électronique </w:t>
      </w:r>
      <w:r>
        <w:rPr>
          <w:rFonts w:ascii="Arial" w:hAnsi="Arial" w:cs="Arial"/>
          <w:b/>
        </w:rPr>
        <w:t>ne sera demandée</w:t>
      </w:r>
      <w:r w:rsidRPr="00BB2D3F">
        <w:rPr>
          <w:rFonts w:ascii="Arial" w:hAnsi="Arial" w:cs="Arial"/>
          <w:b/>
        </w:rPr>
        <w:t xml:space="preserve"> qu’auprès du candidat pressenti. </w:t>
      </w:r>
      <w:r w:rsidRPr="008E120B">
        <w:rPr>
          <w:rFonts w:ascii="Arial" w:hAnsi="Arial" w:cs="Arial"/>
          <w:b/>
          <w:u w:val="single"/>
        </w:rPr>
        <w:t>Lors du dépôt de l’offre, la signature n’est pas obligatoire.</w:t>
      </w:r>
      <w:r w:rsidRPr="00BB2D3F">
        <w:rPr>
          <w:rFonts w:ascii="Arial" w:hAnsi="Arial" w:cs="Arial"/>
        </w:rPr>
        <w:t xml:space="preserve"> </w:t>
      </w:r>
    </w:p>
    <w:p w14:paraId="6CE8E232" w14:textId="77777777" w:rsidR="001E4F81" w:rsidRDefault="001E4F81" w:rsidP="001E4F81">
      <w:pPr>
        <w:spacing w:after="0" w:line="240" w:lineRule="auto"/>
        <w:jc w:val="both"/>
        <w:rPr>
          <w:rFonts w:ascii="Arial" w:hAnsi="Arial" w:cs="Arial"/>
        </w:rPr>
      </w:pPr>
    </w:p>
    <w:p w14:paraId="391ACFC3" w14:textId="3D3A7CB8" w:rsidR="00A71BEF" w:rsidRPr="009D3599" w:rsidRDefault="00A71BEF" w:rsidP="001E4F81">
      <w:pPr>
        <w:spacing w:after="0" w:line="240" w:lineRule="auto"/>
        <w:jc w:val="both"/>
        <w:rPr>
          <w:rFonts w:ascii="Arial" w:hAnsi="Arial" w:cs="Arial"/>
          <w:b/>
        </w:rPr>
      </w:pPr>
      <w:r w:rsidRPr="00E73289">
        <w:rPr>
          <w:rFonts w:ascii="Arial" w:hAnsi="Arial" w:cs="Arial"/>
          <w:b/>
        </w:rPr>
        <w:t xml:space="preserve">Si le candidat pressenti est dans l’incapacité avérée </w:t>
      </w:r>
      <w:r>
        <w:rPr>
          <w:rFonts w:ascii="Arial" w:hAnsi="Arial" w:cs="Arial"/>
          <w:b/>
        </w:rPr>
        <w:t>de</w:t>
      </w:r>
      <w:r w:rsidRPr="00E73289">
        <w:rPr>
          <w:rFonts w:ascii="Arial" w:hAnsi="Arial" w:cs="Arial"/>
          <w:b/>
        </w:rPr>
        <w:t xml:space="preserve"> pouvoir signer son offre de façon électronique, l’Université pourra l’inviter à déposer les documents concernés par voie papier. Ces documents devront être signés de façon originale manuscrite. </w:t>
      </w:r>
      <w:r w:rsidR="001E4F81">
        <w:rPr>
          <w:rFonts w:ascii="Arial" w:hAnsi="Arial" w:cs="Arial"/>
          <w:b/>
        </w:rPr>
        <w:br/>
      </w:r>
    </w:p>
    <w:p w14:paraId="56E5D1A2" w14:textId="07CF6FB2" w:rsidR="00F97F9E" w:rsidRDefault="00F97F9E" w:rsidP="001E4F81">
      <w:pPr>
        <w:spacing w:after="0" w:line="240" w:lineRule="auto"/>
        <w:jc w:val="both"/>
        <w:rPr>
          <w:rFonts w:ascii="Arial" w:hAnsi="Arial" w:cs="Arial"/>
        </w:rPr>
      </w:pPr>
      <w:r w:rsidRPr="00DE1E06">
        <w:rPr>
          <w:rFonts w:ascii="Arial" w:hAnsi="Arial" w:cs="Arial"/>
        </w:rPr>
        <w:t xml:space="preserve">Pour signer électroniquement les pièces de sa réponse à la présente consultation, le candidat utilise un certificat de signature appartenant à l’une des </w:t>
      </w:r>
      <w:r>
        <w:rPr>
          <w:rFonts w:ascii="Arial" w:hAnsi="Arial" w:cs="Arial"/>
        </w:rPr>
        <w:t>deux</w:t>
      </w:r>
      <w:r w:rsidRPr="00DE1E06">
        <w:rPr>
          <w:rFonts w:ascii="Arial" w:hAnsi="Arial" w:cs="Arial"/>
        </w:rPr>
        <w:t xml:space="preserve"> catégories de certificats visés à l’article 2</w:t>
      </w:r>
      <w:r>
        <w:rPr>
          <w:rFonts w:ascii="Arial" w:hAnsi="Arial" w:cs="Arial"/>
        </w:rPr>
        <w:t xml:space="preserve"> II </w:t>
      </w:r>
      <w:r w:rsidRPr="00DE1E06">
        <w:rPr>
          <w:rFonts w:ascii="Arial" w:hAnsi="Arial" w:cs="Arial"/>
        </w:rPr>
        <w:t xml:space="preserve">de l’arrêté du </w:t>
      </w:r>
      <w:r>
        <w:rPr>
          <w:rFonts w:ascii="Arial" w:hAnsi="Arial" w:cs="Arial"/>
        </w:rPr>
        <w:t xml:space="preserve">22 mars 2019 </w:t>
      </w:r>
      <w:r w:rsidRPr="00DE1E06">
        <w:rPr>
          <w:rFonts w:ascii="Arial" w:hAnsi="Arial" w:cs="Arial"/>
        </w:rPr>
        <w:t xml:space="preserve">relatif à la signature électronique </w:t>
      </w:r>
      <w:r>
        <w:rPr>
          <w:rFonts w:ascii="Arial" w:hAnsi="Arial" w:cs="Arial"/>
        </w:rPr>
        <w:t>des contrats de la commande publique.</w:t>
      </w:r>
    </w:p>
    <w:p w14:paraId="3BFCB2C4" w14:textId="77777777" w:rsidR="001E4F81" w:rsidRPr="00DE1E06" w:rsidRDefault="001E4F81" w:rsidP="001E4F81">
      <w:pPr>
        <w:spacing w:after="0" w:line="240" w:lineRule="auto"/>
        <w:jc w:val="both"/>
        <w:rPr>
          <w:rFonts w:ascii="Arial" w:hAnsi="Arial" w:cs="Arial"/>
        </w:rPr>
      </w:pPr>
    </w:p>
    <w:p w14:paraId="7F2DA01E" w14:textId="33FAB6B0" w:rsidR="00A71BEF" w:rsidRDefault="00A71BEF" w:rsidP="001E4F81">
      <w:pPr>
        <w:autoSpaceDE w:val="0"/>
        <w:autoSpaceDN w:val="0"/>
        <w:adjustRightInd w:val="0"/>
        <w:spacing w:after="0" w:line="240" w:lineRule="auto"/>
        <w:jc w:val="both"/>
        <w:rPr>
          <w:rFonts w:ascii="Arial" w:hAnsi="Arial" w:cs="Arial"/>
        </w:rPr>
      </w:pPr>
      <w:r w:rsidRPr="00E73289">
        <w:rPr>
          <w:rFonts w:ascii="Arial" w:hAnsi="Arial" w:cs="Arial"/>
        </w:rPr>
        <w:t>Le certificat électronique doit être associé à une personne dûment habilitée à</w:t>
      </w:r>
      <w:r>
        <w:rPr>
          <w:rFonts w:ascii="Arial" w:hAnsi="Arial" w:cs="Arial"/>
        </w:rPr>
        <w:t xml:space="preserve"> engager la société du candidat.</w:t>
      </w:r>
      <w:r w:rsidR="001E4F81">
        <w:rPr>
          <w:rFonts w:ascii="Arial" w:hAnsi="Arial" w:cs="Arial"/>
        </w:rPr>
        <w:t xml:space="preserve"> </w:t>
      </w:r>
      <w:r w:rsidRPr="00E73289">
        <w:rPr>
          <w:rFonts w:ascii="Arial" w:hAnsi="Arial" w:cs="Arial"/>
        </w:rPr>
        <w:t>Attention, l’obtention d’un certificat électronique peut prendre plusieurs jours.</w:t>
      </w:r>
      <w:r w:rsidRPr="00DE1E06">
        <w:rPr>
          <w:rFonts w:ascii="Arial" w:hAnsi="Arial" w:cs="Arial"/>
        </w:rPr>
        <w:tab/>
      </w:r>
    </w:p>
    <w:p w14:paraId="1464A10D" w14:textId="343F4A4A" w:rsidR="00A71BEF" w:rsidRDefault="00A71BEF" w:rsidP="001E4F81">
      <w:pPr>
        <w:autoSpaceDE w:val="0"/>
        <w:autoSpaceDN w:val="0"/>
        <w:adjustRightInd w:val="0"/>
        <w:spacing w:after="0" w:line="240" w:lineRule="auto"/>
        <w:jc w:val="both"/>
        <w:rPr>
          <w:rFonts w:ascii="Arial" w:hAnsi="Arial" w:cs="Arial"/>
        </w:rPr>
      </w:pPr>
      <w:r w:rsidRPr="00DE1E06">
        <w:rPr>
          <w:rFonts w:ascii="Arial" w:hAnsi="Arial" w:cs="Arial"/>
        </w:rPr>
        <w:br/>
        <w:t xml:space="preserve">Le format de signature utilisé est conforme au référentiel général d’interopérabilité </w:t>
      </w:r>
      <w:r>
        <w:rPr>
          <w:rFonts w:ascii="Arial" w:hAnsi="Arial" w:cs="Arial"/>
        </w:rPr>
        <w:t>version 2.0 approuvé par l’arrêté du 20 avril 2016</w:t>
      </w:r>
      <w:r w:rsidRPr="00DE1E06">
        <w:rPr>
          <w:rFonts w:ascii="Arial" w:hAnsi="Arial" w:cs="Arial"/>
        </w:rPr>
        <w:t xml:space="preserve">. </w:t>
      </w:r>
      <w:r w:rsidRPr="008B653B">
        <w:rPr>
          <w:rFonts w:ascii="Arial" w:hAnsi="Arial" w:cs="Arial"/>
        </w:rPr>
        <w:t>Les formats de signa</w:t>
      </w:r>
      <w:r>
        <w:rPr>
          <w:rFonts w:ascii="Arial" w:hAnsi="Arial" w:cs="Arial"/>
        </w:rPr>
        <w:t>ture sont XAdES, CAdES ou PAdES.</w:t>
      </w:r>
    </w:p>
    <w:p w14:paraId="7B11D63D" w14:textId="77777777" w:rsidR="001E4F81" w:rsidRDefault="001E4F81" w:rsidP="001E4F81">
      <w:pPr>
        <w:autoSpaceDE w:val="0"/>
        <w:autoSpaceDN w:val="0"/>
        <w:adjustRightInd w:val="0"/>
        <w:spacing w:after="0" w:line="240" w:lineRule="auto"/>
        <w:jc w:val="both"/>
        <w:rPr>
          <w:rFonts w:ascii="Arial" w:hAnsi="Arial" w:cs="Arial"/>
        </w:rPr>
      </w:pPr>
    </w:p>
    <w:p w14:paraId="28997ADB" w14:textId="7654EECC" w:rsidR="00FE6E10" w:rsidRDefault="00FE6E10" w:rsidP="001E4F81">
      <w:pPr>
        <w:autoSpaceDE w:val="0"/>
        <w:autoSpaceDN w:val="0"/>
        <w:adjustRightInd w:val="0"/>
        <w:spacing w:after="0" w:line="240" w:lineRule="auto"/>
        <w:jc w:val="both"/>
        <w:rPr>
          <w:rFonts w:ascii="Arial" w:hAnsi="Arial" w:cs="Arial"/>
          <w:b/>
        </w:rPr>
      </w:pPr>
      <w:r>
        <w:rPr>
          <w:rFonts w:ascii="Arial" w:hAnsi="Arial" w:cs="Arial"/>
          <w:b/>
        </w:rPr>
        <w:t xml:space="preserve">Sauf mention contraire, l’Université de Lorraine invite les candidats à utiliser le format de fichier .pdf et à privilégier le format de signature PAdES. </w:t>
      </w:r>
    </w:p>
    <w:p w14:paraId="335A0611" w14:textId="77777777" w:rsidR="001E4F81" w:rsidRPr="00FE6E10" w:rsidRDefault="001E4F81" w:rsidP="001E4F81">
      <w:pPr>
        <w:autoSpaceDE w:val="0"/>
        <w:autoSpaceDN w:val="0"/>
        <w:adjustRightInd w:val="0"/>
        <w:spacing w:after="0" w:line="240" w:lineRule="auto"/>
        <w:jc w:val="both"/>
        <w:rPr>
          <w:rFonts w:ascii="Arial" w:hAnsi="Arial" w:cs="Arial"/>
          <w:b/>
        </w:rPr>
      </w:pPr>
    </w:p>
    <w:p w14:paraId="738336D4" w14:textId="1FA77AB1" w:rsidR="00A71BEF" w:rsidRDefault="00A71BEF" w:rsidP="001E4F81">
      <w:pPr>
        <w:autoSpaceDE w:val="0"/>
        <w:autoSpaceDN w:val="0"/>
        <w:adjustRightInd w:val="0"/>
        <w:spacing w:after="0" w:line="240" w:lineRule="auto"/>
        <w:jc w:val="both"/>
        <w:rPr>
          <w:rStyle w:val="Lienhypertexte"/>
        </w:rPr>
      </w:pPr>
      <w:r w:rsidRPr="00DE1E06">
        <w:rPr>
          <w:rFonts w:ascii="Arial" w:hAnsi="Arial" w:cs="Arial"/>
        </w:rPr>
        <w:t xml:space="preserve">Les informations concernant le référentiel général de sécurité sont disponibles à l’adresse suivante : </w:t>
      </w:r>
      <w:hyperlink r:id="rId13" w:history="1">
        <w:r w:rsidRPr="00DE1E06">
          <w:rPr>
            <w:rStyle w:val="Lienhypertexte"/>
          </w:rPr>
          <w:t>https://references.modernisation.gouv.fr/securite</w:t>
        </w:r>
      </w:hyperlink>
    </w:p>
    <w:p w14:paraId="771A9AD6" w14:textId="77777777" w:rsidR="001E4F81" w:rsidRPr="009D3599" w:rsidRDefault="001E4F81" w:rsidP="001E4F81">
      <w:pPr>
        <w:autoSpaceDE w:val="0"/>
        <w:autoSpaceDN w:val="0"/>
        <w:adjustRightInd w:val="0"/>
        <w:spacing w:after="0" w:line="240" w:lineRule="auto"/>
        <w:jc w:val="both"/>
      </w:pPr>
    </w:p>
    <w:p w14:paraId="0BDB4B52" w14:textId="52B2E8F8" w:rsidR="00A71BEF" w:rsidRPr="00DE1E06" w:rsidRDefault="00A71BEF" w:rsidP="001E4F81">
      <w:pPr>
        <w:autoSpaceDE w:val="0"/>
        <w:autoSpaceDN w:val="0"/>
        <w:adjustRightInd w:val="0"/>
        <w:spacing w:after="0" w:line="240" w:lineRule="auto"/>
        <w:jc w:val="both"/>
        <w:rPr>
          <w:rFonts w:ascii="Arial" w:hAnsi="Arial" w:cs="Arial"/>
          <w:b/>
        </w:rPr>
      </w:pPr>
      <w:r w:rsidRPr="00DE1E06">
        <w:rPr>
          <w:rFonts w:ascii="Arial" w:hAnsi="Arial" w:cs="Arial"/>
          <w:b/>
        </w:rPr>
        <w:t xml:space="preserve">NB : La seule signature du dossier permettant l’archivage et la compression des données (dossier de type « .zip »), contenant les documents remis à l’appui de la réponse du candidat n’est pas suffisante. Chacune des pièces </w:t>
      </w:r>
      <w:r w:rsidR="00F446C3">
        <w:rPr>
          <w:rFonts w:ascii="Arial" w:hAnsi="Arial" w:cs="Arial"/>
          <w:b/>
        </w:rPr>
        <w:t>de l’accord-cadre</w:t>
      </w:r>
      <w:r w:rsidRPr="00DE1E06">
        <w:rPr>
          <w:rFonts w:ascii="Arial" w:hAnsi="Arial" w:cs="Arial"/>
          <w:b/>
        </w:rPr>
        <w:t xml:space="preserve"> pour lesquelles la signature est requise doit être signée. Il appartient donc au candidat de signer électroniquement individuellement les documents figurant dans ces dossiers.</w:t>
      </w:r>
      <w:r w:rsidR="001E4F81">
        <w:rPr>
          <w:rFonts w:ascii="Arial" w:hAnsi="Arial" w:cs="Arial"/>
          <w:b/>
        </w:rPr>
        <w:br/>
      </w:r>
    </w:p>
    <w:p w14:paraId="76E53644" w14:textId="34A05B38" w:rsidR="00A71BEF" w:rsidRDefault="00A71BEF" w:rsidP="001E4F81">
      <w:pPr>
        <w:autoSpaceDE w:val="0"/>
        <w:autoSpaceDN w:val="0"/>
        <w:adjustRightInd w:val="0"/>
        <w:spacing w:after="0" w:line="240" w:lineRule="auto"/>
        <w:jc w:val="both"/>
        <w:rPr>
          <w:rFonts w:ascii="Arial" w:hAnsi="Arial" w:cs="Arial"/>
          <w:b/>
        </w:rPr>
      </w:pPr>
      <w:r w:rsidRPr="00DE1E06">
        <w:rPr>
          <w:rFonts w:ascii="Arial" w:hAnsi="Arial" w:cs="Arial"/>
          <w:b/>
        </w:rPr>
        <w:t>Il est par ailleurs rappelé qu’une signature manuscrite scannée n’a pas d’autre valeur que celle d’une copie et ne peut pas remplacer la signature électronique.</w:t>
      </w:r>
    </w:p>
    <w:p w14:paraId="06D8471E" w14:textId="77777777" w:rsidR="001E4F81" w:rsidRPr="009D3599" w:rsidRDefault="001E4F81" w:rsidP="001E4F81">
      <w:pPr>
        <w:autoSpaceDE w:val="0"/>
        <w:autoSpaceDN w:val="0"/>
        <w:adjustRightInd w:val="0"/>
        <w:spacing w:after="0" w:line="240" w:lineRule="auto"/>
        <w:jc w:val="both"/>
        <w:rPr>
          <w:rFonts w:ascii="Arial" w:hAnsi="Arial" w:cs="Arial"/>
          <w:b/>
        </w:rPr>
      </w:pPr>
    </w:p>
    <w:p w14:paraId="525FD8B8" w14:textId="322D0039" w:rsidR="00A71BEF" w:rsidRDefault="00A71BEF" w:rsidP="001E4F81">
      <w:pPr>
        <w:autoSpaceDE w:val="0"/>
        <w:autoSpaceDN w:val="0"/>
        <w:adjustRightInd w:val="0"/>
        <w:spacing w:after="0" w:line="240" w:lineRule="auto"/>
        <w:jc w:val="both"/>
        <w:rPr>
          <w:rFonts w:ascii="Arial" w:hAnsi="Arial" w:cs="Arial"/>
        </w:rPr>
      </w:pPr>
      <w:r w:rsidRPr="00DE1E06">
        <w:rPr>
          <w:rFonts w:ascii="Arial" w:hAnsi="Arial" w:cs="Arial"/>
        </w:rPr>
        <w:t>La liste exhaustive des formats autorisés pour la transmission électron</w:t>
      </w:r>
      <w:r>
        <w:rPr>
          <w:rFonts w:ascii="Arial" w:hAnsi="Arial" w:cs="Arial"/>
        </w:rPr>
        <w:t xml:space="preserve">ique des plis est la suivante : </w:t>
      </w:r>
      <w:r w:rsidRPr="00DE1E06">
        <w:rPr>
          <w:rFonts w:ascii="Arial" w:hAnsi="Arial" w:cs="Arial"/>
        </w:rPr>
        <w:t>.zip, .pdf, .doc, .rtf, dwg et .xls.</w:t>
      </w:r>
    </w:p>
    <w:p w14:paraId="036E58A3" w14:textId="77777777" w:rsidR="001E4F81" w:rsidRPr="00DE1E06" w:rsidRDefault="001E4F81" w:rsidP="001E4F81">
      <w:pPr>
        <w:autoSpaceDE w:val="0"/>
        <w:autoSpaceDN w:val="0"/>
        <w:adjustRightInd w:val="0"/>
        <w:spacing w:after="0" w:line="240" w:lineRule="auto"/>
        <w:jc w:val="both"/>
        <w:rPr>
          <w:rFonts w:ascii="Arial" w:hAnsi="Arial" w:cs="Arial"/>
        </w:rPr>
      </w:pPr>
    </w:p>
    <w:p w14:paraId="3A28E96C" w14:textId="3B4B1518" w:rsidR="00A71BEF" w:rsidRDefault="00A71BEF" w:rsidP="001E4F81">
      <w:pPr>
        <w:spacing w:after="0" w:line="240" w:lineRule="auto"/>
        <w:jc w:val="both"/>
        <w:rPr>
          <w:rFonts w:ascii="Arial" w:hAnsi="Arial" w:cs="Arial"/>
        </w:rPr>
      </w:pPr>
      <w:r w:rsidRPr="00DE1E06">
        <w:rPr>
          <w:rFonts w:ascii="Arial" w:hAnsi="Arial" w:cs="Arial"/>
        </w:rPr>
        <w:t>Le candidat est invité à ne pas utiliser de macro-instructions dans les documents transmis et à faire en sorte que sa réponse ne</w:t>
      </w:r>
      <w:r>
        <w:rPr>
          <w:rFonts w:ascii="Arial" w:hAnsi="Arial" w:cs="Arial"/>
        </w:rPr>
        <w:t xml:space="preserve"> soit pas trop volumineuse(s).</w:t>
      </w:r>
    </w:p>
    <w:p w14:paraId="4A75162E" w14:textId="77777777" w:rsidR="001E4F81" w:rsidRPr="00A71BEF" w:rsidRDefault="001E4F81" w:rsidP="001E4F81">
      <w:pPr>
        <w:spacing w:after="0" w:line="240" w:lineRule="auto"/>
        <w:jc w:val="both"/>
        <w:rPr>
          <w:rFonts w:ascii="Arial" w:hAnsi="Arial" w:cs="Arial"/>
          <w:b/>
          <w:u w:val="single"/>
        </w:rPr>
      </w:pPr>
    </w:p>
    <w:p w14:paraId="1A9AF92C" w14:textId="77777777" w:rsidR="00F2023E" w:rsidRPr="00316808" w:rsidRDefault="002F09B0"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bookmarkStart w:id="7" w:name="_Toc360780385"/>
      <w:r w:rsidRPr="00316808">
        <w:rPr>
          <w:rFonts w:ascii="Arial" w:eastAsia="Times New Roman" w:hAnsi="Arial" w:cs="Arial"/>
          <w:b/>
          <w:iCs/>
          <w:sz w:val="26"/>
          <w:szCs w:val="26"/>
          <w:lang w:eastAsia="ar-SA"/>
        </w:rPr>
        <w:t>Modifications apportées par l’Université au dossier de la consultation et</w:t>
      </w:r>
      <w:r w:rsidR="0057365D" w:rsidRPr="00316808">
        <w:rPr>
          <w:rFonts w:ascii="Arial" w:eastAsia="Times New Roman" w:hAnsi="Arial" w:cs="Arial"/>
          <w:b/>
          <w:iCs/>
          <w:sz w:val="26"/>
          <w:szCs w:val="26"/>
          <w:lang w:eastAsia="ar-SA"/>
        </w:rPr>
        <w:t xml:space="preserve"> </w:t>
      </w:r>
      <w:r w:rsidRPr="00316808">
        <w:rPr>
          <w:rFonts w:ascii="Arial" w:eastAsia="Times New Roman" w:hAnsi="Arial" w:cs="Arial"/>
          <w:b/>
          <w:iCs/>
          <w:sz w:val="26"/>
          <w:szCs w:val="26"/>
          <w:lang w:eastAsia="ar-SA"/>
        </w:rPr>
        <w:t>r</w:t>
      </w:r>
      <w:r w:rsidR="00F2023E" w:rsidRPr="00316808">
        <w:rPr>
          <w:rFonts w:ascii="Arial" w:eastAsia="Times New Roman" w:hAnsi="Arial" w:cs="Arial"/>
          <w:b/>
          <w:iCs/>
          <w:sz w:val="26"/>
          <w:szCs w:val="26"/>
          <w:lang w:eastAsia="ar-SA"/>
        </w:rPr>
        <w:t>etrait du dossier de la consultation</w:t>
      </w:r>
    </w:p>
    <w:p w14:paraId="3182F553" w14:textId="77777777" w:rsidR="001E4F81" w:rsidRDefault="001E4F81" w:rsidP="001E4F81">
      <w:pPr>
        <w:tabs>
          <w:tab w:val="left" w:pos="280"/>
          <w:tab w:val="left" w:pos="3640"/>
        </w:tabs>
        <w:spacing w:after="0" w:line="240" w:lineRule="auto"/>
        <w:jc w:val="both"/>
        <w:rPr>
          <w:rFonts w:ascii="Arial" w:hAnsi="Arial" w:cs="Arial"/>
        </w:rPr>
      </w:pPr>
    </w:p>
    <w:p w14:paraId="6F590E72" w14:textId="080A4C7E" w:rsidR="009D3599" w:rsidRDefault="009D3599" w:rsidP="001E4F81">
      <w:pPr>
        <w:tabs>
          <w:tab w:val="left" w:pos="280"/>
          <w:tab w:val="left" w:pos="3640"/>
        </w:tabs>
        <w:spacing w:after="0" w:line="240" w:lineRule="auto"/>
        <w:jc w:val="both"/>
        <w:rPr>
          <w:rFonts w:ascii="Arial" w:hAnsi="Arial" w:cs="Arial"/>
        </w:rPr>
      </w:pPr>
      <w:r w:rsidRPr="00CD4796">
        <w:rPr>
          <w:rFonts w:ascii="Arial" w:hAnsi="Arial" w:cs="Arial"/>
        </w:rPr>
        <w:t>L’Université se r</w:t>
      </w:r>
      <w:r>
        <w:rPr>
          <w:rFonts w:ascii="Arial" w:hAnsi="Arial" w:cs="Arial"/>
        </w:rPr>
        <w:t xml:space="preserve">éserve le droit d’apporter des </w:t>
      </w:r>
      <w:r w:rsidRPr="00CD4796">
        <w:rPr>
          <w:rFonts w:ascii="Arial" w:hAnsi="Arial" w:cs="Arial"/>
        </w:rPr>
        <w:t>modifications au dossier de consultation.</w:t>
      </w:r>
      <w:r w:rsidRPr="00CD4796">
        <w:rPr>
          <w:rFonts w:ascii="Arial" w:hAnsi="Arial" w:cs="Arial"/>
        </w:rPr>
        <w:tab/>
      </w:r>
    </w:p>
    <w:p w14:paraId="0E25415D" w14:textId="77777777" w:rsidR="001E4F81" w:rsidRPr="00CD4796" w:rsidRDefault="001E4F81" w:rsidP="001E4F81">
      <w:pPr>
        <w:tabs>
          <w:tab w:val="left" w:pos="280"/>
          <w:tab w:val="left" w:pos="3640"/>
        </w:tabs>
        <w:spacing w:after="0" w:line="240" w:lineRule="auto"/>
        <w:jc w:val="both"/>
        <w:rPr>
          <w:rFonts w:ascii="Arial" w:hAnsi="Arial" w:cs="Arial"/>
        </w:rPr>
      </w:pPr>
    </w:p>
    <w:p w14:paraId="07C5FCEE" w14:textId="08388D73" w:rsidR="009D3599" w:rsidRDefault="009D3599" w:rsidP="001E4F81">
      <w:pPr>
        <w:tabs>
          <w:tab w:val="left" w:pos="280"/>
          <w:tab w:val="left" w:pos="3640"/>
        </w:tabs>
        <w:spacing w:after="0" w:line="240" w:lineRule="auto"/>
        <w:jc w:val="both"/>
        <w:rPr>
          <w:rFonts w:ascii="Arial" w:hAnsi="Arial" w:cs="Arial"/>
        </w:rPr>
      </w:pPr>
      <w:r w:rsidRPr="00CD4796">
        <w:rPr>
          <w:rFonts w:ascii="Arial" w:hAnsi="Arial" w:cs="Arial"/>
        </w:rPr>
        <w:lastRenderedPageBreak/>
        <w:t>Les</w:t>
      </w:r>
      <w:r>
        <w:rPr>
          <w:rFonts w:ascii="Arial" w:hAnsi="Arial" w:cs="Arial"/>
        </w:rPr>
        <w:t xml:space="preserve"> candidats en seront informés p</w:t>
      </w:r>
      <w:r w:rsidRPr="00CD4796">
        <w:rPr>
          <w:rFonts w:ascii="Arial" w:hAnsi="Arial" w:cs="Arial"/>
        </w:rPr>
        <w:t>ar courrier électronique à l’adresse électronique indiquée par les candidats ayant communiqué une adresse électronique.</w:t>
      </w:r>
    </w:p>
    <w:p w14:paraId="7C972448" w14:textId="77777777" w:rsidR="001E4F81" w:rsidRPr="00CD4796" w:rsidRDefault="001E4F81" w:rsidP="001E4F81">
      <w:pPr>
        <w:tabs>
          <w:tab w:val="left" w:pos="280"/>
          <w:tab w:val="left" w:pos="3640"/>
        </w:tabs>
        <w:spacing w:after="0" w:line="240" w:lineRule="auto"/>
        <w:jc w:val="both"/>
        <w:rPr>
          <w:rFonts w:ascii="Arial" w:hAnsi="Arial" w:cs="Arial"/>
        </w:rPr>
      </w:pPr>
    </w:p>
    <w:p w14:paraId="384F8E39" w14:textId="4D57D522" w:rsidR="00C92815" w:rsidRPr="009D3599" w:rsidRDefault="009D3599" w:rsidP="001E4F81">
      <w:pPr>
        <w:autoSpaceDE w:val="0"/>
        <w:spacing w:after="0" w:line="240" w:lineRule="auto"/>
        <w:jc w:val="both"/>
        <w:rPr>
          <w:rFonts w:ascii="Arial" w:hAnsi="Arial" w:cs="Arial"/>
          <w:b/>
          <w:u w:val="single"/>
        </w:rPr>
      </w:pPr>
      <w:r w:rsidRPr="00CD4796">
        <w:rPr>
          <w:rFonts w:ascii="Arial" w:hAnsi="Arial" w:cs="Arial"/>
          <w:b/>
          <w:u w:val="single"/>
        </w:rPr>
        <w:t>AUSSI, IL EST FORTEMENT RECOMMANDE AUX PERSONNES TELECHARGEANT LE DOSSIER DE CONSULTATION DE RENSEIGNER LE FORMULAIRE D’IDENTIFICATION DESTINE A PERMETTRE LA TRANSMISSION DES MODIFICATIONS EVENTUELLES.</w:t>
      </w:r>
      <w:r w:rsidR="001E4F81">
        <w:rPr>
          <w:rFonts w:ascii="Arial" w:hAnsi="Arial" w:cs="Arial"/>
          <w:b/>
          <w:u w:val="single"/>
        </w:rPr>
        <w:br/>
      </w:r>
    </w:p>
    <w:p w14:paraId="5F0FE8C9" w14:textId="77777777" w:rsidR="00F2023E" w:rsidRPr="00316808" w:rsidRDefault="00F2023E"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sidRPr="00316808">
        <w:rPr>
          <w:rFonts w:ascii="Arial" w:eastAsia="Times New Roman" w:hAnsi="Arial" w:cs="Arial"/>
          <w:b/>
          <w:iCs/>
          <w:sz w:val="26"/>
          <w:szCs w:val="26"/>
          <w:lang w:eastAsia="ar-SA"/>
        </w:rPr>
        <w:t>Conditions de participation</w:t>
      </w:r>
    </w:p>
    <w:p w14:paraId="00625D30" w14:textId="3D985524" w:rsidR="00F2023E" w:rsidRDefault="00F2023E" w:rsidP="001E4F81">
      <w:pPr>
        <w:spacing w:after="0" w:line="240" w:lineRule="auto"/>
        <w:jc w:val="both"/>
        <w:rPr>
          <w:rFonts w:ascii="Arial" w:hAnsi="Arial" w:cs="Arial"/>
        </w:rPr>
      </w:pPr>
      <w:r w:rsidRPr="00162D45">
        <w:rPr>
          <w:rFonts w:ascii="Arial" w:hAnsi="Arial" w:cs="Arial"/>
        </w:rPr>
        <w:br/>
        <w:t>Sont demandés concernant la</w:t>
      </w:r>
      <w:r w:rsidR="00E52BC8" w:rsidRPr="00162D45">
        <w:rPr>
          <w:rFonts w:ascii="Arial" w:hAnsi="Arial" w:cs="Arial"/>
        </w:rPr>
        <w:t xml:space="preserve"> situation propre du candidat l</w:t>
      </w:r>
      <w:r w:rsidRPr="00162D45">
        <w:rPr>
          <w:rFonts w:ascii="Arial" w:hAnsi="Arial" w:cs="Arial"/>
        </w:rPr>
        <w:t>es renseignements nécessaires pour obtenir une évaluation de la capacité économique, financière et technique en vue de la sélection des candidature</w:t>
      </w:r>
      <w:r w:rsidR="00C92815" w:rsidRPr="00162D45">
        <w:rPr>
          <w:rFonts w:ascii="Arial" w:hAnsi="Arial" w:cs="Arial"/>
        </w:rPr>
        <w:t xml:space="preserve">s en application </w:t>
      </w:r>
      <w:r w:rsidR="00D76C31">
        <w:rPr>
          <w:rFonts w:ascii="Arial" w:hAnsi="Arial" w:cs="Arial"/>
        </w:rPr>
        <w:t xml:space="preserve">de l’article R2144-3 du Code de la Commande Publique. </w:t>
      </w:r>
      <w:r w:rsidR="009D3599">
        <w:rPr>
          <w:rFonts w:ascii="Arial" w:hAnsi="Arial" w:cs="Arial"/>
        </w:rPr>
        <w:t xml:space="preserve"> </w:t>
      </w:r>
    </w:p>
    <w:p w14:paraId="18070D1D" w14:textId="77777777" w:rsidR="001E4F81" w:rsidRPr="00162D45" w:rsidRDefault="001E4F81" w:rsidP="001E4F81">
      <w:pPr>
        <w:spacing w:after="0" w:line="240" w:lineRule="auto"/>
        <w:jc w:val="both"/>
        <w:rPr>
          <w:rFonts w:ascii="Arial" w:hAnsi="Arial" w:cs="Arial"/>
        </w:rPr>
      </w:pPr>
    </w:p>
    <w:p w14:paraId="589D98B5" w14:textId="618ECC81" w:rsidR="00F2023E" w:rsidRDefault="00F2023E" w:rsidP="001E4F81">
      <w:pPr>
        <w:spacing w:after="0" w:line="240" w:lineRule="auto"/>
        <w:jc w:val="both"/>
        <w:rPr>
          <w:rFonts w:ascii="Arial" w:hAnsi="Arial" w:cs="Arial"/>
        </w:rPr>
      </w:pPr>
      <w:r w:rsidRPr="00162D45">
        <w:rPr>
          <w:rFonts w:ascii="Arial" w:hAnsi="Arial" w:cs="Arial"/>
        </w:rPr>
        <w:t>Les candidats n’ont la possibilité de présenter qu’une seule offre en qualité de candidat individuel.</w:t>
      </w:r>
      <w:r w:rsidR="009D3599">
        <w:rPr>
          <w:rFonts w:ascii="Arial" w:hAnsi="Arial" w:cs="Arial"/>
        </w:rPr>
        <w:t xml:space="preserve"> </w:t>
      </w:r>
      <w:r w:rsidRPr="00162D45">
        <w:rPr>
          <w:rFonts w:ascii="Arial" w:hAnsi="Arial" w:cs="Arial"/>
        </w:rPr>
        <w:t xml:space="preserve">Ils ont néanmoins la possibilité de présenter une ou plusieurs offres en qualité de membre d’un ou plusieurs groupements d’opérateurs économiques, solidaire ou conjoint. </w:t>
      </w:r>
    </w:p>
    <w:p w14:paraId="3E4848D4" w14:textId="77777777" w:rsidR="001E4F81" w:rsidRPr="00162D45" w:rsidRDefault="001E4F81" w:rsidP="001E4F81">
      <w:pPr>
        <w:spacing w:after="0" w:line="240" w:lineRule="auto"/>
        <w:jc w:val="both"/>
        <w:rPr>
          <w:rFonts w:ascii="Arial" w:hAnsi="Arial" w:cs="Arial"/>
        </w:rPr>
      </w:pPr>
    </w:p>
    <w:p w14:paraId="30F84048" w14:textId="761ED04B" w:rsidR="00F2023E" w:rsidRDefault="00F2023E" w:rsidP="001E4F81">
      <w:pPr>
        <w:autoSpaceDE w:val="0"/>
        <w:spacing w:after="0" w:line="240" w:lineRule="auto"/>
        <w:jc w:val="both"/>
        <w:rPr>
          <w:rFonts w:ascii="Arial" w:hAnsi="Arial" w:cs="Arial"/>
        </w:rPr>
      </w:pPr>
      <w:r w:rsidRPr="00162D45">
        <w:rPr>
          <w:rFonts w:ascii="Arial" w:hAnsi="Arial" w:cs="Arial"/>
        </w:rPr>
        <w:t xml:space="preserve">En cas de groupement d’entreprises, aucune forme particulière n’est exigée par le pouvoir adjudicateur dès lors que la forme du groupement attributaire est compatible avec une exécution conforme du </w:t>
      </w:r>
      <w:r w:rsidR="00F446C3">
        <w:rPr>
          <w:rFonts w:ascii="Arial" w:hAnsi="Arial" w:cs="Arial"/>
        </w:rPr>
        <w:t>contrat</w:t>
      </w:r>
      <w:r w:rsidRPr="00162D45">
        <w:rPr>
          <w:rFonts w:ascii="Arial" w:hAnsi="Arial" w:cs="Arial"/>
        </w:rPr>
        <w:t xml:space="preserve">. Les candidatures et les offres sont signées soit par l’ensemble des membres du groupement, soit par le mandataire s’il justifie des habilitations nécessaires au stade de la passation du </w:t>
      </w:r>
      <w:r w:rsidR="00F446C3">
        <w:rPr>
          <w:rFonts w:ascii="Arial" w:hAnsi="Arial" w:cs="Arial"/>
        </w:rPr>
        <w:t>contrat</w:t>
      </w:r>
      <w:r w:rsidRPr="00162D45">
        <w:rPr>
          <w:rFonts w:ascii="Arial" w:hAnsi="Arial" w:cs="Arial"/>
        </w:rPr>
        <w:t>.</w:t>
      </w:r>
    </w:p>
    <w:p w14:paraId="1729C0F0" w14:textId="77777777" w:rsidR="001E4F81" w:rsidRPr="00162D45" w:rsidRDefault="001E4F81" w:rsidP="001E4F81">
      <w:pPr>
        <w:autoSpaceDE w:val="0"/>
        <w:spacing w:after="0" w:line="240" w:lineRule="auto"/>
        <w:jc w:val="both"/>
        <w:rPr>
          <w:rFonts w:ascii="Arial" w:hAnsi="Arial" w:cs="Arial"/>
        </w:rPr>
      </w:pPr>
    </w:p>
    <w:p w14:paraId="3EC6DAEE" w14:textId="37DB7C0C" w:rsidR="00F2023E" w:rsidRDefault="00F2023E" w:rsidP="001E4F81">
      <w:pPr>
        <w:spacing w:after="0" w:line="240" w:lineRule="auto"/>
        <w:jc w:val="both"/>
        <w:rPr>
          <w:rFonts w:ascii="Arial" w:hAnsi="Arial" w:cs="Arial"/>
        </w:rPr>
      </w:pPr>
      <w:r w:rsidRPr="00162D45">
        <w:rPr>
          <w:rFonts w:ascii="Arial" w:hAnsi="Arial" w:cs="Arial"/>
        </w:rPr>
        <w:t xml:space="preserve">En cas de groupement conjoint, le groupement candidat </w:t>
      </w:r>
      <w:r w:rsidR="00E52BC8" w:rsidRPr="00162D45">
        <w:rPr>
          <w:rFonts w:ascii="Arial" w:hAnsi="Arial" w:cs="Arial"/>
        </w:rPr>
        <w:t>veillera à bien remplir l’article « Répartition des prestations »</w:t>
      </w:r>
      <w:r w:rsidR="00DA7B30" w:rsidRPr="00162D45">
        <w:rPr>
          <w:rFonts w:ascii="Arial" w:hAnsi="Arial" w:cs="Arial"/>
        </w:rPr>
        <w:t xml:space="preserve"> de l’acte d’</w:t>
      </w:r>
      <w:r w:rsidR="002E6BA1" w:rsidRPr="00162D45">
        <w:rPr>
          <w:rFonts w:ascii="Arial" w:hAnsi="Arial" w:cs="Arial"/>
        </w:rPr>
        <w:t>engagement et</w:t>
      </w:r>
      <w:r w:rsidRPr="00162D45">
        <w:rPr>
          <w:rFonts w:ascii="Arial" w:hAnsi="Arial" w:cs="Arial"/>
        </w:rPr>
        <w:t xml:space="preserve"> joindra les RIB des membres du groupement. </w:t>
      </w:r>
    </w:p>
    <w:p w14:paraId="7A32AF6C" w14:textId="77777777" w:rsidR="001E4F81" w:rsidRPr="00162D45" w:rsidRDefault="001E4F81" w:rsidP="001E4F81">
      <w:pPr>
        <w:spacing w:after="0" w:line="240" w:lineRule="auto"/>
        <w:jc w:val="both"/>
        <w:rPr>
          <w:rFonts w:ascii="Arial" w:hAnsi="Arial" w:cs="Arial"/>
        </w:rPr>
      </w:pPr>
    </w:p>
    <w:p w14:paraId="400026D5" w14:textId="0580C4FD" w:rsidR="00F2023E" w:rsidRDefault="00F2023E"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sidRPr="00316808">
        <w:rPr>
          <w:rFonts w:ascii="Arial" w:eastAsia="Times New Roman" w:hAnsi="Arial" w:cs="Arial"/>
          <w:b/>
          <w:iCs/>
          <w:sz w:val="26"/>
          <w:szCs w:val="26"/>
          <w:lang w:eastAsia="ar-SA"/>
        </w:rPr>
        <w:t>Présentation des candidatures et des offres</w:t>
      </w:r>
    </w:p>
    <w:p w14:paraId="3811D00A" w14:textId="77777777" w:rsidR="001E4F81" w:rsidRPr="001E4F81" w:rsidRDefault="001E4F81" w:rsidP="001E4F81">
      <w:pPr>
        <w:spacing w:after="0" w:line="240" w:lineRule="auto"/>
        <w:rPr>
          <w:rFonts w:ascii="Arial" w:hAnsi="Arial" w:cs="Arial"/>
        </w:rPr>
      </w:pPr>
    </w:p>
    <w:p w14:paraId="5452AD92" w14:textId="2F549347" w:rsidR="00F2023E" w:rsidRPr="00162D45" w:rsidRDefault="00B8590E"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7</w:t>
      </w:r>
      <w:r w:rsidR="00EF55D5" w:rsidRPr="00162D45">
        <w:rPr>
          <w:rFonts w:ascii="Arial" w:eastAsiaTheme="majorEastAsia" w:hAnsi="Arial" w:cs="Arial"/>
          <w:b/>
          <w:bCs/>
        </w:rPr>
        <w:t>.1</w:t>
      </w:r>
      <w:r w:rsidR="00F2023E" w:rsidRPr="00162D45">
        <w:rPr>
          <w:rFonts w:ascii="Arial" w:eastAsiaTheme="majorEastAsia" w:hAnsi="Arial" w:cs="Arial"/>
          <w:b/>
          <w:bCs/>
        </w:rPr>
        <w:t>- Pièces demandées à l’appui de la candidature</w:t>
      </w:r>
      <w:r w:rsidR="00F2023E" w:rsidRPr="00162D45">
        <w:rPr>
          <w:rFonts w:ascii="Arial" w:eastAsiaTheme="majorEastAsia" w:hAnsi="Arial" w:cs="Arial"/>
          <w:b/>
          <w:bCs/>
        </w:rPr>
        <w:tab/>
      </w:r>
    </w:p>
    <w:p w14:paraId="02D989D7" w14:textId="575706E2" w:rsidR="00F2023E" w:rsidRDefault="00F2023E" w:rsidP="001E4F81">
      <w:pPr>
        <w:spacing w:after="0" w:line="240" w:lineRule="auto"/>
        <w:rPr>
          <w:rFonts w:ascii="Arial" w:hAnsi="Arial" w:cs="Arial"/>
        </w:rPr>
      </w:pPr>
      <w:r w:rsidRPr="00162D45">
        <w:rPr>
          <w:rFonts w:ascii="Arial" w:hAnsi="Arial" w:cs="Arial"/>
        </w:rPr>
        <w:br/>
        <w:t xml:space="preserve">Le dossier de candidature doit comporter les pièces suivantes : </w:t>
      </w:r>
    </w:p>
    <w:p w14:paraId="40AFF0E1" w14:textId="77777777" w:rsidR="001E4F81" w:rsidRPr="00162D45" w:rsidRDefault="001E4F81" w:rsidP="001E4F81">
      <w:pPr>
        <w:spacing w:after="0" w:line="240" w:lineRule="auto"/>
        <w:rPr>
          <w:rFonts w:ascii="Arial" w:hAnsi="Arial" w:cs="Arial"/>
        </w:rPr>
      </w:pPr>
    </w:p>
    <w:p w14:paraId="6E89C1BD" w14:textId="77777777" w:rsidR="00DB2F14" w:rsidRDefault="00F2023E" w:rsidP="001E4F81">
      <w:pPr>
        <w:numPr>
          <w:ilvl w:val="0"/>
          <w:numId w:val="4"/>
        </w:numPr>
        <w:tabs>
          <w:tab w:val="left" w:pos="720"/>
        </w:tabs>
        <w:suppressAutoHyphens/>
        <w:spacing w:after="0" w:line="240" w:lineRule="auto"/>
        <w:jc w:val="both"/>
        <w:rPr>
          <w:rFonts w:ascii="Arial" w:hAnsi="Arial" w:cs="Arial"/>
        </w:rPr>
      </w:pPr>
      <w:r w:rsidRPr="00162D45">
        <w:rPr>
          <w:rFonts w:ascii="Arial" w:hAnsi="Arial" w:cs="Arial"/>
          <w:b/>
          <w:bCs/>
          <w:u w:val="single"/>
        </w:rPr>
        <w:t xml:space="preserve">Une lettre de présentation de la candidature (modèle recommandé : formulaire DC1 joint au dossier de consultation) </w:t>
      </w:r>
      <w:r w:rsidR="008F12A9">
        <w:rPr>
          <w:rFonts w:ascii="Arial" w:hAnsi="Arial" w:cs="Arial"/>
          <w:b/>
          <w:bCs/>
          <w:u w:val="single"/>
        </w:rPr>
        <w:t>complétée</w:t>
      </w:r>
      <w:r w:rsidRPr="00162D45">
        <w:rPr>
          <w:rFonts w:ascii="Arial" w:hAnsi="Arial" w:cs="Arial"/>
          <w:b/>
          <w:bCs/>
          <w:u w:val="single"/>
        </w:rPr>
        <w:t xml:space="preserve"> </w:t>
      </w:r>
    </w:p>
    <w:p w14:paraId="35DA5830" w14:textId="38B8CD58" w:rsidR="00F2023E" w:rsidRPr="00162D45" w:rsidRDefault="00F2023E" w:rsidP="001E4F81">
      <w:pPr>
        <w:numPr>
          <w:ilvl w:val="0"/>
          <w:numId w:val="4"/>
        </w:numPr>
        <w:tabs>
          <w:tab w:val="left" w:pos="720"/>
        </w:tabs>
        <w:suppressAutoHyphens/>
        <w:spacing w:after="0" w:line="240" w:lineRule="auto"/>
        <w:jc w:val="both"/>
        <w:rPr>
          <w:rFonts w:ascii="Arial" w:hAnsi="Arial" w:cs="Arial"/>
          <w:b/>
          <w:bCs/>
          <w:u w:val="single"/>
        </w:rPr>
      </w:pPr>
      <w:r w:rsidRPr="00162D45">
        <w:rPr>
          <w:rFonts w:ascii="Arial" w:hAnsi="Arial" w:cs="Arial"/>
          <w:b/>
          <w:bCs/>
          <w:u w:val="single"/>
        </w:rPr>
        <w:t>La déclaration du candidat (modèle recommandé : formulaire DC2 joint au dossier de consultation) dûment renseignée</w:t>
      </w:r>
      <w:r w:rsidR="001E4F81">
        <w:rPr>
          <w:rFonts w:ascii="Arial" w:hAnsi="Arial" w:cs="Arial"/>
          <w:b/>
          <w:bCs/>
          <w:u w:val="single"/>
        </w:rPr>
        <w:t xml:space="preserve"> </w:t>
      </w:r>
      <w:r w:rsidRPr="00162D45">
        <w:rPr>
          <w:rFonts w:ascii="Arial" w:hAnsi="Arial" w:cs="Arial"/>
          <w:b/>
          <w:bCs/>
          <w:u w:val="single"/>
        </w:rPr>
        <w:t>;</w:t>
      </w:r>
    </w:p>
    <w:p w14:paraId="326B8DD8" w14:textId="77777777" w:rsidR="000F5F01" w:rsidRDefault="00F2023E" w:rsidP="001E4F81">
      <w:pPr>
        <w:numPr>
          <w:ilvl w:val="0"/>
          <w:numId w:val="4"/>
        </w:numPr>
        <w:tabs>
          <w:tab w:val="left" w:pos="720"/>
        </w:tabs>
        <w:suppressAutoHyphens/>
        <w:spacing w:after="0" w:line="240" w:lineRule="auto"/>
        <w:jc w:val="both"/>
        <w:rPr>
          <w:rFonts w:ascii="Arial" w:hAnsi="Arial" w:cs="Arial"/>
          <w:b/>
          <w:bCs/>
          <w:u w:val="single"/>
        </w:rPr>
      </w:pPr>
      <w:r w:rsidRPr="00162D45">
        <w:rPr>
          <w:rFonts w:ascii="Arial" w:hAnsi="Arial" w:cs="Arial"/>
          <w:b/>
          <w:bCs/>
          <w:u w:val="single"/>
        </w:rPr>
        <w:t>La déclaration concernant le chiffre d'affaires global et le chiffre d'affaires con</w:t>
      </w:r>
      <w:r w:rsidR="00F446C3">
        <w:rPr>
          <w:rFonts w:ascii="Arial" w:hAnsi="Arial" w:cs="Arial"/>
          <w:b/>
          <w:bCs/>
          <w:u w:val="single"/>
        </w:rPr>
        <w:t>cernant les prestations objet de l’accord-cadre</w:t>
      </w:r>
      <w:r w:rsidRPr="00162D45">
        <w:rPr>
          <w:rFonts w:ascii="Arial" w:hAnsi="Arial" w:cs="Arial"/>
          <w:b/>
          <w:bCs/>
          <w:u w:val="single"/>
        </w:rPr>
        <w:t>, réalisées au cours des trois derniers exercices disponibles (modèle recommandé : formulaire DC2);</w:t>
      </w:r>
    </w:p>
    <w:p w14:paraId="0E574D3E" w14:textId="4F956C60" w:rsidR="00F2023E" w:rsidRPr="000F5F01" w:rsidRDefault="001A22EC" w:rsidP="001E4F81">
      <w:pPr>
        <w:numPr>
          <w:ilvl w:val="0"/>
          <w:numId w:val="4"/>
        </w:numPr>
        <w:tabs>
          <w:tab w:val="left" w:pos="720"/>
        </w:tabs>
        <w:suppressAutoHyphens/>
        <w:spacing w:after="0" w:line="240" w:lineRule="auto"/>
        <w:jc w:val="both"/>
        <w:rPr>
          <w:rFonts w:ascii="Arial" w:hAnsi="Arial" w:cs="Arial"/>
          <w:b/>
          <w:bCs/>
          <w:u w:val="single"/>
        </w:rPr>
      </w:pPr>
      <w:r w:rsidRPr="000F5F01">
        <w:rPr>
          <w:rFonts w:ascii="Arial" w:hAnsi="Arial" w:cs="Arial"/>
          <w:b/>
          <w:bCs/>
          <w:u w:val="single"/>
        </w:rPr>
        <w:t>Une liste des principaux clients (publics et/ou privés) auxquels le candidat fournit les produits objets du ou des lots concernés, indiquant le volume et la date de fourniture ;</w:t>
      </w:r>
    </w:p>
    <w:p w14:paraId="463B0F47" w14:textId="77777777" w:rsidR="008F12A9" w:rsidRDefault="00F2023E" w:rsidP="001E4F81">
      <w:pPr>
        <w:numPr>
          <w:ilvl w:val="0"/>
          <w:numId w:val="4"/>
        </w:numPr>
        <w:tabs>
          <w:tab w:val="left" w:pos="720"/>
        </w:tabs>
        <w:suppressAutoHyphens/>
        <w:spacing w:after="0" w:line="240" w:lineRule="auto"/>
        <w:jc w:val="both"/>
        <w:rPr>
          <w:rFonts w:ascii="Arial" w:hAnsi="Arial" w:cs="Arial"/>
        </w:rPr>
      </w:pPr>
      <w:r w:rsidRPr="00162D45">
        <w:rPr>
          <w:rFonts w:ascii="Arial" w:hAnsi="Arial" w:cs="Arial"/>
          <w:b/>
          <w:bCs/>
          <w:u w:val="single"/>
        </w:rPr>
        <w:t>En cas de co-traitance</w:t>
      </w:r>
      <w:r w:rsidRPr="00162D45">
        <w:rPr>
          <w:rFonts w:ascii="Arial" w:hAnsi="Arial" w:cs="Arial"/>
        </w:rPr>
        <w:t xml:space="preserve">, chaque co-traitant doit transmettre les mêmes documents que ceux mentionnés ci-dessus, à l’exception de la lettre de candidature (formulaire DC1), qui peut être commune à l’ensemble du groupement, qui précise la forme du groupement et l’identité du mandataire. </w:t>
      </w:r>
    </w:p>
    <w:p w14:paraId="62C5E2C5" w14:textId="77777777" w:rsidR="00DB2F14" w:rsidRDefault="00DB2F14" w:rsidP="001E4F81">
      <w:pPr>
        <w:suppressAutoHyphens/>
        <w:spacing w:after="0" w:line="240" w:lineRule="auto"/>
        <w:jc w:val="both"/>
        <w:rPr>
          <w:rFonts w:ascii="Arial" w:hAnsi="Arial" w:cs="Arial"/>
        </w:rPr>
      </w:pPr>
    </w:p>
    <w:p w14:paraId="5C998073" w14:textId="7C103574" w:rsidR="00D54F8D" w:rsidRDefault="00D54F8D" w:rsidP="001E4F81">
      <w:pPr>
        <w:suppressAutoHyphens/>
        <w:spacing w:after="0" w:line="240" w:lineRule="auto"/>
        <w:jc w:val="both"/>
        <w:rPr>
          <w:rStyle w:val="Accentuation"/>
          <w:rFonts w:ascii="Arial" w:hAnsi="Arial" w:cs="Arial"/>
          <w:color w:val="000000"/>
        </w:rPr>
      </w:pPr>
      <w:r>
        <w:rPr>
          <w:rStyle w:val="Accentuation"/>
          <w:rFonts w:ascii="Arial" w:hAnsi="Arial" w:cs="Arial"/>
          <w:color w:val="000000"/>
        </w:rPr>
        <w:t>Si, pour une raison justifiée, l'opérateur économique n'est pas en mesure de produire les renseignements et documents demandés par l'Université, il est autorisé à prouver sa capacité économique et financière par tout autre moyen considéré comme approprié par l'</w:t>
      </w:r>
      <w:r w:rsidR="00F51859">
        <w:rPr>
          <w:rStyle w:val="Accentuation"/>
          <w:rFonts w:ascii="Arial" w:hAnsi="Arial" w:cs="Arial"/>
          <w:color w:val="000000"/>
        </w:rPr>
        <w:t>Université.</w:t>
      </w:r>
    </w:p>
    <w:p w14:paraId="14DFA48B" w14:textId="55599C8E" w:rsidR="002D5126" w:rsidRDefault="002D5126" w:rsidP="001E4F81">
      <w:pPr>
        <w:suppressAutoHyphens/>
        <w:spacing w:after="0" w:line="240" w:lineRule="auto"/>
        <w:jc w:val="both"/>
        <w:rPr>
          <w:rStyle w:val="Accentuation"/>
          <w:rFonts w:ascii="Arial" w:hAnsi="Arial" w:cs="Arial"/>
          <w:color w:val="000000"/>
        </w:rPr>
      </w:pPr>
    </w:p>
    <w:p w14:paraId="505C422D" w14:textId="77777777" w:rsidR="002D5126" w:rsidRPr="00661EB5" w:rsidRDefault="002D5126" w:rsidP="001E4F8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000000"/>
        </w:rPr>
      </w:pPr>
      <w:r w:rsidRPr="001A22EC">
        <w:rPr>
          <w:rFonts w:ascii="Arial" w:hAnsi="Arial" w:cs="Arial"/>
          <w:iCs/>
          <w:color w:val="000000"/>
        </w:rPr>
        <w:lastRenderedPageBreak/>
        <w:t>A titre informatif, un document unique de marché européen (DUME) au sens de l’article R2143-4 du Code de la Commande Publique, associé à la présente consultation a été créé sur le profil acheteur PLACE. Le candidat a la possibilité de compléter ce DUME en lieu et place des formulaires DC1 et DC2.</w:t>
      </w:r>
    </w:p>
    <w:p w14:paraId="69D7D045" w14:textId="77777777" w:rsidR="002D5126" w:rsidRDefault="002D5126" w:rsidP="001E4F81">
      <w:pPr>
        <w:suppressAutoHyphens/>
        <w:spacing w:after="0" w:line="240" w:lineRule="auto"/>
        <w:jc w:val="both"/>
        <w:rPr>
          <w:rFonts w:ascii="Arial" w:hAnsi="Arial" w:cs="Arial"/>
        </w:rPr>
      </w:pPr>
    </w:p>
    <w:p w14:paraId="07E1904D" w14:textId="36F60358" w:rsidR="008F12A9" w:rsidRPr="00162D45" w:rsidRDefault="00B8590E"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7</w:t>
      </w:r>
      <w:r w:rsidR="008F12A9" w:rsidRPr="00162D45">
        <w:rPr>
          <w:rFonts w:ascii="Arial" w:eastAsiaTheme="majorEastAsia" w:hAnsi="Arial" w:cs="Arial"/>
          <w:b/>
          <w:bCs/>
        </w:rPr>
        <w:t>.</w:t>
      </w:r>
      <w:r w:rsidR="008F12A9">
        <w:rPr>
          <w:rFonts w:ascii="Arial" w:eastAsiaTheme="majorEastAsia" w:hAnsi="Arial" w:cs="Arial"/>
          <w:b/>
          <w:bCs/>
        </w:rPr>
        <w:t>2</w:t>
      </w:r>
      <w:r w:rsidR="00023376">
        <w:rPr>
          <w:rFonts w:ascii="Arial" w:eastAsiaTheme="majorEastAsia" w:hAnsi="Arial" w:cs="Arial"/>
          <w:b/>
          <w:bCs/>
        </w:rPr>
        <w:t xml:space="preserve"> </w:t>
      </w:r>
      <w:r w:rsidR="008F12A9" w:rsidRPr="00162D45">
        <w:rPr>
          <w:rFonts w:ascii="Arial" w:eastAsiaTheme="majorEastAsia" w:hAnsi="Arial" w:cs="Arial"/>
          <w:b/>
          <w:bCs/>
        </w:rPr>
        <w:t>- Pièces demandées à l’appui de l’offre</w:t>
      </w:r>
    </w:p>
    <w:p w14:paraId="73698940" w14:textId="24AA6823" w:rsidR="008F12A9" w:rsidRDefault="008F12A9" w:rsidP="001E4F81">
      <w:pPr>
        <w:spacing w:after="0" w:line="240" w:lineRule="auto"/>
        <w:jc w:val="both"/>
        <w:rPr>
          <w:rFonts w:ascii="Arial" w:hAnsi="Arial" w:cs="Arial"/>
        </w:rPr>
      </w:pPr>
      <w:r w:rsidRPr="00162D45">
        <w:rPr>
          <w:rFonts w:ascii="Arial" w:hAnsi="Arial" w:cs="Arial"/>
        </w:rPr>
        <w:br/>
        <w:t xml:space="preserve">Le candidat devra obligatoirement fournir les pièces suivantes à l’appui de son offre : </w:t>
      </w:r>
    </w:p>
    <w:p w14:paraId="3869BEE9" w14:textId="77777777" w:rsidR="001E4F81" w:rsidRPr="00162D45" w:rsidRDefault="001E4F81" w:rsidP="001E4F81">
      <w:pPr>
        <w:spacing w:after="0" w:line="240" w:lineRule="auto"/>
        <w:jc w:val="both"/>
        <w:rPr>
          <w:rFonts w:ascii="Arial" w:hAnsi="Arial" w:cs="Arial"/>
        </w:rPr>
      </w:pPr>
    </w:p>
    <w:p w14:paraId="32C34DB1" w14:textId="632D71AE" w:rsidR="008F12A9" w:rsidRPr="00CD71DD" w:rsidRDefault="001D0A90" w:rsidP="001E4F81">
      <w:pPr>
        <w:numPr>
          <w:ilvl w:val="0"/>
          <w:numId w:val="6"/>
        </w:numPr>
        <w:spacing w:after="0" w:line="240" w:lineRule="auto"/>
        <w:contextualSpacing/>
        <w:jc w:val="both"/>
        <w:rPr>
          <w:rFonts w:ascii="Arial" w:hAnsi="Arial" w:cs="Arial"/>
        </w:rPr>
      </w:pPr>
      <w:r w:rsidRPr="00CD71DD">
        <w:rPr>
          <w:rFonts w:ascii="Arial" w:hAnsi="Arial" w:cs="Arial"/>
          <w:b/>
          <w:u w:val="single"/>
        </w:rPr>
        <w:t>Pour chaque lot auquel le candidat dépose une offre, l’</w:t>
      </w:r>
      <w:r w:rsidR="00FE570B" w:rsidRPr="00CD71DD">
        <w:rPr>
          <w:rFonts w:ascii="Arial" w:hAnsi="Arial" w:cs="Arial"/>
          <w:b/>
          <w:u w:val="single"/>
        </w:rPr>
        <w:t>annexe</w:t>
      </w:r>
      <w:r w:rsidRPr="00CD71DD">
        <w:rPr>
          <w:rFonts w:ascii="Arial" w:hAnsi="Arial" w:cs="Arial"/>
          <w:b/>
          <w:u w:val="single"/>
        </w:rPr>
        <w:t xml:space="preserve"> n°1/X</w:t>
      </w:r>
      <w:r w:rsidR="00FE570B" w:rsidRPr="00CD71DD">
        <w:rPr>
          <w:rFonts w:ascii="Arial" w:hAnsi="Arial" w:cs="Arial"/>
          <w:b/>
          <w:u w:val="single"/>
        </w:rPr>
        <w:t xml:space="preserve"> à l'acte d'engagement </w:t>
      </w:r>
      <w:r w:rsidRPr="00CD71DD">
        <w:rPr>
          <w:rFonts w:ascii="Arial" w:hAnsi="Arial" w:cs="Arial"/>
          <w:b/>
          <w:u w:val="single"/>
        </w:rPr>
        <w:t>« Bordereau des prix unitaires (BPU) »</w:t>
      </w:r>
      <w:r w:rsidR="00CD71DD" w:rsidRPr="00CD71DD">
        <w:rPr>
          <w:rFonts w:ascii="Arial" w:hAnsi="Arial" w:cs="Arial"/>
          <w:b/>
          <w:u w:val="single"/>
        </w:rPr>
        <w:t xml:space="preserve"> du lot concerné</w:t>
      </w:r>
      <w:r w:rsidR="008F12A9" w:rsidRPr="00CD71DD">
        <w:rPr>
          <w:rFonts w:ascii="Arial" w:hAnsi="Arial" w:cs="Arial"/>
          <w:b/>
          <w:u w:val="single"/>
        </w:rPr>
        <w:t xml:space="preserve"> dûment complétés sous peine d’irrégularité ;</w:t>
      </w:r>
    </w:p>
    <w:p w14:paraId="09885971" w14:textId="77777777" w:rsidR="00FE570B" w:rsidRPr="00FE570B" w:rsidRDefault="00FE570B" w:rsidP="001E4F81">
      <w:pPr>
        <w:spacing w:after="0" w:line="240" w:lineRule="auto"/>
        <w:contextualSpacing/>
        <w:jc w:val="both"/>
        <w:rPr>
          <w:rFonts w:ascii="Arial" w:hAnsi="Arial" w:cs="Arial"/>
          <w:b/>
          <w:highlight w:val="green"/>
          <w:u w:val="single"/>
        </w:rPr>
      </w:pPr>
    </w:p>
    <w:p w14:paraId="4EDC0B3B" w14:textId="77777777" w:rsidR="00FE570B" w:rsidRPr="0014304A" w:rsidRDefault="00FE570B" w:rsidP="001E4F81">
      <w:pPr>
        <w:pStyle w:val="Default"/>
        <w:pBdr>
          <w:top w:val="single" w:sz="4" w:space="1" w:color="auto"/>
          <w:left w:val="single" w:sz="4" w:space="4" w:color="auto"/>
          <w:bottom w:val="single" w:sz="4" w:space="1" w:color="auto"/>
          <w:right w:val="single" w:sz="4" w:space="4" w:color="auto"/>
        </w:pBdr>
        <w:jc w:val="both"/>
        <w:rPr>
          <w:b/>
          <w:bCs/>
          <w:color w:val="auto"/>
          <w:sz w:val="22"/>
          <w:szCs w:val="22"/>
        </w:rPr>
      </w:pPr>
      <w:r w:rsidRPr="0014304A">
        <w:rPr>
          <w:b/>
          <w:bCs/>
          <w:color w:val="auto"/>
          <w:sz w:val="22"/>
          <w:szCs w:val="22"/>
        </w:rPr>
        <w:t>Le candidat a la faculté de remettre et de signer un acte d’engagement (modèle fourni dans le dossier de consultation des entreprises) dès le dépôt de son offre.</w:t>
      </w:r>
    </w:p>
    <w:p w14:paraId="6AA7C5B3" w14:textId="77777777" w:rsidR="00FE570B" w:rsidRPr="0014304A" w:rsidRDefault="00FE570B" w:rsidP="001E4F81">
      <w:pPr>
        <w:pStyle w:val="Default"/>
        <w:pBdr>
          <w:top w:val="single" w:sz="4" w:space="1" w:color="auto"/>
          <w:left w:val="single" w:sz="4" w:space="4" w:color="auto"/>
          <w:bottom w:val="single" w:sz="4" w:space="1" w:color="auto"/>
          <w:right w:val="single" w:sz="4" w:space="4" w:color="auto"/>
        </w:pBdr>
        <w:jc w:val="both"/>
        <w:rPr>
          <w:b/>
          <w:bCs/>
          <w:color w:val="auto"/>
          <w:sz w:val="22"/>
          <w:szCs w:val="22"/>
        </w:rPr>
      </w:pPr>
    </w:p>
    <w:p w14:paraId="41585A1D" w14:textId="7D7AE85A" w:rsidR="00FE570B" w:rsidRPr="0014304A" w:rsidRDefault="00FE570B" w:rsidP="001E4F81">
      <w:pPr>
        <w:pStyle w:val="Default"/>
        <w:pBdr>
          <w:top w:val="single" w:sz="4" w:space="1" w:color="auto"/>
          <w:left w:val="single" w:sz="4" w:space="4" w:color="auto"/>
          <w:bottom w:val="single" w:sz="4" w:space="1" w:color="auto"/>
          <w:right w:val="single" w:sz="4" w:space="4" w:color="auto"/>
        </w:pBdr>
        <w:jc w:val="both"/>
        <w:rPr>
          <w:b/>
          <w:bCs/>
          <w:color w:val="auto"/>
          <w:sz w:val="22"/>
          <w:szCs w:val="22"/>
        </w:rPr>
      </w:pPr>
      <w:r w:rsidRPr="0014304A">
        <w:rPr>
          <w:b/>
          <w:bCs/>
          <w:color w:val="auto"/>
          <w:sz w:val="22"/>
          <w:szCs w:val="22"/>
        </w:rPr>
        <w:t>Ce document signé sera exigé auprès du candidat auquel il est envisagé d’attribuer le contrat, a</w:t>
      </w:r>
      <w:r w:rsidR="00A71BEF">
        <w:rPr>
          <w:b/>
          <w:bCs/>
          <w:color w:val="auto"/>
          <w:sz w:val="22"/>
          <w:szCs w:val="22"/>
        </w:rPr>
        <w:t xml:space="preserve">vant notification (cf. article </w:t>
      </w:r>
      <w:r w:rsidR="000F5F01">
        <w:rPr>
          <w:b/>
          <w:bCs/>
          <w:color w:val="auto"/>
          <w:sz w:val="22"/>
          <w:szCs w:val="22"/>
        </w:rPr>
        <w:t>7</w:t>
      </w:r>
      <w:r w:rsidRPr="0014304A">
        <w:rPr>
          <w:b/>
          <w:bCs/>
          <w:color w:val="auto"/>
          <w:sz w:val="22"/>
          <w:szCs w:val="22"/>
        </w:rPr>
        <w:t>.3)</w:t>
      </w:r>
    </w:p>
    <w:p w14:paraId="7585EE90" w14:textId="77777777" w:rsidR="00FE570B" w:rsidRDefault="00FE570B" w:rsidP="001E4F81">
      <w:pPr>
        <w:spacing w:after="0" w:line="240" w:lineRule="auto"/>
        <w:contextualSpacing/>
        <w:jc w:val="both"/>
        <w:rPr>
          <w:rFonts w:ascii="Arial" w:hAnsi="Arial" w:cs="Arial"/>
          <w:b/>
          <w:highlight w:val="cyan"/>
          <w:u w:val="single"/>
        </w:rPr>
      </w:pPr>
    </w:p>
    <w:p w14:paraId="4700B22D" w14:textId="54C4EDD6" w:rsidR="00CD71DD" w:rsidRPr="00CD71DD" w:rsidRDefault="00CD71DD" w:rsidP="001E4F81">
      <w:pPr>
        <w:pStyle w:val="Paragraphedeliste"/>
        <w:numPr>
          <w:ilvl w:val="0"/>
          <w:numId w:val="23"/>
        </w:numPr>
        <w:autoSpaceDE w:val="0"/>
        <w:autoSpaceDN w:val="0"/>
        <w:adjustRightInd w:val="0"/>
        <w:spacing w:after="0" w:line="240" w:lineRule="auto"/>
        <w:rPr>
          <w:rFonts w:ascii="Arial" w:hAnsi="Arial" w:cs="Arial"/>
          <w:color w:val="000000"/>
        </w:rPr>
      </w:pPr>
      <w:r w:rsidRPr="00CD71DD">
        <w:rPr>
          <w:rFonts w:ascii="Arial" w:hAnsi="Arial" w:cs="Arial"/>
          <w:b/>
          <w:bCs/>
          <w:color w:val="000000"/>
        </w:rPr>
        <w:t xml:space="preserve">L’annexe n° 2 à l’acte d’engagement « Cadre de réponses technique (CRT) » du ou des lots concernés, dûment complétée ; </w:t>
      </w:r>
    </w:p>
    <w:p w14:paraId="3230F976" w14:textId="77777777" w:rsidR="001E4F81" w:rsidRDefault="001E4F81" w:rsidP="001E4F81">
      <w:pPr>
        <w:autoSpaceDE w:val="0"/>
        <w:autoSpaceDN w:val="0"/>
        <w:adjustRightInd w:val="0"/>
        <w:spacing w:after="0" w:line="240" w:lineRule="auto"/>
        <w:rPr>
          <w:rFonts w:ascii="Arial" w:hAnsi="Arial" w:cs="Arial"/>
          <w:i/>
          <w:iCs/>
          <w:color w:val="000000"/>
        </w:rPr>
      </w:pPr>
    </w:p>
    <w:p w14:paraId="00C04C75" w14:textId="4BCDD353" w:rsidR="00CD71DD" w:rsidRPr="00CD71DD" w:rsidRDefault="00CD71DD" w:rsidP="001E4F81">
      <w:pPr>
        <w:autoSpaceDE w:val="0"/>
        <w:autoSpaceDN w:val="0"/>
        <w:adjustRightInd w:val="0"/>
        <w:spacing w:after="0" w:line="240" w:lineRule="auto"/>
        <w:jc w:val="both"/>
        <w:rPr>
          <w:rFonts w:ascii="Arial" w:hAnsi="Arial" w:cs="Arial"/>
          <w:color w:val="000000"/>
        </w:rPr>
      </w:pPr>
      <w:r w:rsidRPr="00CD71DD">
        <w:rPr>
          <w:rFonts w:ascii="Arial" w:hAnsi="Arial" w:cs="Arial"/>
          <w:i/>
          <w:iCs/>
          <w:color w:val="000000"/>
        </w:rPr>
        <w:t xml:space="preserve">Si les conditions d’exécution des prestations ne sont pas identiques pour tous les lots auxquels le candidat a déposé une offre, ce dernier indique le(s) lot(s) concerné(s) en en-tête du CRT et fournit autant de CRT que nécessaire. </w:t>
      </w:r>
    </w:p>
    <w:p w14:paraId="6A4C7588" w14:textId="77777777" w:rsidR="00CD71DD" w:rsidRDefault="00CD71DD" w:rsidP="001E4F81">
      <w:pPr>
        <w:suppressAutoHyphens/>
        <w:spacing w:after="0" w:line="240" w:lineRule="auto"/>
        <w:jc w:val="both"/>
        <w:rPr>
          <w:rFonts w:ascii="Arial" w:hAnsi="Arial" w:cs="Arial"/>
          <w:b/>
          <w:bCs/>
          <w:color w:val="000000"/>
        </w:rPr>
      </w:pPr>
    </w:p>
    <w:p w14:paraId="5F1022C1" w14:textId="73DE1E44" w:rsidR="00F2023E" w:rsidRPr="00162D45" w:rsidRDefault="00B8590E" w:rsidP="001E4F81">
      <w:pPr>
        <w:keepNext/>
        <w:keepLines/>
        <w:spacing w:after="0" w:line="240" w:lineRule="auto"/>
        <w:contextualSpacing/>
        <w:jc w:val="both"/>
        <w:outlineLvl w:val="1"/>
        <w:rPr>
          <w:rFonts w:ascii="Arial" w:eastAsiaTheme="majorEastAsia" w:hAnsi="Arial" w:cs="Arial"/>
          <w:b/>
          <w:bCs/>
        </w:rPr>
      </w:pPr>
      <w:r>
        <w:rPr>
          <w:rFonts w:ascii="Arial" w:eastAsiaTheme="majorEastAsia" w:hAnsi="Arial" w:cs="Arial"/>
          <w:b/>
          <w:bCs/>
        </w:rPr>
        <w:t>7</w:t>
      </w:r>
      <w:r w:rsidR="00CA039D" w:rsidRPr="00162D45">
        <w:rPr>
          <w:rFonts w:ascii="Arial" w:eastAsiaTheme="majorEastAsia" w:hAnsi="Arial" w:cs="Arial"/>
          <w:b/>
          <w:bCs/>
        </w:rPr>
        <w:t>.</w:t>
      </w:r>
      <w:r w:rsidR="008F12A9">
        <w:rPr>
          <w:rFonts w:ascii="Arial" w:eastAsiaTheme="majorEastAsia" w:hAnsi="Arial" w:cs="Arial"/>
          <w:b/>
          <w:bCs/>
        </w:rPr>
        <w:t>3</w:t>
      </w:r>
      <w:r w:rsidR="00023376">
        <w:rPr>
          <w:rFonts w:ascii="Arial" w:eastAsiaTheme="majorEastAsia" w:hAnsi="Arial" w:cs="Arial"/>
          <w:b/>
          <w:bCs/>
        </w:rPr>
        <w:t xml:space="preserve"> </w:t>
      </w:r>
      <w:r w:rsidR="00F2023E" w:rsidRPr="00162D45">
        <w:rPr>
          <w:rFonts w:ascii="Arial" w:eastAsiaTheme="majorEastAsia" w:hAnsi="Arial" w:cs="Arial"/>
          <w:b/>
          <w:bCs/>
        </w:rPr>
        <w:t xml:space="preserve">- Pièces à produire par le candidat auquel il est envisagé d’attribuer le </w:t>
      </w:r>
      <w:r w:rsidR="00F446C3">
        <w:rPr>
          <w:rFonts w:ascii="Arial" w:eastAsiaTheme="majorEastAsia" w:hAnsi="Arial" w:cs="Arial"/>
          <w:b/>
          <w:bCs/>
        </w:rPr>
        <w:t>contrat</w:t>
      </w:r>
    </w:p>
    <w:p w14:paraId="09122128" w14:textId="6CCA6756" w:rsidR="001B0E53" w:rsidRPr="001B0E53" w:rsidRDefault="00F2023E" w:rsidP="001E4F81">
      <w:pPr>
        <w:pStyle w:val="WW-Retraitcorpsdetexte2"/>
        <w:ind w:firstLine="567"/>
        <w:jc w:val="left"/>
        <w:rPr>
          <w:rFonts w:ascii="Arial" w:hAnsi="Arial" w:cs="Arial"/>
        </w:rPr>
      </w:pPr>
      <w:r w:rsidRPr="00162D45">
        <w:rPr>
          <w:rFonts w:ascii="Arial" w:hAnsi="Arial" w:cs="Arial"/>
        </w:rPr>
        <w:br/>
      </w:r>
      <w:r w:rsidR="00CB21A9" w:rsidRPr="00162D45">
        <w:rPr>
          <w:rFonts w:ascii="Arial" w:hAnsi="Arial" w:cs="Arial"/>
          <w:szCs w:val="22"/>
        </w:rPr>
        <w:t xml:space="preserve">Le candidat auquel il sera envisagé d'attribuer le </w:t>
      </w:r>
      <w:r w:rsidR="00F446C3">
        <w:rPr>
          <w:rFonts w:ascii="Arial" w:hAnsi="Arial" w:cs="Arial"/>
          <w:szCs w:val="22"/>
        </w:rPr>
        <w:t>contrat</w:t>
      </w:r>
      <w:r w:rsidR="00CB21A9" w:rsidRPr="00162D45">
        <w:rPr>
          <w:rFonts w:ascii="Arial" w:hAnsi="Arial" w:cs="Arial"/>
          <w:szCs w:val="22"/>
        </w:rPr>
        <w:t xml:space="preserve"> produira dans le délai imparti par l’université :</w:t>
      </w:r>
      <w:r w:rsidR="00CB21A9" w:rsidRPr="00162D45">
        <w:rPr>
          <w:rFonts w:ascii="Arial" w:hAnsi="Arial" w:cs="Arial"/>
          <w:szCs w:val="22"/>
        </w:rPr>
        <w:br/>
      </w:r>
    </w:p>
    <w:p w14:paraId="178EA33F" w14:textId="77777777" w:rsidR="001B0E53" w:rsidRPr="001B0E53" w:rsidRDefault="00755DC4" w:rsidP="001E4F81">
      <w:pPr>
        <w:suppressAutoHyphens/>
        <w:spacing w:after="0" w:line="240" w:lineRule="auto"/>
        <w:jc w:val="both"/>
        <w:rPr>
          <w:rFonts w:ascii="Arial" w:eastAsia="Times New Roman" w:hAnsi="Arial" w:cs="Arial"/>
          <w:lang w:eastAsia="ar-SA"/>
        </w:rPr>
      </w:pPr>
      <w:r w:rsidRPr="00755DC4">
        <w:rPr>
          <w:rFonts w:ascii="Arial" w:eastAsia="Times New Roman" w:hAnsi="Arial" w:cs="Arial"/>
          <w:b/>
          <w:lang w:eastAsia="ar-SA"/>
        </w:rPr>
        <w:t>a)</w:t>
      </w:r>
      <w:r w:rsidR="001B0E53" w:rsidRPr="001B0E53">
        <w:rPr>
          <w:rFonts w:ascii="Arial" w:eastAsia="Times New Roman" w:hAnsi="Arial" w:cs="Arial"/>
          <w:lang w:eastAsia="ar-SA"/>
        </w:rPr>
        <w:t xml:space="preserve"> Les certificats délivrés par les administrations et organismes compétents prouvant qu’il a satisfait à ses obligations fiscales et sociales au titre de l’année précédant la consultation ; </w:t>
      </w:r>
    </w:p>
    <w:p w14:paraId="561965B4" w14:textId="77777777" w:rsidR="001B0E53" w:rsidRPr="001B0E53" w:rsidRDefault="001B0E53" w:rsidP="001E4F81">
      <w:pPr>
        <w:suppressAutoHyphens/>
        <w:overflowPunct w:val="0"/>
        <w:autoSpaceDE w:val="0"/>
        <w:spacing w:after="0" w:line="240" w:lineRule="auto"/>
        <w:jc w:val="both"/>
        <w:textAlignment w:val="baseline"/>
        <w:rPr>
          <w:rFonts w:ascii="Arial" w:eastAsia="Times New Roman" w:hAnsi="Arial" w:cs="Arial"/>
          <w:lang w:eastAsia="ar-SA"/>
        </w:rPr>
      </w:pPr>
    </w:p>
    <w:p w14:paraId="275F7E9D" w14:textId="77777777" w:rsidR="001B0E53" w:rsidRPr="001B0E53" w:rsidRDefault="001B0E53" w:rsidP="001E4F81">
      <w:pPr>
        <w:suppressAutoHyphens/>
        <w:overflowPunct w:val="0"/>
        <w:autoSpaceDE w:val="0"/>
        <w:spacing w:after="0" w:line="240" w:lineRule="auto"/>
        <w:jc w:val="both"/>
        <w:textAlignment w:val="baseline"/>
        <w:rPr>
          <w:rFonts w:ascii="Arial" w:eastAsia="Times New Roman" w:hAnsi="Arial" w:cs="Arial"/>
          <w:lang w:eastAsia="ar-SA"/>
        </w:rPr>
      </w:pPr>
      <w:r w:rsidRPr="001B0E53">
        <w:rPr>
          <w:rFonts w:ascii="Arial" w:eastAsia="Times New Roman" w:hAnsi="Arial" w:cs="Arial"/>
          <w:lang w:eastAsia="ar-SA"/>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158906CF" w14:textId="77777777" w:rsidR="001B0E53" w:rsidRPr="001B0E53" w:rsidRDefault="001B0E53" w:rsidP="001E4F81">
      <w:pPr>
        <w:suppressAutoHyphens/>
        <w:spacing w:after="0" w:line="240" w:lineRule="auto"/>
        <w:jc w:val="both"/>
        <w:rPr>
          <w:rFonts w:ascii="Arial" w:eastAsia="Times New Roman" w:hAnsi="Arial" w:cs="Arial"/>
          <w:lang w:eastAsia="ar-SA"/>
        </w:rPr>
      </w:pPr>
    </w:p>
    <w:p w14:paraId="44D6E866" w14:textId="77777777" w:rsidR="001B0E53" w:rsidRPr="001B0E53" w:rsidRDefault="001B0E53" w:rsidP="001E4F81">
      <w:pPr>
        <w:suppressAutoHyphens/>
        <w:spacing w:after="0" w:line="240" w:lineRule="auto"/>
        <w:jc w:val="both"/>
        <w:rPr>
          <w:rFonts w:ascii="Arial" w:eastAsia="Times New Roman" w:hAnsi="Arial" w:cs="Arial"/>
          <w:lang w:eastAsia="ar-SA"/>
        </w:rPr>
      </w:pPr>
      <w:r w:rsidRPr="001B0E53">
        <w:rPr>
          <w:rFonts w:ascii="Arial" w:eastAsia="Times New Roman" w:hAnsi="Arial" w:cs="Arial"/>
          <w:lang w:eastAsia="ar-SA"/>
        </w:rPr>
        <w:t xml:space="preserve">Le candidat établi à l’étranger produit un certificat établi par les administrations et organismes de son pays d’origine ou d’établissement ; </w:t>
      </w:r>
    </w:p>
    <w:p w14:paraId="039E698D" w14:textId="77777777" w:rsidR="001B0E53" w:rsidRPr="001B0E53" w:rsidRDefault="001B0E53" w:rsidP="001E4F81">
      <w:pPr>
        <w:suppressAutoHyphens/>
        <w:spacing w:after="0" w:line="240" w:lineRule="auto"/>
        <w:jc w:val="both"/>
        <w:rPr>
          <w:rFonts w:ascii="Arial" w:eastAsia="Times New Roman" w:hAnsi="Arial" w:cs="Arial"/>
          <w:lang w:eastAsia="ar-SA"/>
        </w:rPr>
      </w:pPr>
    </w:p>
    <w:p w14:paraId="6F43E730" w14:textId="77777777" w:rsidR="001B0E53" w:rsidRDefault="00755DC4" w:rsidP="001E4F81">
      <w:pPr>
        <w:suppressAutoHyphens/>
        <w:spacing w:after="0" w:line="240" w:lineRule="auto"/>
        <w:jc w:val="both"/>
        <w:rPr>
          <w:rFonts w:ascii="Arial" w:eastAsia="Times New Roman" w:hAnsi="Arial" w:cs="Arial"/>
          <w:lang w:eastAsia="ar-SA"/>
        </w:rPr>
      </w:pPr>
      <w:r>
        <w:rPr>
          <w:rFonts w:ascii="Arial" w:eastAsia="Times New Roman" w:hAnsi="Arial" w:cs="Arial"/>
          <w:b/>
          <w:lang w:eastAsia="ar-SA"/>
        </w:rPr>
        <w:t>b</w:t>
      </w:r>
      <w:r w:rsidR="001B0E53" w:rsidRPr="001B0E53">
        <w:rPr>
          <w:rFonts w:ascii="Arial" w:eastAsia="Times New Roman" w:hAnsi="Arial" w:cs="Arial"/>
          <w:b/>
          <w:lang w:eastAsia="ar-SA"/>
        </w:rPr>
        <w:t xml:space="preserve">) </w:t>
      </w:r>
      <w:r w:rsidR="001B0E53" w:rsidRPr="001B0E53">
        <w:rPr>
          <w:rFonts w:ascii="Arial" w:eastAsia="Times New Roman" w:hAnsi="Arial" w:cs="Arial"/>
          <w:lang w:eastAsia="ar-SA"/>
        </w:rPr>
        <w:t>Le cas échéant, le candidat produit en outre les pièces prévues aux articles R.1263-12, D.8222-5, ou D.8222-7 ou D.8254-2 à D.8254-5 du code du travail</w:t>
      </w:r>
    </w:p>
    <w:p w14:paraId="1B0919A5" w14:textId="77777777" w:rsidR="008F12A9" w:rsidRDefault="008F12A9" w:rsidP="001E4F81">
      <w:pPr>
        <w:suppressAutoHyphens/>
        <w:spacing w:after="0" w:line="240" w:lineRule="auto"/>
        <w:jc w:val="both"/>
        <w:rPr>
          <w:rFonts w:ascii="Arial" w:eastAsia="Times New Roman" w:hAnsi="Arial" w:cs="Arial"/>
          <w:lang w:eastAsia="ar-SA"/>
        </w:rPr>
      </w:pPr>
    </w:p>
    <w:p w14:paraId="4729967F" w14:textId="77777777" w:rsidR="008F12A9" w:rsidRPr="001B0E53" w:rsidRDefault="008F12A9" w:rsidP="001E4F81">
      <w:pPr>
        <w:suppressAutoHyphens/>
        <w:spacing w:after="0" w:line="240" w:lineRule="auto"/>
        <w:ind w:right="-143"/>
        <w:jc w:val="both"/>
        <w:rPr>
          <w:rFonts w:ascii="Arial" w:eastAsia="Times New Roman" w:hAnsi="Arial" w:cs="Arial"/>
          <w:i/>
          <w:iCs/>
          <w:lang w:eastAsia="ar-SA"/>
        </w:rPr>
      </w:pPr>
      <w:r w:rsidRPr="001B0E53">
        <w:rPr>
          <w:rFonts w:ascii="Arial" w:eastAsia="Times New Roman" w:hAnsi="Arial" w:cs="Arial"/>
          <w:i/>
          <w:iCs/>
          <w:lang w:eastAsia="ar-SA"/>
        </w:rPr>
        <w:t>Certains de ces certificats et attestations peuvent être obtenus en ligne, sur les sites suivants :</w:t>
      </w:r>
    </w:p>
    <w:p w14:paraId="217F71E3" w14:textId="1BDEE356" w:rsidR="008F12A9" w:rsidRPr="001B0E53" w:rsidRDefault="0040011F" w:rsidP="001E4F81">
      <w:pPr>
        <w:suppressAutoHyphens/>
        <w:spacing w:after="0" w:line="240" w:lineRule="auto"/>
        <w:ind w:right="-143"/>
        <w:jc w:val="both"/>
        <w:rPr>
          <w:rFonts w:ascii="Arial" w:eastAsia="Times New Roman" w:hAnsi="Arial" w:cs="Arial"/>
          <w:i/>
          <w:iCs/>
          <w:lang w:eastAsia="ar-SA"/>
        </w:rPr>
      </w:pPr>
      <w:hyperlink r:id="rId14" w:history="1">
        <w:r w:rsidR="008F12A9" w:rsidRPr="001B0E53">
          <w:rPr>
            <w:rFonts w:ascii="Arial" w:eastAsia="Times New Roman" w:hAnsi="Arial" w:cs="Arial"/>
            <w:i/>
            <w:iCs/>
            <w:color w:val="0000FF"/>
            <w:u w:val="single"/>
            <w:lang w:eastAsia="ar-SA"/>
          </w:rPr>
          <w:t>http://www.urssaf.fr/</w:t>
        </w:r>
      </w:hyperlink>
      <w:r w:rsidR="008F12A9" w:rsidRPr="001B0E53">
        <w:rPr>
          <w:rFonts w:ascii="Arial" w:eastAsia="Times New Roman" w:hAnsi="Arial" w:cs="Arial"/>
          <w:i/>
          <w:iCs/>
          <w:lang w:eastAsia="ar-SA"/>
        </w:rPr>
        <w:t xml:space="preserve"> et </w:t>
      </w:r>
      <w:hyperlink r:id="rId15" w:history="1">
        <w:r w:rsidR="008F12A9" w:rsidRPr="001B0E53">
          <w:rPr>
            <w:rFonts w:ascii="Arial" w:eastAsia="Times New Roman" w:hAnsi="Arial" w:cs="Arial"/>
            <w:i/>
            <w:iCs/>
            <w:color w:val="0000FF"/>
            <w:u w:val="single"/>
            <w:lang w:eastAsia="ar-SA"/>
          </w:rPr>
          <w:t>http://www.impots.gouv.fr/</w:t>
        </w:r>
      </w:hyperlink>
      <w:r w:rsidR="008F12A9" w:rsidRPr="001B0E53">
        <w:rPr>
          <w:rFonts w:ascii="Arial" w:eastAsia="Times New Roman" w:hAnsi="Arial" w:cs="Arial"/>
          <w:i/>
          <w:iCs/>
          <w:lang w:eastAsia="ar-SA"/>
        </w:rPr>
        <w:t>.</w:t>
      </w:r>
    </w:p>
    <w:p w14:paraId="3140CC96" w14:textId="77777777" w:rsidR="008F12A9" w:rsidRPr="001B0E53" w:rsidRDefault="008F12A9" w:rsidP="001E4F81">
      <w:pPr>
        <w:suppressAutoHyphens/>
        <w:spacing w:after="0" w:line="240" w:lineRule="auto"/>
        <w:ind w:right="-143"/>
        <w:jc w:val="both"/>
        <w:rPr>
          <w:rFonts w:ascii="Arial" w:eastAsia="Times New Roman" w:hAnsi="Arial" w:cs="Arial"/>
          <w:i/>
          <w:iCs/>
          <w:sz w:val="16"/>
          <w:szCs w:val="16"/>
          <w:lang w:eastAsia="ar-SA"/>
        </w:rPr>
      </w:pPr>
    </w:p>
    <w:p w14:paraId="67F24BF1" w14:textId="0B71C77A" w:rsidR="008F12A9" w:rsidRDefault="008F12A9" w:rsidP="001E4F81">
      <w:pPr>
        <w:autoSpaceDE w:val="0"/>
        <w:autoSpaceDN w:val="0"/>
        <w:adjustRightInd w:val="0"/>
        <w:spacing w:after="0" w:line="240" w:lineRule="auto"/>
        <w:jc w:val="both"/>
        <w:rPr>
          <w:rFonts w:ascii="Arial" w:eastAsia="Times New Roman" w:hAnsi="Arial" w:cs="Arial"/>
          <w:lang w:eastAsia="ar-SA"/>
        </w:rPr>
      </w:pPr>
      <w:r w:rsidRPr="001E4F81">
        <w:rPr>
          <w:rFonts w:ascii="Arial" w:eastAsia="Times New Roman" w:hAnsi="Arial" w:cs="Arial"/>
          <w:color w:val="000000"/>
          <w:spacing w:val="-4"/>
        </w:rPr>
        <w:t>Des renseignements concernant la délivrance des attestations fiscales sont disponibles à cette</w:t>
      </w:r>
      <w:r w:rsidRPr="001E4F81">
        <w:rPr>
          <w:rFonts w:ascii="Arial" w:eastAsia="Times New Roman" w:hAnsi="Arial" w:cs="Arial"/>
          <w:color w:val="000000"/>
          <w:spacing w:val="-14"/>
        </w:rPr>
        <w:t xml:space="preserve"> adresse : </w:t>
      </w:r>
      <w:hyperlink r:id="rId16" w:history="1">
        <w:r w:rsidRPr="001E4F81">
          <w:rPr>
            <w:rFonts w:ascii="Arial" w:eastAsia="Times New Roman" w:hAnsi="Arial" w:cs="Arial"/>
            <w:color w:val="0000FF"/>
            <w:spacing w:val="-14"/>
            <w:u w:val="single"/>
          </w:rPr>
          <w:t>http://www.impots.gouv.fr/portal/deploiement/p1/fichedescriptive_5336/fichedescriptive_5336.pdf</w:t>
        </w:r>
      </w:hyperlink>
      <w:r w:rsidR="001E4F81">
        <w:rPr>
          <w:rFonts w:ascii="Arial" w:eastAsia="Times New Roman" w:hAnsi="Arial" w:cs="Arial"/>
          <w:color w:val="0000FF"/>
          <w:spacing w:val="-14"/>
          <w:u w:val="single"/>
        </w:rPr>
        <w:br/>
      </w:r>
    </w:p>
    <w:p w14:paraId="555850FD" w14:textId="77777777" w:rsidR="008F12A9" w:rsidRDefault="008F12A9" w:rsidP="001E4F81">
      <w:pPr>
        <w:suppressAutoHyphens/>
        <w:spacing w:after="0" w:line="240" w:lineRule="auto"/>
        <w:jc w:val="both"/>
        <w:rPr>
          <w:rFonts w:ascii="Arial" w:eastAsia="Times New Roman" w:hAnsi="Arial" w:cs="Arial"/>
          <w:lang w:eastAsia="ar-SA"/>
        </w:rPr>
      </w:pPr>
    </w:p>
    <w:p w14:paraId="3827DE17" w14:textId="26FE50C3" w:rsidR="008F12A9" w:rsidRDefault="00755DC4" w:rsidP="001E4F81">
      <w:pPr>
        <w:spacing w:after="0" w:line="240" w:lineRule="auto"/>
        <w:jc w:val="both"/>
        <w:rPr>
          <w:rFonts w:ascii="Arial" w:hAnsi="Arial" w:cs="Arial"/>
        </w:rPr>
      </w:pPr>
      <w:r>
        <w:rPr>
          <w:rFonts w:ascii="Arial" w:hAnsi="Arial" w:cs="Arial"/>
          <w:b/>
        </w:rPr>
        <w:t>c</w:t>
      </w:r>
      <w:r w:rsidR="008F12A9" w:rsidRPr="0014304A">
        <w:rPr>
          <w:rFonts w:ascii="Arial" w:hAnsi="Arial" w:cs="Arial"/>
          <w:b/>
        </w:rPr>
        <w:t>)</w:t>
      </w:r>
      <w:r w:rsidR="008F12A9" w:rsidRPr="0014304A">
        <w:rPr>
          <w:rFonts w:ascii="Arial" w:hAnsi="Arial" w:cs="Arial"/>
        </w:rPr>
        <w:t xml:space="preserve"> </w:t>
      </w:r>
      <w:r w:rsidR="00783E99">
        <w:rPr>
          <w:rFonts w:ascii="Arial" w:hAnsi="Arial" w:cs="Arial"/>
        </w:rPr>
        <w:t>Pour le candidat établi à l’étranger</w:t>
      </w:r>
      <w:r w:rsidR="00783E99">
        <w:rPr>
          <w:rFonts w:ascii="Arial" w:hAnsi="Arial" w:cs="Arial"/>
          <w:b/>
        </w:rPr>
        <w:t> :</w:t>
      </w:r>
      <w:r w:rsidR="00783E99">
        <w:rPr>
          <w:rFonts w:ascii="Arial" w:hAnsi="Arial" w:cs="Arial"/>
        </w:rPr>
        <w:t xml:space="preserve"> </w:t>
      </w:r>
      <w:r w:rsidR="0044672D">
        <w:rPr>
          <w:rFonts w:ascii="Arial" w:hAnsi="Arial" w:cs="Arial"/>
        </w:rPr>
        <w:t>Un</w:t>
      </w:r>
      <w:r w:rsidR="008F12A9" w:rsidRPr="0014304A">
        <w:rPr>
          <w:rFonts w:ascii="Arial" w:hAnsi="Arial" w:cs="Arial"/>
        </w:rPr>
        <w:t xml:space="preserve"> extrait du registre pertinent, tel qu'un extrait K, un extrait K bis, un extrait D1 ou, à défaut, d'un document équivalent délivré par l'autorité judiciaire ou administrative compétente du pays d'origine ou d'établissement du candidat, attestant de l'absence de cas d'exclusion</w:t>
      </w:r>
    </w:p>
    <w:p w14:paraId="056D2096" w14:textId="77777777" w:rsidR="001E4F81" w:rsidRPr="0014304A" w:rsidRDefault="001E4F81" w:rsidP="001E4F81">
      <w:pPr>
        <w:spacing w:after="0" w:line="240" w:lineRule="auto"/>
        <w:jc w:val="both"/>
        <w:rPr>
          <w:rFonts w:ascii="Arial" w:hAnsi="Arial" w:cs="Arial"/>
        </w:rPr>
      </w:pPr>
    </w:p>
    <w:p w14:paraId="6C7FEC93" w14:textId="77777777" w:rsidR="008F12A9" w:rsidRPr="0014304A" w:rsidRDefault="00755DC4" w:rsidP="001E4F81">
      <w:pPr>
        <w:suppressAutoHyphens/>
        <w:spacing w:after="0" w:line="240" w:lineRule="auto"/>
        <w:jc w:val="both"/>
        <w:rPr>
          <w:rFonts w:ascii="Arial" w:eastAsia="Times New Roman" w:hAnsi="Arial" w:cs="Arial"/>
          <w:lang w:eastAsia="ar-SA"/>
        </w:rPr>
      </w:pPr>
      <w:r>
        <w:rPr>
          <w:rFonts w:ascii="Arial" w:hAnsi="Arial" w:cs="Arial"/>
          <w:b/>
        </w:rPr>
        <w:t>d</w:t>
      </w:r>
      <w:r w:rsidR="008F12A9" w:rsidRPr="0014304A">
        <w:rPr>
          <w:rFonts w:ascii="Arial" w:hAnsi="Arial" w:cs="Arial"/>
          <w:b/>
        </w:rPr>
        <w:t>)</w:t>
      </w:r>
      <w:r w:rsidR="008F12A9" w:rsidRPr="0014304A">
        <w:rPr>
          <w:rFonts w:ascii="Arial" w:hAnsi="Arial" w:cs="Arial"/>
        </w:rPr>
        <w:t xml:space="preserve"> En cas de redressement judiciaire, le candidat produit la copie du ou des jugements prononcés</w:t>
      </w:r>
    </w:p>
    <w:p w14:paraId="02A3A38A" w14:textId="77777777" w:rsidR="0001362C" w:rsidRPr="0014304A" w:rsidRDefault="0001362C" w:rsidP="001E4F81">
      <w:pPr>
        <w:suppressAutoHyphens/>
        <w:spacing w:after="0" w:line="240" w:lineRule="auto"/>
        <w:jc w:val="both"/>
        <w:rPr>
          <w:rFonts w:ascii="Arial" w:eastAsia="Times New Roman" w:hAnsi="Arial" w:cs="Arial"/>
          <w:lang w:eastAsia="ar-SA"/>
        </w:rPr>
      </w:pPr>
    </w:p>
    <w:p w14:paraId="5AC59A68" w14:textId="4687C281" w:rsidR="00DB2F14" w:rsidRDefault="008F12A9" w:rsidP="001E4F81">
      <w:pPr>
        <w:autoSpaceDE w:val="0"/>
        <w:autoSpaceDN w:val="0"/>
        <w:adjustRightInd w:val="0"/>
        <w:spacing w:after="0" w:line="240" w:lineRule="auto"/>
        <w:rPr>
          <w:rFonts w:ascii="Arial" w:hAnsi="Arial" w:cs="Arial"/>
          <w:b/>
          <w:color w:val="000000"/>
          <w:u w:val="single"/>
        </w:rPr>
      </w:pPr>
      <w:r w:rsidRPr="0014304A">
        <w:rPr>
          <w:rFonts w:ascii="Arial" w:hAnsi="Arial" w:cs="Arial"/>
          <w:b/>
          <w:color w:val="000000"/>
          <w:u w:val="single"/>
        </w:rPr>
        <w:t>En outre, afin de pouvoir valablement contracter avec l'Université, il sera demandé au candidat pressenti de fournir :</w:t>
      </w:r>
    </w:p>
    <w:p w14:paraId="613DA88D" w14:textId="77777777" w:rsidR="001E4F81" w:rsidRPr="0014304A" w:rsidRDefault="001E4F81" w:rsidP="001E4F81">
      <w:pPr>
        <w:autoSpaceDE w:val="0"/>
        <w:autoSpaceDN w:val="0"/>
        <w:adjustRightInd w:val="0"/>
        <w:spacing w:after="0" w:line="240" w:lineRule="auto"/>
        <w:rPr>
          <w:rFonts w:ascii="Arial" w:hAnsi="Arial" w:cs="Arial"/>
          <w:b/>
          <w:color w:val="000000"/>
          <w:u w:val="single"/>
        </w:rPr>
      </w:pPr>
    </w:p>
    <w:p w14:paraId="69C1673D" w14:textId="15781353" w:rsidR="008F12A9" w:rsidRDefault="00755DC4" w:rsidP="001E4F81">
      <w:pPr>
        <w:overflowPunct w:val="0"/>
        <w:autoSpaceDE w:val="0"/>
        <w:spacing w:after="0" w:line="240" w:lineRule="auto"/>
        <w:jc w:val="both"/>
        <w:textAlignment w:val="baseline"/>
        <w:rPr>
          <w:rFonts w:ascii="Arial" w:hAnsi="Arial" w:cs="Arial"/>
        </w:rPr>
      </w:pPr>
      <w:r>
        <w:rPr>
          <w:rFonts w:ascii="Arial" w:hAnsi="Arial" w:cs="Arial"/>
          <w:b/>
        </w:rPr>
        <w:t>e</w:t>
      </w:r>
      <w:r w:rsidR="008F12A9" w:rsidRPr="002C1249">
        <w:rPr>
          <w:rFonts w:ascii="Arial" w:hAnsi="Arial" w:cs="Arial"/>
          <w:b/>
        </w:rPr>
        <w:t>)</w:t>
      </w:r>
      <w:r w:rsidR="008F12A9" w:rsidRPr="002C1249">
        <w:rPr>
          <w:rFonts w:ascii="Arial" w:hAnsi="Arial" w:cs="Arial"/>
        </w:rPr>
        <w:t xml:space="preserve"> Un acte d’engagement dûment complété et signé</w:t>
      </w:r>
    </w:p>
    <w:p w14:paraId="3A8A126C" w14:textId="77777777" w:rsidR="001E4F81" w:rsidRDefault="001E4F81" w:rsidP="001E4F81">
      <w:pPr>
        <w:overflowPunct w:val="0"/>
        <w:autoSpaceDE w:val="0"/>
        <w:spacing w:after="0" w:line="240" w:lineRule="auto"/>
        <w:jc w:val="both"/>
        <w:textAlignment w:val="baseline"/>
        <w:rPr>
          <w:rFonts w:ascii="Arial" w:hAnsi="Arial" w:cs="Arial"/>
        </w:rPr>
      </w:pPr>
    </w:p>
    <w:p w14:paraId="3BA28FBD" w14:textId="5DF186B5" w:rsidR="001B0E53" w:rsidRDefault="00755DC4" w:rsidP="001E4F81">
      <w:pPr>
        <w:overflowPunct w:val="0"/>
        <w:autoSpaceDE w:val="0"/>
        <w:spacing w:after="0" w:line="240" w:lineRule="auto"/>
        <w:jc w:val="both"/>
        <w:textAlignment w:val="baseline"/>
        <w:rPr>
          <w:rFonts w:ascii="Arial" w:hAnsi="Arial" w:cs="Arial"/>
        </w:rPr>
      </w:pPr>
      <w:r>
        <w:rPr>
          <w:rFonts w:ascii="Arial" w:hAnsi="Arial" w:cs="Arial"/>
          <w:b/>
        </w:rPr>
        <w:t>f</w:t>
      </w:r>
      <w:r w:rsidR="008F12A9" w:rsidRPr="002C1249">
        <w:rPr>
          <w:rFonts w:ascii="Arial" w:hAnsi="Arial" w:cs="Arial"/>
          <w:b/>
        </w:rPr>
        <w:t>)</w:t>
      </w:r>
      <w:r w:rsidR="008F12A9" w:rsidRPr="002C1249">
        <w:rPr>
          <w:rFonts w:ascii="Arial" w:hAnsi="Arial" w:cs="Arial"/>
        </w:rPr>
        <w:t xml:space="preserve"> Tous documents relatifs aux pouvoirs de la personne ha</w:t>
      </w:r>
      <w:r w:rsidR="008F12A9">
        <w:rPr>
          <w:rFonts w:ascii="Arial" w:hAnsi="Arial" w:cs="Arial"/>
        </w:rPr>
        <w:t>bilitée à engager l’entreprise</w:t>
      </w:r>
      <w:r w:rsidR="00DB2F14">
        <w:rPr>
          <w:rFonts w:ascii="Arial" w:hAnsi="Arial" w:cs="Arial"/>
        </w:rPr>
        <w:t xml:space="preserve"> le cas échéant</w:t>
      </w:r>
    </w:p>
    <w:p w14:paraId="15C9C6EA" w14:textId="77777777" w:rsidR="001E4F81" w:rsidRPr="00316808" w:rsidRDefault="001E4F81" w:rsidP="001E4F81">
      <w:pPr>
        <w:overflowPunct w:val="0"/>
        <w:autoSpaceDE w:val="0"/>
        <w:spacing w:after="0" w:line="240" w:lineRule="auto"/>
        <w:jc w:val="both"/>
        <w:textAlignment w:val="baseline"/>
        <w:rPr>
          <w:rFonts w:ascii="Arial" w:hAnsi="Arial" w:cs="Arial"/>
        </w:rPr>
      </w:pPr>
    </w:p>
    <w:p w14:paraId="667113CF" w14:textId="78E0CDD4" w:rsidR="001B0E53" w:rsidRDefault="001B0E53" w:rsidP="001E4F81">
      <w:pPr>
        <w:widowControl w:val="0"/>
        <w:suppressAutoHyphens/>
        <w:spacing w:after="0" w:line="240" w:lineRule="auto"/>
        <w:jc w:val="both"/>
        <w:rPr>
          <w:rFonts w:ascii="Arial" w:eastAsia="Times New Roman" w:hAnsi="Arial" w:cs="Arial"/>
          <w:szCs w:val="20"/>
          <w:lang w:eastAsia="ar-SA"/>
        </w:rPr>
      </w:pPr>
      <w:r w:rsidRPr="001B0E53">
        <w:rPr>
          <w:rFonts w:ascii="Arial" w:eastAsia="Times New Roman" w:hAnsi="Arial" w:cs="Arial"/>
          <w:lang w:eastAsia="ar-SA"/>
        </w:rPr>
        <w:t>Les candidats ont la possibilité de remettre les documents mentionnés ci-dessus dans le dossier dès la réponse à l’appel public à la concurrence</w:t>
      </w:r>
      <w:r w:rsidRPr="001B0E53">
        <w:rPr>
          <w:rFonts w:ascii="Arial" w:eastAsia="Times New Roman" w:hAnsi="Arial" w:cs="Arial"/>
          <w:szCs w:val="20"/>
          <w:lang w:eastAsia="ar-SA"/>
        </w:rPr>
        <w:t>.</w:t>
      </w:r>
    </w:p>
    <w:p w14:paraId="63454183" w14:textId="77777777" w:rsidR="001E4F81" w:rsidRDefault="001E4F81" w:rsidP="001E4F81">
      <w:pPr>
        <w:widowControl w:val="0"/>
        <w:suppressAutoHyphens/>
        <w:spacing w:after="0" w:line="240" w:lineRule="auto"/>
        <w:jc w:val="both"/>
        <w:rPr>
          <w:rFonts w:ascii="Arial" w:eastAsia="Times New Roman" w:hAnsi="Arial" w:cs="Arial"/>
          <w:szCs w:val="20"/>
          <w:lang w:eastAsia="ar-SA"/>
        </w:rPr>
      </w:pPr>
    </w:p>
    <w:p w14:paraId="0A1A7BC5" w14:textId="77777777" w:rsidR="00A71BEF" w:rsidRPr="00316808" w:rsidRDefault="00A71BEF"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sidRPr="00316808">
        <w:rPr>
          <w:rFonts w:ascii="Arial" w:eastAsia="Times New Roman" w:hAnsi="Arial" w:cs="Arial"/>
          <w:b/>
          <w:iCs/>
          <w:sz w:val="26"/>
          <w:szCs w:val="26"/>
          <w:lang w:eastAsia="ar-SA"/>
        </w:rPr>
        <w:t>Délai de validité des offres</w:t>
      </w:r>
    </w:p>
    <w:p w14:paraId="5E06D1E7" w14:textId="77777777" w:rsidR="001E4F81" w:rsidRDefault="001E4F81" w:rsidP="001E4F81">
      <w:pPr>
        <w:widowControl w:val="0"/>
        <w:suppressAutoHyphens/>
        <w:spacing w:after="0" w:line="240" w:lineRule="auto"/>
        <w:jc w:val="both"/>
        <w:rPr>
          <w:rFonts w:ascii="Arial" w:hAnsi="Arial" w:cs="Arial"/>
          <w:lang w:eastAsia="ar-SA"/>
        </w:rPr>
      </w:pPr>
    </w:p>
    <w:p w14:paraId="155F5A2F" w14:textId="46AF65A8" w:rsidR="00A71BEF" w:rsidRDefault="00A71BEF" w:rsidP="001E4F81">
      <w:pPr>
        <w:widowControl w:val="0"/>
        <w:suppressAutoHyphens/>
        <w:spacing w:after="0" w:line="240" w:lineRule="auto"/>
        <w:jc w:val="both"/>
        <w:rPr>
          <w:rFonts w:ascii="Arial" w:hAnsi="Arial" w:cs="Arial"/>
          <w:lang w:eastAsia="ar-SA"/>
        </w:rPr>
      </w:pPr>
      <w:r w:rsidRPr="00162D45">
        <w:rPr>
          <w:rFonts w:ascii="Arial" w:hAnsi="Arial" w:cs="Arial"/>
          <w:lang w:eastAsia="ar-SA"/>
        </w:rPr>
        <w:t xml:space="preserve">Le délai de validité des offres est fixé </w:t>
      </w:r>
      <w:r w:rsidRPr="00B8590E">
        <w:rPr>
          <w:rFonts w:ascii="Arial" w:hAnsi="Arial" w:cs="Arial"/>
          <w:lang w:eastAsia="ar-SA"/>
        </w:rPr>
        <w:t>à cent vingt (120)</w:t>
      </w:r>
      <w:r w:rsidRPr="00162D45">
        <w:rPr>
          <w:rFonts w:ascii="Arial" w:hAnsi="Arial" w:cs="Arial"/>
          <w:lang w:eastAsia="ar-SA"/>
        </w:rPr>
        <w:t xml:space="preserve"> jours à compter de la date limite fixée pour la remise des réponses</w:t>
      </w:r>
    </w:p>
    <w:p w14:paraId="51DBB699" w14:textId="77777777" w:rsidR="001E4F81" w:rsidRPr="001B0E53" w:rsidRDefault="001E4F81" w:rsidP="001E4F81">
      <w:pPr>
        <w:widowControl w:val="0"/>
        <w:suppressAutoHyphens/>
        <w:spacing w:after="0" w:line="240" w:lineRule="auto"/>
        <w:jc w:val="both"/>
        <w:rPr>
          <w:rFonts w:ascii="Arial" w:eastAsia="Times New Roman" w:hAnsi="Arial" w:cs="Arial"/>
          <w:szCs w:val="20"/>
          <w:lang w:eastAsia="ar-SA"/>
        </w:rPr>
      </w:pPr>
    </w:p>
    <w:p w14:paraId="3C98F521" w14:textId="7F62E2E2" w:rsidR="00F2023E" w:rsidRPr="00316808" w:rsidRDefault="00023376"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Pr>
          <w:rFonts w:ascii="Arial" w:eastAsia="Times New Roman" w:hAnsi="Arial" w:cs="Arial"/>
          <w:b/>
          <w:iCs/>
          <w:sz w:val="26"/>
          <w:szCs w:val="26"/>
          <w:lang w:eastAsia="ar-SA"/>
        </w:rPr>
        <w:t xml:space="preserve"> </w:t>
      </w:r>
      <w:r w:rsidR="00F2023E" w:rsidRPr="00316808">
        <w:rPr>
          <w:rFonts w:ascii="Arial" w:eastAsia="Times New Roman" w:hAnsi="Arial" w:cs="Arial"/>
          <w:b/>
          <w:iCs/>
          <w:sz w:val="26"/>
          <w:szCs w:val="26"/>
          <w:lang w:eastAsia="ar-SA"/>
        </w:rPr>
        <w:t xml:space="preserve">Admission des candidatures </w:t>
      </w:r>
      <w:r w:rsidR="00F2023E" w:rsidRPr="00D638BA">
        <w:rPr>
          <w:rFonts w:ascii="Arial" w:eastAsia="Times New Roman" w:hAnsi="Arial" w:cs="Arial"/>
          <w:b/>
          <w:iCs/>
          <w:sz w:val="26"/>
          <w:szCs w:val="26"/>
          <w:lang w:eastAsia="ar-SA"/>
        </w:rPr>
        <w:t>(ensemble des lots)</w:t>
      </w:r>
    </w:p>
    <w:p w14:paraId="09CB85D3" w14:textId="77777777" w:rsidR="001E4F81" w:rsidRDefault="001E4F81" w:rsidP="001E4F81">
      <w:pPr>
        <w:spacing w:after="0" w:line="240" w:lineRule="auto"/>
        <w:jc w:val="both"/>
        <w:rPr>
          <w:rFonts w:ascii="Arial" w:hAnsi="Arial" w:cs="Arial"/>
        </w:rPr>
      </w:pPr>
    </w:p>
    <w:p w14:paraId="0060F76F" w14:textId="5FD9B782" w:rsidR="00D76C31" w:rsidRDefault="00D76C31" w:rsidP="001E4F81">
      <w:pPr>
        <w:spacing w:after="0" w:line="240" w:lineRule="auto"/>
        <w:jc w:val="both"/>
        <w:rPr>
          <w:rFonts w:ascii="Arial" w:hAnsi="Arial" w:cs="Arial"/>
        </w:rPr>
      </w:pPr>
      <w:r w:rsidRPr="006873CE">
        <w:rPr>
          <w:rFonts w:ascii="Arial" w:hAnsi="Arial" w:cs="Arial"/>
        </w:rPr>
        <w:t>En vertu de</w:t>
      </w:r>
      <w:r>
        <w:rPr>
          <w:rFonts w:ascii="Arial" w:hAnsi="Arial" w:cs="Arial"/>
        </w:rPr>
        <w:t>s articles R2144-1 et suivants du Code de la Commande publique, sont</w:t>
      </w:r>
      <w:r w:rsidRPr="006873CE">
        <w:rPr>
          <w:rFonts w:ascii="Arial" w:hAnsi="Arial" w:cs="Arial"/>
        </w:rPr>
        <w:t xml:space="preserve"> éliminées : </w:t>
      </w:r>
    </w:p>
    <w:p w14:paraId="3E61D77C" w14:textId="77777777" w:rsidR="001E4F81" w:rsidRPr="006873CE" w:rsidRDefault="001E4F81" w:rsidP="001E4F81">
      <w:pPr>
        <w:spacing w:after="0" w:line="240" w:lineRule="auto"/>
        <w:jc w:val="both"/>
        <w:rPr>
          <w:rFonts w:ascii="Arial" w:hAnsi="Arial" w:cs="Arial"/>
        </w:rPr>
      </w:pPr>
    </w:p>
    <w:p w14:paraId="230106D6" w14:textId="77777777" w:rsidR="00D76C31" w:rsidRPr="006873CE" w:rsidRDefault="00D76C31" w:rsidP="001E4F81">
      <w:pPr>
        <w:numPr>
          <w:ilvl w:val="0"/>
          <w:numId w:val="21"/>
        </w:numPr>
        <w:tabs>
          <w:tab w:val="left" w:pos="720"/>
        </w:tabs>
        <w:spacing w:after="0" w:line="240" w:lineRule="auto"/>
        <w:jc w:val="both"/>
        <w:rPr>
          <w:rFonts w:ascii="Arial" w:hAnsi="Arial" w:cs="Arial"/>
        </w:rPr>
      </w:pPr>
      <w:r w:rsidRPr="006873CE">
        <w:rPr>
          <w:rFonts w:ascii="Arial" w:hAnsi="Arial" w:cs="Arial"/>
        </w:rPr>
        <w:t>Les candidatures dont le candidat se trouve dans un cas d’interdicti</w:t>
      </w:r>
      <w:r>
        <w:rPr>
          <w:rFonts w:ascii="Arial" w:hAnsi="Arial" w:cs="Arial"/>
        </w:rPr>
        <w:t xml:space="preserve">on de soumissionner mentionnés aux articles L2141-1 à L2141-6 du Code de la Commande Publique. </w:t>
      </w:r>
    </w:p>
    <w:p w14:paraId="79700B58" w14:textId="74A17262" w:rsidR="00D76C31" w:rsidRDefault="00D76C31" w:rsidP="001E4F81">
      <w:pPr>
        <w:numPr>
          <w:ilvl w:val="0"/>
          <w:numId w:val="21"/>
        </w:numPr>
        <w:tabs>
          <w:tab w:val="left" w:pos="720"/>
        </w:tabs>
        <w:spacing w:after="0" w:line="240" w:lineRule="auto"/>
        <w:jc w:val="both"/>
        <w:rPr>
          <w:rFonts w:ascii="Arial" w:hAnsi="Arial" w:cs="Arial"/>
        </w:rPr>
      </w:pPr>
      <w:r w:rsidRPr="006873CE">
        <w:rPr>
          <w:rFonts w:ascii="Arial" w:hAnsi="Arial" w:cs="Arial"/>
        </w:rPr>
        <w:t>Les candidatures qui ne présentent pas des capacités techniques, professionnelles et financières suffisantes. La capacité sur ce point sera appréciée à partir des éléments apportés dans les déclarations, certificats, pièces ou attestations demandés aux candidats.</w:t>
      </w:r>
    </w:p>
    <w:p w14:paraId="3E276A66" w14:textId="77777777" w:rsidR="001E4F81" w:rsidRDefault="001E4F81" w:rsidP="001E4F81">
      <w:pPr>
        <w:spacing w:after="0" w:line="240" w:lineRule="auto"/>
        <w:jc w:val="both"/>
        <w:rPr>
          <w:rFonts w:ascii="Arial" w:hAnsi="Arial" w:cs="Arial"/>
        </w:rPr>
      </w:pPr>
    </w:p>
    <w:p w14:paraId="12720F31" w14:textId="09299802" w:rsidR="007A0AA6" w:rsidRDefault="007A0AA6" w:rsidP="001E4F81">
      <w:pPr>
        <w:spacing w:after="0" w:line="240" w:lineRule="auto"/>
        <w:jc w:val="both"/>
        <w:rPr>
          <w:rFonts w:ascii="Arial" w:hAnsi="Arial" w:cs="Arial"/>
        </w:rPr>
      </w:pPr>
      <w:r w:rsidRPr="007A0AA6">
        <w:rPr>
          <w:rFonts w:ascii="Arial" w:hAnsi="Arial" w:cs="Arial"/>
        </w:rPr>
        <w:t xml:space="preserve">Outre les interdictions de soumissionner définies ci-dessus, l’Université de Lorraine retient, en application de l’article L.2141-10 du Code de la commande publique, l’interdiction de soumissionner suivante : </w:t>
      </w:r>
    </w:p>
    <w:p w14:paraId="1BB94D1C" w14:textId="77777777" w:rsidR="001E4F81" w:rsidRPr="007A0AA6" w:rsidRDefault="001E4F81" w:rsidP="001E4F81">
      <w:pPr>
        <w:spacing w:after="0" w:line="240" w:lineRule="auto"/>
        <w:jc w:val="both"/>
        <w:rPr>
          <w:rFonts w:ascii="Arial" w:hAnsi="Arial" w:cs="Arial"/>
        </w:rPr>
      </w:pPr>
    </w:p>
    <w:p w14:paraId="70AE06C5" w14:textId="2ECFF07B" w:rsidR="007A0AA6" w:rsidRDefault="007A0AA6" w:rsidP="001E4F81">
      <w:pPr>
        <w:pStyle w:val="Paragraphedeliste"/>
        <w:numPr>
          <w:ilvl w:val="0"/>
          <w:numId w:val="6"/>
        </w:numPr>
        <w:spacing w:after="0" w:line="240" w:lineRule="auto"/>
        <w:jc w:val="both"/>
        <w:rPr>
          <w:rFonts w:ascii="Arial" w:hAnsi="Arial" w:cs="Arial"/>
        </w:rPr>
      </w:pPr>
      <w:r w:rsidRPr="007A0AA6">
        <w:rPr>
          <w:rFonts w:ascii="Arial" w:hAnsi="Arial" w:cs="Arial"/>
        </w:rPr>
        <w:t>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du marché ou est susceptible d'en influencer l'issue, directement ou indirectement, un intérêt financier, économique ou tout autre intérêt personnel qui pourrait compromettre son impartialité ou son indépendance dans le cadre de la procédure de passation du marché.</w:t>
      </w:r>
    </w:p>
    <w:p w14:paraId="7A497932" w14:textId="77777777" w:rsidR="001E4F81" w:rsidRPr="001E4F81" w:rsidRDefault="001E4F81" w:rsidP="001E4F81">
      <w:pPr>
        <w:spacing w:after="0" w:line="240" w:lineRule="auto"/>
        <w:jc w:val="both"/>
        <w:rPr>
          <w:rFonts w:ascii="Arial" w:hAnsi="Arial" w:cs="Arial"/>
        </w:rPr>
      </w:pPr>
    </w:p>
    <w:p w14:paraId="6CAD020A" w14:textId="443D5140" w:rsidR="00F2023E" w:rsidRPr="00316808" w:rsidRDefault="00023376"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Pr>
          <w:rFonts w:ascii="Arial" w:eastAsia="Times New Roman" w:hAnsi="Arial" w:cs="Arial"/>
          <w:b/>
          <w:iCs/>
          <w:sz w:val="26"/>
          <w:szCs w:val="26"/>
          <w:lang w:eastAsia="ar-SA"/>
        </w:rPr>
        <w:t xml:space="preserve"> </w:t>
      </w:r>
      <w:r w:rsidR="00F2023E" w:rsidRPr="00316808">
        <w:rPr>
          <w:rFonts w:ascii="Arial" w:eastAsia="Times New Roman" w:hAnsi="Arial" w:cs="Arial"/>
          <w:b/>
          <w:iCs/>
          <w:sz w:val="26"/>
          <w:szCs w:val="26"/>
          <w:lang w:eastAsia="ar-SA"/>
        </w:rPr>
        <w:t xml:space="preserve">Critères de </w:t>
      </w:r>
      <w:r w:rsidR="003F48CC" w:rsidRPr="00316808">
        <w:rPr>
          <w:rFonts w:ascii="Arial" w:eastAsia="Times New Roman" w:hAnsi="Arial" w:cs="Arial"/>
          <w:b/>
          <w:iCs/>
          <w:sz w:val="26"/>
          <w:szCs w:val="26"/>
          <w:lang w:eastAsia="ar-SA"/>
        </w:rPr>
        <w:t>choix</w:t>
      </w:r>
      <w:r w:rsidR="00F2023E" w:rsidRPr="00316808">
        <w:rPr>
          <w:rFonts w:ascii="Arial" w:eastAsia="Times New Roman" w:hAnsi="Arial" w:cs="Arial"/>
          <w:b/>
          <w:iCs/>
          <w:sz w:val="26"/>
          <w:szCs w:val="26"/>
          <w:lang w:eastAsia="ar-SA"/>
        </w:rPr>
        <w:t xml:space="preserve"> des offres </w:t>
      </w:r>
    </w:p>
    <w:p w14:paraId="782D957D" w14:textId="77777777" w:rsidR="001E4F81" w:rsidRDefault="001E4F81" w:rsidP="001E4F81">
      <w:pPr>
        <w:spacing w:after="0" w:line="240" w:lineRule="auto"/>
        <w:jc w:val="both"/>
        <w:rPr>
          <w:rFonts w:ascii="Arial" w:hAnsi="Arial" w:cs="Arial"/>
        </w:rPr>
      </w:pPr>
    </w:p>
    <w:p w14:paraId="44343903" w14:textId="07CCC610" w:rsidR="00F2023E" w:rsidRDefault="00F2023E" w:rsidP="001E4F81">
      <w:pPr>
        <w:spacing w:after="0" w:line="240" w:lineRule="auto"/>
        <w:jc w:val="both"/>
        <w:rPr>
          <w:rFonts w:ascii="Arial" w:hAnsi="Arial" w:cs="Arial"/>
        </w:rPr>
      </w:pPr>
      <w:r w:rsidRPr="00162D45">
        <w:rPr>
          <w:rFonts w:ascii="Arial" w:hAnsi="Arial" w:cs="Arial"/>
        </w:rPr>
        <w:t>Parmi les offres présentées, seront écartées les offres inappropriées, irrégulières ou inacceptables au sens de</w:t>
      </w:r>
      <w:r w:rsidR="00D76C31">
        <w:rPr>
          <w:rFonts w:ascii="Arial" w:hAnsi="Arial" w:cs="Arial"/>
        </w:rPr>
        <w:t xml:space="preserve">s articles L2152-2 à L2152-4 du Code de la Commande Publique. </w:t>
      </w:r>
      <w:r w:rsidRPr="00162D45">
        <w:rPr>
          <w:rFonts w:ascii="Arial" w:hAnsi="Arial" w:cs="Arial"/>
        </w:rPr>
        <w:t xml:space="preserve"> </w:t>
      </w:r>
      <w:r w:rsidR="001E4F81">
        <w:rPr>
          <w:rFonts w:ascii="Arial" w:hAnsi="Arial" w:cs="Arial"/>
        </w:rPr>
        <w:br/>
      </w:r>
    </w:p>
    <w:p w14:paraId="227BF9D7" w14:textId="55D70BC8" w:rsidR="00162D45" w:rsidRDefault="00162D45" w:rsidP="001E4F81">
      <w:pPr>
        <w:spacing w:after="0" w:line="240" w:lineRule="auto"/>
        <w:jc w:val="both"/>
        <w:rPr>
          <w:rFonts w:ascii="Arial" w:hAnsi="Arial" w:cs="Arial"/>
        </w:rPr>
      </w:pPr>
      <w:r>
        <w:rPr>
          <w:rFonts w:ascii="Arial" w:hAnsi="Arial" w:cs="Arial"/>
        </w:rPr>
        <w:t xml:space="preserve">Toutefois, l’Université peut autoriser tous les soumissionnaires concernés à régulariser les offres irrégulières dans un délai approprié, à condition qu’elles ne soient pas anormalement basses. </w:t>
      </w:r>
    </w:p>
    <w:p w14:paraId="35EBEBCC" w14:textId="77777777" w:rsidR="001E4F81" w:rsidRPr="00162D45" w:rsidRDefault="001E4F81" w:rsidP="001E4F81">
      <w:pPr>
        <w:spacing w:after="0" w:line="240" w:lineRule="auto"/>
        <w:jc w:val="both"/>
        <w:rPr>
          <w:rFonts w:ascii="Arial" w:hAnsi="Arial" w:cs="Arial"/>
        </w:rPr>
      </w:pPr>
    </w:p>
    <w:p w14:paraId="092C671B" w14:textId="36C1B96B" w:rsidR="00470B6F" w:rsidRDefault="005035A0" w:rsidP="001E4F81">
      <w:pPr>
        <w:spacing w:after="0" w:line="240" w:lineRule="auto"/>
        <w:jc w:val="both"/>
        <w:rPr>
          <w:rFonts w:ascii="Arial" w:hAnsi="Arial" w:cs="Arial"/>
        </w:rPr>
      </w:pPr>
      <w:r w:rsidRPr="00162D45">
        <w:rPr>
          <w:rFonts w:ascii="Arial" w:hAnsi="Arial" w:cs="Arial"/>
        </w:rPr>
        <w:lastRenderedPageBreak/>
        <w:t>Parmi les candidats ayant remis un dossier complet et une offre conforme aux exigences de l’université, les critères suivants seront pris en compte pour la détermination de l'offre économiquement la plus avantageuse, selon la pondération indiquée :</w:t>
      </w:r>
    </w:p>
    <w:p w14:paraId="40F2FC36" w14:textId="77777777" w:rsidR="001E4F81" w:rsidRDefault="001E4F81" w:rsidP="001E4F81">
      <w:pPr>
        <w:spacing w:after="0" w:line="240" w:lineRule="auto"/>
        <w:jc w:val="both"/>
        <w:rPr>
          <w:rFonts w:ascii="Arial" w:hAnsi="Arial" w:cs="Arial"/>
        </w:rPr>
      </w:pPr>
    </w:p>
    <w:p w14:paraId="2E300748" w14:textId="044B079B" w:rsidR="0057017A" w:rsidRPr="00AD603D" w:rsidRDefault="0057017A" w:rsidP="001E4F81">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rFonts w:ascii="Arial" w:hAnsi="Arial" w:cs="Arial"/>
          <w:b/>
          <w:sz w:val="32"/>
        </w:rPr>
      </w:pPr>
      <w:r w:rsidRPr="00AD603D">
        <w:rPr>
          <w:rFonts w:ascii="Arial" w:hAnsi="Arial" w:cs="Arial"/>
          <w:b/>
          <w:sz w:val="32"/>
        </w:rPr>
        <w:t xml:space="preserve">POUR </w:t>
      </w:r>
      <w:r w:rsidR="00AD603D" w:rsidRPr="00AD603D">
        <w:rPr>
          <w:rFonts w:ascii="Arial" w:hAnsi="Arial" w:cs="Arial"/>
          <w:b/>
          <w:sz w:val="32"/>
        </w:rPr>
        <w:t>CHACUN</w:t>
      </w:r>
      <w:r w:rsidRPr="00AD603D">
        <w:rPr>
          <w:rFonts w:ascii="Arial" w:hAnsi="Arial" w:cs="Arial"/>
          <w:b/>
          <w:sz w:val="32"/>
        </w:rPr>
        <w:t xml:space="preserve"> DES LOTS</w:t>
      </w:r>
    </w:p>
    <w:p w14:paraId="64607AE3" w14:textId="77777777" w:rsidR="0057017A" w:rsidRPr="00162D45" w:rsidRDefault="0057017A" w:rsidP="001E4F81">
      <w:pPr>
        <w:spacing w:after="0" w:line="240" w:lineRule="auto"/>
        <w:jc w:val="both"/>
        <w:rPr>
          <w:rFonts w:ascii="Arial" w:hAnsi="Arial" w:cs="Arial"/>
        </w:rPr>
      </w:pPr>
    </w:p>
    <w:p w14:paraId="7C2E31F7" w14:textId="77777777" w:rsidR="00B8590E" w:rsidRPr="00B8590E" w:rsidRDefault="00B8590E" w:rsidP="001E4F81">
      <w:pPr>
        <w:autoSpaceDE w:val="0"/>
        <w:autoSpaceDN w:val="0"/>
        <w:adjustRightInd w:val="0"/>
        <w:spacing w:after="0" w:line="240" w:lineRule="auto"/>
        <w:jc w:val="both"/>
        <w:rPr>
          <w:rFonts w:ascii="Arial" w:hAnsi="Arial" w:cs="Arial"/>
          <w:color w:val="000000"/>
        </w:rPr>
      </w:pPr>
      <w:r w:rsidRPr="00B8590E">
        <w:rPr>
          <w:rFonts w:ascii="Arial" w:hAnsi="Arial" w:cs="Arial"/>
          <w:b/>
          <w:bCs/>
          <w:color w:val="000000"/>
        </w:rPr>
        <w:t xml:space="preserve">1/ Montant total TTC du détail quantitatif estimatif (35 %) </w:t>
      </w:r>
    </w:p>
    <w:p w14:paraId="3C25E5B9" w14:textId="0E6CC6A7" w:rsidR="00B8590E" w:rsidRDefault="00B8590E" w:rsidP="001E4F81">
      <w:pPr>
        <w:autoSpaceDE w:val="0"/>
        <w:autoSpaceDN w:val="0"/>
        <w:adjustRightInd w:val="0"/>
        <w:spacing w:after="0" w:line="240" w:lineRule="auto"/>
        <w:jc w:val="both"/>
        <w:rPr>
          <w:rFonts w:ascii="Arial" w:hAnsi="Arial" w:cs="Arial"/>
          <w:i/>
          <w:iCs/>
          <w:color w:val="000000"/>
        </w:rPr>
      </w:pPr>
      <w:r w:rsidRPr="00B8590E">
        <w:rPr>
          <w:rFonts w:ascii="Arial" w:hAnsi="Arial" w:cs="Arial"/>
          <w:i/>
          <w:iCs/>
          <w:color w:val="000000"/>
        </w:rPr>
        <w:t xml:space="preserve">Ce critère sera apprécié sur la base du montant total TTC résultant du détail quantitatif estimatif (DQE) intégré au sein de l’annexe n° 1/X à l’acte d’engagement « Bordereau des prix unitaire (BPU) ». </w:t>
      </w:r>
    </w:p>
    <w:p w14:paraId="7E0DBCAC" w14:textId="77777777" w:rsidR="00B8590E" w:rsidRDefault="00B8590E" w:rsidP="001E4F81">
      <w:pPr>
        <w:autoSpaceDE w:val="0"/>
        <w:autoSpaceDN w:val="0"/>
        <w:adjustRightInd w:val="0"/>
        <w:spacing w:after="0" w:line="240" w:lineRule="auto"/>
        <w:jc w:val="both"/>
        <w:rPr>
          <w:rFonts w:ascii="Arial" w:hAnsi="Arial" w:cs="Arial"/>
          <w:b/>
          <w:bCs/>
        </w:rPr>
      </w:pPr>
    </w:p>
    <w:p w14:paraId="1B7B0A5C" w14:textId="6FF8F041"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rPr>
        <w:t xml:space="preserve">2/ Autres conditions tarifaires du candidat (15 %) </w:t>
      </w:r>
    </w:p>
    <w:p w14:paraId="5A491E26" w14:textId="77777777"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i/>
          <w:iCs/>
        </w:rPr>
        <w:t xml:space="preserve">Ce critère sera apprécié sur la base des éléments indiqués par le candidat au sein des annexes à l’acte d’engagement n° 1/X « Bordereau des prix unitaires (BPU) » et 2 « Cadre de réponses technique (CRT) » aux rubriques concernées. </w:t>
      </w:r>
    </w:p>
    <w:p w14:paraId="42167085" w14:textId="77777777"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rPr>
        <w:t xml:space="preserve">Il se décompose des sous-critères suivants : </w:t>
      </w:r>
    </w:p>
    <w:p w14:paraId="3480A9EB" w14:textId="77777777" w:rsidR="00B8590E" w:rsidRDefault="00B8590E" w:rsidP="001E4F81">
      <w:pPr>
        <w:autoSpaceDE w:val="0"/>
        <w:autoSpaceDN w:val="0"/>
        <w:adjustRightInd w:val="0"/>
        <w:spacing w:after="0" w:line="240" w:lineRule="auto"/>
        <w:jc w:val="both"/>
        <w:rPr>
          <w:rFonts w:ascii="Arial" w:hAnsi="Arial" w:cs="Arial"/>
          <w:b/>
          <w:bCs/>
          <w:i/>
          <w:iCs/>
        </w:rPr>
      </w:pPr>
    </w:p>
    <w:p w14:paraId="71E77A8D" w14:textId="28D5FE11"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i/>
          <w:iCs/>
        </w:rPr>
        <w:t xml:space="preserve">2.1/ </w:t>
      </w:r>
      <w:r w:rsidRPr="00B8590E">
        <w:rPr>
          <w:rFonts w:ascii="Arial" w:hAnsi="Arial" w:cs="Arial"/>
          <w:i/>
          <w:iCs/>
        </w:rPr>
        <w:t xml:space="preserve">Pourcentages de remise accordés sur catalogue pour les produits des mêmes familles non-prévus au bordereau des prix unitaires </w:t>
      </w:r>
      <w:r w:rsidRPr="00B8590E">
        <w:rPr>
          <w:rFonts w:ascii="Arial" w:hAnsi="Arial" w:cs="Arial"/>
          <w:b/>
          <w:bCs/>
          <w:i/>
          <w:iCs/>
        </w:rPr>
        <w:t xml:space="preserve">(10 %) </w:t>
      </w:r>
    </w:p>
    <w:p w14:paraId="6922FB13" w14:textId="77777777" w:rsidR="00B8590E" w:rsidRDefault="00B8590E" w:rsidP="001E4F81">
      <w:pPr>
        <w:autoSpaceDE w:val="0"/>
        <w:autoSpaceDN w:val="0"/>
        <w:adjustRightInd w:val="0"/>
        <w:spacing w:after="0" w:line="240" w:lineRule="auto"/>
        <w:jc w:val="both"/>
        <w:rPr>
          <w:rFonts w:ascii="Arial" w:hAnsi="Arial" w:cs="Arial"/>
          <w:b/>
          <w:bCs/>
          <w:i/>
          <w:iCs/>
        </w:rPr>
      </w:pPr>
    </w:p>
    <w:p w14:paraId="58556410" w14:textId="627EEB38"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i/>
          <w:iCs/>
        </w:rPr>
        <w:t xml:space="preserve">2.2/ </w:t>
      </w:r>
      <w:r w:rsidRPr="00B8590E">
        <w:rPr>
          <w:rFonts w:ascii="Arial" w:hAnsi="Arial" w:cs="Arial"/>
          <w:i/>
          <w:iCs/>
        </w:rPr>
        <w:t>Montant éventuel des frais de port appliqué aux commandes de fournitures hors BPU d’un montant inférieur à 500€ HT</w:t>
      </w:r>
      <w:r w:rsidR="00576F0E">
        <w:rPr>
          <w:rFonts w:ascii="Arial" w:hAnsi="Arial" w:cs="Arial"/>
          <w:i/>
          <w:iCs/>
        </w:rPr>
        <w:t xml:space="preserve"> </w:t>
      </w:r>
      <w:r w:rsidRPr="00B8590E">
        <w:rPr>
          <w:rFonts w:ascii="Arial" w:hAnsi="Arial" w:cs="Arial"/>
          <w:b/>
          <w:bCs/>
          <w:i/>
          <w:iCs/>
        </w:rPr>
        <w:t xml:space="preserve">(5 %) </w:t>
      </w:r>
    </w:p>
    <w:p w14:paraId="77DB082F" w14:textId="77777777" w:rsidR="00B8590E" w:rsidRDefault="00B8590E" w:rsidP="001E4F81">
      <w:pPr>
        <w:autoSpaceDE w:val="0"/>
        <w:autoSpaceDN w:val="0"/>
        <w:adjustRightInd w:val="0"/>
        <w:spacing w:after="0" w:line="240" w:lineRule="auto"/>
        <w:jc w:val="both"/>
        <w:rPr>
          <w:rFonts w:ascii="Arial" w:hAnsi="Arial" w:cs="Arial"/>
          <w:b/>
          <w:bCs/>
        </w:rPr>
      </w:pPr>
    </w:p>
    <w:p w14:paraId="5EECA8EE" w14:textId="7BB55DC3"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rPr>
        <w:t xml:space="preserve">3/ Etendue, qualité et adéquation de l’offre du candidat (10 %) </w:t>
      </w:r>
    </w:p>
    <w:p w14:paraId="38199A9D" w14:textId="77777777"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i/>
          <w:iCs/>
        </w:rPr>
        <w:t xml:space="preserve">Ce critère sera apprécié sur la base des éléments indiqués par le candidat au sein de l’annexe n° 2 à l’acte d’engagement « Cadre de réponses technique (CRT) » aux rubriques concernées, et le cas échéant dans les autres pièces de son offre. </w:t>
      </w:r>
    </w:p>
    <w:p w14:paraId="01C19D1F" w14:textId="77777777" w:rsidR="00B8590E" w:rsidRDefault="00B8590E" w:rsidP="001E4F81">
      <w:pPr>
        <w:autoSpaceDE w:val="0"/>
        <w:autoSpaceDN w:val="0"/>
        <w:adjustRightInd w:val="0"/>
        <w:spacing w:after="0" w:line="240" w:lineRule="auto"/>
        <w:jc w:val="both"/>
        <w:rPr>
          <w:rFonts w:ascii="Arial" w:hAnsi="Arial" w:cs="Arial"/>
          <w:b/>
          <w:bCs/>
        </w:rPr>
      </w:pPr>
    </w:p>
    <w:p w14:paraId="494D3EF1" w14:textId="2F26E23A"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rPr>
        <w:t xml:space="preserve">4/ Ergonomie et fonctionnalités du site web marchand du candidat (10 %) </w:t>
      </w:r>
    </w:p>
    <w:p w14:paraId="33748F73" w14:textId="77777777"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i/>
          <w:iCs/>
        </w:rPr>
        <w:t xml:space="preserve">Ce critère sera apprécié sur la base des éléments indiqués par le candidat au sein de l’annexe n° 2 à l’acte d’engagement « Cadre de réponses technique (CRT) » aux rubriques concernées, et le cas échéant dans les autres pièces de son offre. </w:t>
      </w:r>
    </w:p>
    <w:p w14:paraId="5DFC326A" w14:textId="77777777" w:rsidR="00B8590E" w:rsidRDefault="00B8590E" w:rsidP="001E4F81">
      <w:pPr>
        <w:autoSpaceDE w:val="0"/>
        <w:autoSpaceDN w:val="0"/>
        <w:adjustRightInd w:val="0"/>
        <w:spacing w:after="0" w:line="240" w:lineRule="auto"/>
        <w:jc w:val="both"/>
        <w:rPr>
          <w:rFonts w:ascii="Arial" w:hAnsi="Arial" w:cs="Arial"/>
          <w:b/>
          <w:bCs/>
        </w:rPr>
      </w:pPr>
    </w:p>
    <w:p w14:paraId="19AFF7D6" w14:textId="1B927E18"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rPr>
        <w:t xml:space="preserve">5/ Délai d’exécution (livraison/disponibilité) proposé par le candidat (5 %) </w:t>
      </w:r>
    </w:p>
    <w:p w14:paraId="0EC3840B" w14:textId="77777777"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i/>
          <w:iCs/>
        </w:rPr>
        <w:t xml:space="preserve">Ce critère sera apprécié sur la base des éléments indiqués par le candidat au sein de l’annexe n° 2 à l’acte d’engagement « Cadre de réponses technique (CRT) » aux rubriques concernée (délai de livraison et éventuellement délai d’urgence). </w:t>
      </w:r>
    </w:p>
    <w:p w14:paraId="75447854" w14:textId="77777777" w:rsidR="00B8590E" w:rsidRDefault="00B8590E" w:rsidP="001E4F81">
      <w:pPr>
        <w:autoSpaceDE w:val="0"/>
        <w:autoSpaceDN w:val="0"/>
        <w:adjustRightInd w:val="0"/>
        <w:spacing w:after="0" w:line="240" w:lineRule="auto"/>
        <w:jc w:val="both"/>
        <w:rPr>
          <w:rFonts w:ascii="Arial" w:hAnsi="Arial" w:cs="Arial"/>
          <w:b/>
          <w:bCs/>
        </w:rPr>
      </w:pPr>
    </w:p>
    <w:p w14:paraId="7DAD4F6B" w14:textId="4C305548"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rPr>
        <w:t xml:space="preserve">6/ Méthodologie du candidat relative aux livraisons, stocks et retours (15 %) </w:t>
      </w:r>
    </w:p>
    <w:p w14:paraId="7CCCA943" w14:textId="77777777"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i/>
          <w:iCs/>
        </w:rPr>
        <w:t xml:space="preserve">Ce critère sera apprécié sur la base des éléments indiqués par le candidat au sein de l’annexe n° 2 à l’acte d’engagement « Cadre de réponses technique (CRT) » aux rubriques concernées, et le cas échéant dans les autres pièces de son offre. </w:t>
      </w:r>
    </w:p>
    <w:p w14:paraId="0C023823" w14:textId="77777777" w:rsidR="00B8590E" w:rsidRDefault="00B8590E" w:rsidP="001E4F81">
      <w:pPr>
        <w:autoSpaceDE w:val="0"/>
        <w:autoSpaceDN w:val="0"/>
        <w:adjustRightInd w:val="0"/>
        <w:spacing w:after="0" w:line="240" w:lineRule="auto"/>
        <w:jc w:val="both"/>
        <w:rPr>
          <w:rFonts w:ascii="Arial" w:hAnsi="Arial" w:cs="Arial"/>
          <w:b/>
          <w:bCs/>
        </w:rPr>
      </w:pPr>
    </w:p>
    <w:p w14:paraId="52867709" w14:textId="349F11E7" w:rsidR="00B8590E" w:rsidRPr="00B8590E" w:rsidRDefault="00B8590E" w:rsidP="001E4F81">
      <w:pPr>
        <w:autoSpaceDE w:val="0"/>
        <w:autoSpaceDN w:val="0"/>
        <w:adjustRightInd w:val="0"/>
        <w:spacing w:after="0" w:line="240" w:lineRule="auto"/>
        <w:jc w:val="both"/>
        <w:rPr>
          <w:rFonts w:ascii="Arial" w:hAnsi="Arial" w:cs="Arial"/>
        </w:rPr>
      </w:pPr>
      <w:r w:rsidRPr="00B8590E">
        <w:rPr>
          <w:rFonts w:ascii="Arial" w:hAnsi="Arial" w:cs="Arial"/>
          <w:b/>
          <w:bCs/>
        </w:rPr>
        <w:t xml:space="preserve">7/ </w:t>
      </w:r>
      <w:r w:rsidR="001A22EC" w:rsidRPr="001A22EC">
        <w:rPr>
          <w:rFonts w:ascii="Arial" w:hAnsi="Arial" w:cs="Arial"/>
          <w:b/>
        </w:rPr>
        <w:t>Performance environnementale liée à l’exécution des prestations</w:t>
      </w:r>
      <w:r w:rsidR="001A22EC">
        <w:rPr>
          <w:rFonts w:ascii="Arial" w:hAnsi="Arial" w:cs="Arial"/>
          <w:b/>
        </w:rPr>
        <w:t> </w:t>
      </w:r>
      <w:r w:rsidR="001A22EC">
        <w:rPr>
          <w:rFonts w:ascii="Arial" w:hAnsi="Arial" w:cs="Arial"/>
          <w:b/>
          <w:bCs/>
        </w:rPr>
        <w:t>: m</w:t>
      </w:r>
      <w:r w:rsidRPr="00B8590E">
        <w:rPr>
          <w:rFonts w:ascii="Arial" w:hAnsi="Arial" w:cs="Arial"/>
          <w:b/>
          <w:bCs/>
        </w:rPr>
        <w:t xml:space="preserve">éthodologie et actions mises en </w:t>
      </w:r>
      <w:r w:rsidR="001A22EC" w:rsidRPr="00B8590E">
        <w:rPr>
          <w:rFonts w:ascii="Arial" w:hAnsi="Arial" w:cs="Arial"/>
          <w:b/>
          <w:bCs/>
        </w:rPr>
        <w:t>œuvre</w:t>
      </w:r>
      <w:r w:rsidRPr="00B8590E">
        <w:rPr>
          <w:rFonts w:ascii="Arial" w:hAnsi="Arial" w:cs="Arial"/>
          <w:b/>
          <w:bCs/>
        </w:rPr>
        <w:t xml:space="preserve"> par le candidat dans l’exécution des prestations objets du présent accord-cadre relatives au développement durable (10 %) </w:t>
      </w:r>
    </w:p>
    <w:p w14:paraId="2598BF7C" w14:textId="77777777" w:rsidR="00B8590E" w:rsidRPr="00B8590E" w:rsidRDefault="00B8590E" w:rsidP="001E4F81">
      <w:pPr>
        <w:spacing w:after="0" w:line="240" w:lineRule="auto"/>
        <w:jc w:val="both"/>
        <w:rPr>
          <w:rFonts w:ascii="Arial" w:hAnsi="Arial" w:cs="Arial"/>
          <w:b/>
          <w:highlight w:val="cyan"/>
        </w:rPr>
      </w:pPr>
      <w:r w:rsidRPr="00B8590E">
        <w:rPr>
          <w:rFonts w:ascii="Arial" w:hAnsi="Arial" w:cs="Arial"/>
          <w:i/>
          <w:iCs/>
        </w:rPr>
        <w:t xml:space="preserve">Ce critère sera apprécié sur la base des éléments indiqués par le candidat au sein de l’annexe n° 2 à l’acte d’engagement « Cadre de réponses technique (CRT) » aux rubriques concernées, et le cas échéant dans les autres pièces de son offre. </w:t>
      </w:r>
    </w:p>
    <w:p w14:paraId="586CEF77" w14:textId="77777777" w:rsidR="00B8590E" w:rsidRPr="001E4F81" w:rsidRDefault="00B8590E" w:rsidP="001E4F81">
      <w:pPr>
        <w:spacing w:after="0" w:line="240" w:lineRule="auto"/>
        <w:jc w:val="both"/>
        <w:rPr>
          <w:rFonts w:ascii="Arial" w:hAnsi="Arial" w:cs="Arial"/>
          <w:b/>
          <w:highlight w:val="cyan"/>
        </w:rPr>
      </w:pPr>
    </w:p>
    <w:p w14:paraId="2D039D80" w14:textId="557EA8CD" w:rsidR="00D74025" w:rsidRPr="00D638BA" w:rsidRDefault="00D74025"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sidRPr="00D638BA">
        <w:rPr>
          <w:rFonts w:ascii="Arial" w:eastAsia="Times New Roman" w:hAnsi="Arial" w:cs="Arial"/>
          <w:b/>
          <w:iCs/>
          <w:sz w:val="26"/>
          <w:szCs w:val="26"/>
          <w:lang w:eastAsia="ar-SA"/>
        </w:rPr>
        <w:t xml:space="preserve">Rectification </w:t>
      </w:r>
      <w:r w:rsidR="001A22EC">
        <w:rPr>
          <w:rFonts w:ascii="Arial" w:eastAsia="Times New Roman" w:hAnsi="Arial" w:cs="Arial"/>
          <w:b/>
          <w:iCs/>
          <w:sz w:val="26"/>
          <w:szCs w:val="26"/>
          <w:lang w:eastAsia="ar-SA"/>
        </w:rPr>
        <w:t>des b</w:t>
      </w:r>
      <w:r w:rsidRPr="00D638BA">
        <w:rPr>
          <w:rFonts w:ascii="Arial" w:eastAsia="Times New Roman" w:hAnsi="Arial" w:cs="Arial"/>
          <w:b/>
          <w:iCs/>
          <w:sz w:val="26"/>
          <w:szCs w:val="26"/>
          <w:lang w:eastAsia="ar-SA"/>
        </w:rPr>
        <w:t>ordereau</w:t>
      </w:r>
      <w:r w:rsidR="001A22EC">
        <w:rPr>
          <w:rFonts w:ascii="Arial" w:eastAsia="Times New Roman" w:hAnsi="Arial" w:cs="Arial"/>
          <w:b/>
          <w:iCs/>
          <w:sz w:val="26"/>
          <w:szCs w:val="26"/>
          <w:lang w:eastAsia="ar-SA"/>
        </w:rPr>
        <w:t>x</w:t>
      </w:r>
      <w:r w:rsidRPr="00D638BA">
        <w:rPr>
          <w:rFonts w:ascii="Arial" w:eastAsia="Times New Roman" w:hAnsi="Arial" w:cs="Arial"/>
          <w:b/>
          <w:iCs/>
          <w:sz w:val="26"/>
          <w:szCs w:val="26"/>
          <w:lang w:eastAsia="ar-SA"/>
        </w:rPr>
        <w:t xml:space="preserve"> des prix</w:t>
      </w:r>
      <w:r w:rsidR="001A22EC">
        <w:rPr>
          <w:rFonts w:ascii="Arial" w:eastAsia="Times New Roman" w:hAnsi="Arial" w:cs="Arial"/>
          <w:b/>
          <w:iCs/>
          <w:sz w:val="26"/>
          <w:szCs w:val="26"/>
          <w:lang w:eastAsia="ar-SA"/>
        </w:rPr>
        <w:t xml:space="preserve"> unitaires</w:t>
      </w:r>
      <w:r w:rsidRPr="00D638BA">
        <w:rPr>
          <w:rFonts w:ascii="Arial" w:eastAsia="Times New Roman" w:hAnsi="Arial" w:cs="Arial"/>
          <w:b/>
          <w:iCs/>
          <w:sz w:val="26"/>
          <w:szCs w:val="26"/>
          <w:lang w:eastAsia="ar-SA"/>
        </w:rPr>
        <w:t xml:space="preserve"> </w:t>
      </w:r>
    </w:p>
    <w:p w14:paraId="1B05B2C3" w14:textId="77777777" w:rsidR="001E4F81" w:rsidRDefault="001E4F81" w:rsidP="001E4F81">
      <w:pPr>
        <w:suppressAutoHyphens/>
        <w:spacing w:after="0" w:line="240" w:lineRule="auto"/>
        <w:jc w:val="both"/>
        <w:rPr>
          <w:rFonts w:ascii="Arial" w:eastAsia="Times New Roman" w:hAnsi="Arial" w:cs="Arial"/>
          <w:lang w:eastAsia="ar-SA"/>
        </w:rPr>
      </w:pPr>
    </w:p>
    <w:p w14:paraId="5B27F9BC" w14:textId="5BE92A39" w:rsidR="00D74025" w:rsidRPr="0070757D" w:rsidRDefault="00D74025" w:rsidP="001E4F81">
      <w:pPr>
        <w:suppressAutoHyphens/>
        <w:spacing w:after="0" w:line="240" w:lineRule="auto"/>
        <w:jc w:val="both"/>
        <w:rPr>
          <w:rFonts w:ascii="Arial" w:eastAsia="Times New Roman" w:hAnsi="Arial" w:cs="Arial"/>
          <w:lang w:eastAsia="ar-SA"/>
        </w:rPr>
      </w:pPr>
      <w:r w:rsidRPr="0070757D">
        <w:rPr>
          <w:rFonts w:ascii="Arial" w:eastAsia="Times New Roman" w:hAnsi="Arial" w:cs="Arial"/>
          <w:lang w:eastAsia="ar-SA"/>
        </w:rPr>
        <w:lastRenderedPageBreak/>
        <w:t xml:space="preserve">En cas de contradiction dans l’offre d’un candidat, les indications portées </w:t>
      </w:r>
      <w:r w:rsidR="001A22EC" w:rsidRPr="0070757D">
        <w:rPr>
          <w:rFonts w:ascii="Arial" w:eastAsia="Times New Roman" w:hAnsi="Arial" w:cs="Arial"/>
          <w:lang w:eastAsia="ar-SA"/>
        </w:rPr>
        <w:t>au sein de l’annexe 1/X à l’acte d’engagement « Bordereau des prix unitaires (BPU) prévaudront s</w:t>
      </w:r>
      <w:r w:rsidRPr="0070757D">
        <w:rPr>
          <w:rFonts w:ascii="Arial" w:eastAsia="Times New Roman" w:hAnsi="Arial" w:cs="Arial"/>
          <w:lang w:eastAsia="ar-SA"/>
        </w:rPr>
        <w:t xml:space="preserve">ur toutes autres indications de prix figurant dans l’offre ; </w:t>
      </w:r>
      <w:r w:rsidR="001A22EC" w:rsidRPr="0070757D">
        <w:rPr>
          <w:rFonts w:ascii="Arial" w:eastAsia="Times New Roman" w:hAnsi="Arial" w:cs="Arial"/>
          <w:lang w:eastAsia="ar-SA"/>
        </w:rPr>
        <w:t>l’annexe</w:t>
      </w:r>
      <w:r w:rsidRPr="0070757D">
        <w:rPr>
          <w:rFonts w:ascii="Arial" w:eastAsia="Times New Roman" w:hAnsi="Arial" w:cs="Arial"/>
          <w:lang w:eastAsia="ar-SA"/>
        </w:rPr>
        <w:t xml:space="preserve"> sera rectifié</w:t>
      </w:r>
      <w:r w:rsidR="001A22EC" w:rsidRPr="0070757D">
        <w:rPr>
          <w:rFonts w:ascii="Arial" w:eastAsia="Times New Roman" w:hAnsi="Arial" w:cs="Arial"/>
          <w:lang w:eastAsia="ar-SA"/>
        </w:rPr>
        <w:t>e</w:t>
      </w:r>
      <w:r w:rsidRPr="0070757D">
        <w:rPr>
          <w:rFonts w:ascii="Arial" w:eastAsia="Times New Roman" w:hAnsi="Arial" w:cs="Arial"/>
          <w:lang w:eastAsia="ar-SA"/>
        </w:rPr>
        <w:t xml:space="preserve"> en conséquence : </w:t>
      </w:r>
    </w:p>
    <w:p w14:paraId="27A48E05" w14:textId="77777777" w:rsidR="00D74025" w:rsidRPr="0070757D" w:rsidRDefault="00D74025" w:rsidP="001E4F81">
      <w:pPr>
        <w:suppressAutoHyphens/>
        <w:spacing w:after="0" w:line="240" w:lineRule="auto"/>
        <w:jc w:val="both"/>
        <w:rPr>
          <w:rFonts w:ascii="Arial" w:eastAsia="Times New Roman" w:hAnsi="Arial" w:cs="Arial"/>
          <w:lang w:eastAsia="ar-SA"/>
        </w:rPr>
      </w:pPr>
    </w:p>
    <w:p w14:paraId="6EE91ECB" w14:textId="66365757" w:rsidR="00D74025" w:rsidRPr="0070757D" w:rsidRDefault="00D74025" w:rsidP="001E4F81">
      <w:pPr>
        <w:pStyle w:val="Paragraphedeliste"/>
        <w:numPr>
          <w:ilvl w:val="0"/>
          <w:numId w:val="20"/>
        </w:numPr>
        <w:suppressAutoHyphens/>
        <w:spacing w:after="0" w:line="240" w:lineRule="auto"/>
        <w:jc w:val="both"/>
        <w:rPr>
          <w:rFonts w:ascii="Arial" w:eastAsia="Times New Roman" w:hAnsi="Arial" w:cs="Arial"/>
          <w:lang w:eastAsia="ar-SA"/>
        </w:rPr>
      </w:pPr>
      <w:r w:rsidRPr="0070757D">
        <w:rPr>
          <w:rFonts w:ascii="Arial" w:eastAsia="Times New Roman" w:hAnsi="Arial" w:cs="Arial"/>
          <w:lang w:eastAsia="ar-SA"/>
        </w:rPr>
        <w:t xml:space="preserve">Les erreurs de report, de multiplication ou d’addition contenues dans </w:t>
      </w:r>
      <w:r w:rsidR="001A22EC" w:rsidRPr="0070757D">
        <w:rPr>
          <w:rFonts w:ascii="Arial" w:eastAsia="Times New Roman" w:hAnsi="Arial" w:cs="Arial"/>
          <w:lang w:eastAsia="ar-SA"/>
        </w:rPr>
        <w:t>BPU</w:t>
      </w:r>
      <w:r w:rsidRPr="0070757D">
        <w:rPr>
          <w:rFonts w:ascii="Arial" w:eastAsia="Times New Roman" w:hAnsi="Arial" w:cs="Arial"/>
          <w:lang w:eastAsia="ar-SA"/>
        </w:rPr>
        <w:t xml:space="preserve"> seront rectifiées ;</w:t>
      </w:r>
    </w:p>
    <w:p w14:paraId="004F4ECE" w14:textId="77777777" w:rsidR="00D74025" w:rsidRPr="0070757D" w:rsidRDefault="00D74025" w:rsidP="001E4F81">
      <w:pPr>
        <w:pStyle w:val="Paragraphedeliste"/>
        <w:numPr>
          <w:ilvl w:val="0"/>
          <w:numId w:val="20"/>
        </w:numPr>
        <w:suppressAutoHyphens/>
        <w:spacing w:after="0" w:line="240" w:lineRule="auto"/>
        <w:jc w:val="both"/>
        <w:rPr>
          <w:rFonts w:ascii="Arial" w:eastAsia="Times New Roman" w:hAnsi="Arial" w:cs="Arial"/>
          <w:lang w:eastAsia="ar-SA"/>
        </w:rPr>
      </w:pPr>
      <w:r w:rsidRPr="0070757D">
        <w:rPr>
          <w:rFonts w:ascii="Arial" w:eastAsia="Times New Roman" w:hAnsi="Arial" w:cs="Arial"/>
          <w:lang w:eastAsia="ar-SA"/>
        </w:rPr>
        <w:t>Le montant ainsi corrigé sera pris en considération lors du jugement des offres</w:t>
      </w:r>
    </w:p>
    <w:p w14:paraId="7D8EEE74" w14:textId="77777777" w:rsidR="00D74025" w:rsidRPr="0070757D" w:rsidRDefault="00D74025" w:rsidP="001E4F81">
      <w:pPr>
        <w:suppressAutoHyphens/>
        <w:spacing w:after="0" w:line="240" w:lineRule="auto"/>
        <w:jc w:val="both"/>
        <w:rPr>
          <w:rFonts w:ascii="Arial" w:eastAsia="Times New Roman" w:hAnsi="Arial" w:cs="Arial"/>
          <w:lang w:eastAsia="ar-SA"/>
        </w:rPr>
      </w:pPr>
    </w:p>
    <w:p w14:paraId="6F5ECC21" w14:textId="44A7A573" w:rsidR="00D74025" w:rsidRDefault="00D74025" w:rsidP="001E4F81">
      <w:pPr>
        <w:suppressAutoHyphens/>
        <w:spacing w:after="0" w:line="240" w:lineRule="auto"/>
        <w:jc w:val="both"/>
        <w:rPr>
          <w:rFonts w:ascii="Arial" w:eastAsia="Times New Roman" w:hAnsi="Arial" w:cs="Arial"/>
          <w:lang w:eastAsia="ar-SA"/>
        </w:rPr>
      </w:pPr>
      <w:r w:rsidRPr="0070757D">
        <w:rPr>
          <w:rFonts w:ascii="Arial" w:eastAsia="Times New Roman" w:hAnsi="Arial" w:cs="Arial"/>
          <w:lang w:eastAsia="ar-SA"/>
        </w:rPr>
        <w:t>Si le candidat concerné est sur le point d’être retenu, il sera invité à rectifier le ou les sous-détails de prix qui seraient erronés, pour les mettre en harmonie avec les prix correspondants, en cas de refus, son offre sera éliminée comme irrégulière.</w:t>
      </w:r>
    </w:p>
    <w:p w14:paraId="6E8318F9" w14:textId="77777777" w:rsidR="001E4F81" w:rsidRDefault="001E4F81" w:rsidP="001E4F81">
      <w:pPr>
        <w:suppressAutoHyphens/>
        <w:spacing w:after="0" w:line="240" w:lineRule="auto"/>
        <w:jc w:val="both"/>
        <w:rPr>
          <w:rFonts w:ascii="Arial" w:eastAsia="Times New Roman" w:hAnsi="Arial" w:cs="Arial"/>
          <w:lang w:eastAsia="ar-SA"/>
        </w:rPr>
      </w:pPr>
    </w:p>
    <w:bookmarkEnd w:id="7"/>
    <w:p w14:paraId="4620023B" w14:textId="02FDCC6A" w:rsidR="00316808" w:rsidRPr="00D638BA" w:rsidRDefault="00023376" w:rsidP="001E4F81">
      <w:pPr>
        <w:keepNext/>
        <w:numPr>
          <w:ilvl w:val="0"/>
          <w:numId w:val="1"/>
        </w:numPr>
        <w:suppressAutoHyphens/>
        <w:spacing w:after="0" w:line="240" w:lineRule="auto"/>
        <w:ind w:left="0" w:firstLine="0"/>
        <w:outlineLvl w:val="0"/>
        <w:rPr>
          <w:rFonts w:ascii="Arial" w:eastAsia="Times New Roman" w:hAnsi="Arial" w:cs="Arial"/>
          <w:b/>
          <w:iCs/>
          <w:sz w:val="26"/>
          <w:szCs w:val="26"/>
          <w:lang w:eastAsia="ar-SA"/>
        </w:rPr>
      </w:pPr>
      <w:r>
        <w:rPr>
          <w:rFonts w:ascii="Arial" w:eastAsia="Times New Roman" w:hAnsi="Arial" w:cs="Arial"/>
          <w:b/>
          <w:iCs/>
          <w:sz w:val="26"/>
          <w:szCs w:val="26"/>
          <w:lang w:eastAsia="ar-SA"/>
        </w:rPr>
        <w:t xml:space="preserve"> </w:t>
      </w:r>
      <w:r w:rsidR="00D20BA0" w:rsidRPr="00D638BA">
        <w:rPr>
          <w:rFonts w:ascii="Arial" w:eastAsia="Times New Roman" w:hAnsi="Arial" w:cs="Arial"/>
          <w:b/>
          <w:iCs/>
          <w:sz w:val="26"/>
          <w:szCs w:val="26"/>
          <w:lang w:eastAsia="ar-SA"/>
        </w:rPr>
        <w:t>Adresse de contact</w:t>
      </w:r>
    </w:p>
    <w:p w14:paraId="5013758F" w14:textId="77777777" w:rsidR="001E4F81" w:rsidRDefault="001E4F81" w:rsidP="001E4F81">
      <w:pPr>
        <w:suppressAutoHyphens/>
        <w:spacing w:after="0" w:line="240" w:lineRule="auto"/>
        <w:jc w:val="both"/>
        <w:rPr>
          <w:rFonts w:ascii="Arial" w:eastAsia="Times New Roman" w:hAnsi="Arial" w:cs="Arial"/>
          <w:lang w:eastAsia="ar-SA"/>
        </w:rPr>
      </w:pPr>
    </w:p>
    <w:p w14:paraId="561CCDA8" w14:textId="49EACEFC" w:rsidR="00FE570B" w:rsidRDefault="00FE570B" w:rsidP="001E4F81">
      <w:pPr>
        <w:suppressAutoHyphens/>
        <w:spacing w:after="0" w:line="240" w:lineRule="auto"/>
        <w:jc w:val="both"/>
        <w:rPr>
          <w:rFonts w:ascii="Arial" w:eastAsia="Times New Roman" w:hAnsi="Arial" w:cs="Arial"/>
          <w:lang w:eastAsia="ar-SA"/>
        </w:rPr>
      </w:pPr>
      <w:r w:rsidRPr="0014304A">
        <w:rPr>
          <w:rFonts w:ascii="Arial" w:eastAsia="Times New Roman" w:hAnsi="Arial" w:cs="Arial"/>
          <w:lang w:eastAsia="ar-SA"/>
        </w:rPr>
        <w:t xml:space="preserve">Les candidats seront particulièrement attentifs à renseigner dans leur offre une adresse courriel consultée régulièrement dans la mesure où cette adresse pourra être utilisée par l'Université de Lorraine pour tout échange. </w:t>
      </w:r>
    </w:p>
    <w:p w14:paraId="2A0A8784" w14:textId="77777777" w:rsidR="001E43C0" w:rsidRPr="0014304A" w:rsidRDefault="001E43C0" w:rsidP="001E4F81">
      <w:pPr>
        <w:suppressAutoHyphens/>
        <w:spacing w:after="0" w:line="240" w:lineRule="auto"/>
        <w:jc w:val="both"/>
        <w:rPr>
          <w:rFonts w:ascii="Arial" w:eastAsia="Times New Roman" w:hAnsi="Arial" w:cs="Arial"/>
          <w:lang w:eastAsia="ar-SA"/>
        </w:rPr>
      </w:pPr>
    </w:p>
    <w:p w14:paraId="6A730C11" w14:textId="77777777" w:rsidR="00D3688E" w:rsidRDefault="00FE570B" w:rsidP="001E4F81">
      <w:pPr>
        <w:suppressAutoHyphens/>
        <w:spacing w:after="0" w:line="240" w:lineRule="auto"/>
        <w:jc w:val="both"/>
        <w:rPr>
          <w:rFonts w:ascii="Arial" w:eastAsia="Times New Roman" w:hAnsi="Arial" w:cs="Arial"/>
          <w:lang w:eastAsia="ar-SA"/>
        </w:rPr>
      </w:pPr>
      <w:r w:rsidRPr="0014304A">
        <w:rPr>
          <w:rFonts w:ascii="Arial" w:eastAsia="Times New Roman" w:hAnsi="Arial" w:cs="Arial"/>
          <w:lang w:eastAsia="ar-SA"/>
        </w:rPr>
        <w:t xml:space="preserve">Il appartient donc au soumissionnaire de relever son courrier électronique sur une base régulière. La responsabilité de l’acheteur public ne saurait être recherchée si le candidat a communiqué une adresse erronée ou s’il n’a pas consulté ses messages en temps utile. </w:t>
      </w:r>
    </w:p>
    <w:p w14:paraId="36100A8B" w14:textId="77777777" w:rsidR="00D3688E" w:rsidRDefault="00D3688E" w:rsidP="001E4F81">
      <w:pPr>
        <w:suppressAutoHyphens/>
        <w:spacing w:after="0" w:line="240" w:lineRule="auto"/>
        <w:jc w:val="both"/>
        <w:rPr>
          <w:rFonts w:ascii="Arial" w:eastAsia="Times New Roman" w:hAnsi="Arial" w:cs="Arial"/>
          <w:lang w:eastAsia="ar-SA"/>
        </w:rPr>
      </w:pPr>
    </w:p>
    <w:sectPr w:rsidR="00D3688E" w:rsidSect="00F2023E">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BF06" w14:textId="77777777" w:rsidR="00635F38" w:rsidRDefault="00635F38" w:rsidP="00064698">
      <w:pPr>
        <w:spacing w:after="0" w:line="240" w:lineRule="auto"/>
      </w:pPr>
      <w:r>
        <w:separator/>
      </w:r>
    </w:p>
  </w:endnote>
  <w:endnote w:type="continuationSeparator" w:id="0">
    <w:p w14:paraId="4EAEF6B2" w14:textId="77777777" w:rsidR="00635F38" w:rsidRDefault="00635F38" w:rsidP="0006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7446" w14:textId="77777777" w:rsidR="00635F38" w:rsidRDefault="00635F38" w:rsidP="00064698">
      <w:pPr>
        <w:spacing w:after="0" w:line="240" w:lineRule="auto"/>
      </w:pPr>
      <w:r>
        <w:separator/>
      </w:r>
    </w:p>
  </w:footnote>
  <w:footnote w:type="continuationSeparator" w:id="0">
    <w:p w14:paraId="5480215D" w14:textId="77777777" w:rsidR="00635F38" w:rsidRDefault="00635F38" w:rsidP="0006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90272"/>
      <w:docPartObj>
        <w:docPartGallery w:val="Page Numbers (Top of Page)"/>
        <w:docPartUnique/>
      </w:docPartObj>
    </w:sdtPr>
    <w:sdtEndPr/>
    <w:sdtContent>
      <w:p w14:paraId="56FD70C3" w14:textId="75B67806" w:rsidR="00635F38" w:rsidRDefault="00635F38">
        <w:pPr>
          <w:pStyle w:val="En-tte"/>
          <w:jc w:val="right"/>
        </w:pPr>
        <w:r>
          <w:t xml:space="preserve">Page </w:t>
        </w:r>
        <w:r w:rsidR="00E83EB2">
          <w:rPr>
            <w:b/>
            <w:sz w:val="24"/>
            <w:szCs w:val="24"/>
          </w:rPr>
          <w:fldChar w:fldCharType="begin"/>
        </w:r>
        <w:r>
          <w:rPr>
            <w:b/>
          </w:rPr>
          <w:instrText>PAGE</w:instrText>
        </w:r>
        <w:r w:rsidR="00E83EB2">
          <w:rPr>
            <w:b/>
            <w:sz w:val="24"/>
            <w:szCs w:val="24"/>
          </w:rPr>
          <w:fldChar w:fldCharType="separate"/>
        </w:r>
        <w:r w:rsidR="00980139">
          <w:rPr>
            <w:b/>
            <w:noProof/>
          </w:rPr>
          <w:t>4</w:t>
        </w:r>
        <w:r w:rsidR="00E83EB2">
          <w:rPr>
            <w:b/>
            <w:sz w:val="24"/>
            <w:szCs w:val="24"/>
          </w:rPr>
          <w:fldChar w:fldCharType="end"/>
        </w:r>
        <w:r>
          <w:t xml:space="preserve"> sur </w:t>
        </w:r>
        <w:r w:rsidR="00E83EB2">
          <w:rPr>
            <w:b/>
            <w:sz w:val="24"/>
            <w:szCs w:val="24"/>
          </w:rPr>
          <w:fldChar w:fldCharType="begin"/>
        </w:r>
        <w:r>
          <w:rPr>
            <w:b/>
          </w:rPr>
          <w:instrText>NUMPAGES</w:instrText>
        </w:r>
        <w:r w:rsidR="00E83EB2">
          <w:rPr>
            <w:b/>
            <w:sz w:val="24"/>
            <w:szCs w:val="24"/>
          </w:rPr>
          <w:fldChar w:fldCharType="separate"/>
        </w:r>
        <w:r w:rsidR="00980139">
          <w:rPr>
            <w:b/>
            <w:noProof/>
          </w:rPr>
          <w:t>11</w:t>
        </w:r>
        <w:r w:rsidR="00E83EB2">
          <w:rPr>
            <w:b/>
            <w:sz w:val="24"/>
            <w:szCs w:val="24"/>
          </w:rPr>
          <w:fldChar w:fldCharType="end"/>
        </w:r>
      </w:p>
    </w:sdtContent>
  </w:sdt>
  <w:p w14:paraId="53DBCDD8" w14:textId="77777777" w:rsidR="00635F38" w:rsidRDefault="00635F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A6B1CC"/>
    <w:lvl w:ilvl="0">
      <w:start w:val="1"/>
      <w:numFmt w:val="decimal"/>
      <w:pStyle w:val="Titre1"/>
      <w:lvlText w:val="Article %1 –"/>
      <w:lvlJc w:val="left"/>
      <w:pPr>
        <w:ind w:left="502" w:hanging="360"/>
      </w:pPr>
      <w:rPr>
        <w:rFonts w:ascii="Arial" w:hAnsi="Arial" w:cs="Arial" w:hint="default"/>
        <w:sz w:val="26"/>
        <w:szCs w:val="2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7"/>
    <w:multiLevelType w:val="singleLevel"/>
    <w:tmpl w:val="00000007"/>
    <w:name w:val="WW8Num17"/>
    <w:lvl w:ilvl="0">
      <w:start w:val="1"/>
      <w:numFmt w:val="bullet"/>
      <w:pStyle w:val="CarCar1Car"/>
      <w:lvlText w:val=""/>
      <w:lvlJc w:val="left"/>
      <w:pPr>
        <w:tabs>
          <w:tab w:val="num" w:pos="720"/>
        </w:tabs>
        <w:ind w:left="720" w:hanging="360"/>
      </w:pPr>
      <w:rPr>
        <w:rFonts w:ascii="Wingdings" w:hAnsi="Wingdings"/>
      </w:rPr>
    </w:lvl>
  </w:abstractNum>
  <w:abstractNum w:abstractNumId="3" w15:restartNumberingAfterBreak="0">
    <w:nsid w:val="00000008"/>
    <w:multiLevelType w:val="multilevel"/>
    <w:tmpl w:val="00000008"/>
    <w:name w:val="WW8Num19"/>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92871EF"/>
    <w:multiLevelType w:val="multilevel"/>
    <w:tmpl w:val="7D545D4A"/>
    <w:lvl w:ilvl="0">
      <w:start w:val="10"/>
      <w:numFmt w:val="decimal"/>
      <w:lvlText w:val="%1"/>
      <w:lvlJc w:val="left"/>
      <w:pPr>
        <w:ind w:left="420" w:hanging="420"/>
      </w:pPr>
      <w:rPr>
        <w:rFonts w:hint="default"/>
        <w:b/>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5" w15:restartNumberingAfterBreak="0">
    <w:nsid w:val="0A7314A9"/>
    <w:multiLevelType w:val="hybridMultilevel"/>
    <w:tmpl w:val="50B0C7BA"/>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C12CFE"/>
    <w:multiLevelType w:val="hybridMultilevel"/>
    <w:tmpl w:val="310AAFEA"/>
    <w:lvl w:ilvl="0" w:tplc="040C000B">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334B2D"/>
    <w:multiLevelType w:val="hybridMultilevel"/>
    <w:tmpl w:val="5FD6FA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9F0DA8"/>
    <w:multiLevelType w:val="hybridMultilevel"/>
    <w:tmpl w:val="34C4AF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B15C5"/>
    <w:multiLevelType w:val="hybridMultilevel"/>
    <w:tmpl w:val="484862C2"/>
    <w:lvl w:ilvl="0" w:tplc="64769422">
      <w:start w:val="25"/>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C1587"/>
    <w:multiLevelType w:val="hybridMultilevel"/>
    <w:tmpl w:val="DEE6BE22"/>
    <w:lvl w:ilvl="0" w:tplc="DCE4C6D2">
      <w:start w:val="4"/>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61B3699"/>
    <w:multiLevelType w:val="multilevel"/>
    <w:tmpl w:val="9D9870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7802DA"/>
    <w:multiLevelType w:val="hybridMultilevel"/>
    <w:tmpl w:val="C94CF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0B39A4"/>
    <w:multiLevelType w:val="hybridMultilevel"/>
    <w:tmpl w:val="F95A94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2E7704"/>
    <w:multiLevelType w:val="multilevel"/>
    <w:tmpl w:val="21FAB52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F6761F8"/>
    <w:multiLevelType w:val="hybridMultilevel"/>
    <w:tmpl w:val="8C2848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DA2A96"/>
    <w:multiLevelType w:val="hybridMultilevel"/>
    <w:tmpl w:val="D78A44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4B3DE4"/>
    <w:multiLevelType w:val="hybridMultilevel"/>
    <w:tmpl w:val="F07E9468"/>
    <w:lvl w:ilvl="0" w:tplc="BC0462A0">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4A2DD8"/>
    <w:multiLevelType w:val="multilevel"/>
    <w:tmpl w:val="EBE68B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392FE1"/>
    <w:multiLevelType w:val="hybridMultilevel"/>
    <w:tmpl w:val="3BFECF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6444D"/>
    <w:multiLevelType w:val="multilevel"/>
    <w:tmpl w:val="F60AA2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786"/>
        </w:tabs>
        <w:ind w:left="786"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7BCC0AD8"/>
    <w:multiLevelType w:val="hybridMultilevel"/>
    <w:tmpl w:val="151C5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3"/>
  </w:num>
  <w:num w:numId="5">
    <w:abstractNumId w:val="2"/>
  </w:num>
  <w:num w:numId="6">
    <w:abstractNumId w:val="19"/>
  </w:num>
  <w:num w:numId="7">
    <w:abstractNumId w:val="10"/>
  </w:num>
  <w:num w:numId="8">
    <w:abstractNumId w:val="16"/>
  </w:num>
  <w:num w:numId="9">
    <w:abstractNumId w:val="18"/>
  </w:num>
  <w:num w:numId="10">
    <w:abstractNumId w:val="4"/>
  </w:num>
  <w:num w:numId="11">
    <w:abstractNumId w:val="20"/>
  </w:num>
  <w:num w:numId="12">
    <w:abstractNumId w:val="12"/>
  </w:num>
  <w:num w:numId="13">
    <w:abstractNumId w:val="14"/>
  </w:num>
  <w:num w:numId="14">
    <w:abstractNumId w:val="21"/>
  </w:num>
  <w:num w:numId="15">
    <w:abstractNumId w:val="9"/>
  </w:num>
  <w:num w:numId="16">
    <w:abstractNumId w:val="15"/>
  </w:num>
  <w:num w:numId="17">
    <w:abstractNumId w:val="8"/>
  </w:num>
  <w:num w:numId="18">
    <w:abstractNumId w:val="6"/>
  </w:num>
  <w:num w:numId="19">
    <w:abstractNumId w:val="5"/>
  </w:num>
  <w:num w:numId="20">
    <w:abstractNumId w:val="10"/>
  </w:num>
  <w:num w:numId="21">
    <w:abstractNumId w:val="1"/>
  </w:num>
  <w:num w:numId="22">
    <w:abstractNumId w:val="0"/>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23E"/>
    <w:rsid w:val="00012E15"/>
    <w:rsid w:val="0001362C"/>
    <w:rsid w:val="00023376"/>
    <w:rsid w:val="00023F5D"/>
    <w:rsid w:val="000341AF"/>
    <w:rsid w:val="00052CE6"/>
    <w:rsid w:val="00064698"/>
    <w:rsid w:val="000A60A1"/>
    <w:rsid w:val="000B664E"/>
    <w:rsid w:val="000D6997"/>
    <w:rsid w:val="000E79AD"/>
    <w:rsid w:val="000F4EB6"/>
    <w:rsid w:val="000F5F01"/>
    <w:rsid w:val="0010289C"/>
    <w:rsid w:val="00102FA8"/>
    <w:rsid w:val="00106D15"/>
    <w:rsid w:val="00115DD4"/>
    <w:rsid w:val="00135AC1"/>
    <w:rsid w:val="0014304A"/>
    <w:rsid w:val="001453A0"/>
    <w:rsid w:val="00156545"/>
    <w:rsid w:val="00162D45"/>
    <w:rsid w:val="00164059"/>
    <w:rsid w:val="00173044"/>
    <w:rsid w:val="001A22EC"/>
    <w:rsid w:val="001B0E53"/>
    <w:rsid w:val="001B11C2"/>
    <w:rsid w:val="001D0A90"/>
    <w:rsid w:val="001D52E6"/>
    <w:rsid w:val="001E43C0"/>
    <w:rsid w:val="001E4F81"/>
    <w:rsid w:val="00200515"/>
    <w:rsid w:val="002009DC"/>
    <w:rsid w:val="002028EB"/>
    <w:rsid w:val="0020401D"/>
    <w:rsid w:val="00224EF1"/>
    <w:rsid w:val="00227B5D"/>
    <w:rsid w:val="00231659"/>
    <w:rsid w:val="002350AF"/>
    <w:rsid w:val="00237820"/>
    <w:rsid w:val="00253BE5"/>
    <w:rsid w:val="00275E78"/>
    <w:rsid w:val="00293704"/>
    <w:rsid w:val="002B3A17"/>
    <w:rsid w:val="002B7932"/>
    <w:rsid w:val="002C6B28"/>
    <w:rsid w:val="002D5126"/>
    <w:rsid w:val="002E4AB7"/>
    <w:rsid w:val="002E6BA1"/>
    <w:rsid w:val="002F09B0"/>
    <w:rsid w:val="00300646"/>
    <w:rsid w:val="00313C58"/>
    <w:rsid w:val="00316808"/>
    <w:rsid w:val="00357E11"/>
    <w:rsid w:val="00361B69"/>
    <w:rsid w:val="0037207F"/>
    <w:rsid w:val="0038072D"/>
    <w:rsid w:val="00380756"/>
    <w:rsid w:val="00380B6F"/>
    <w:rsid w:val="00395D1C"/>
    <w:rsid w:val="0039668E"/>
    <w:rsid w:val="003A48C2"/>
    <w:rsid w:val="003E42B7"/>
    <w:rsid w:val="003F48CC"/>
    <w:rsid w:val="0040011F"/>
    <w:rsid w:val="0042316A"/>
    <w:rsid w:val="00430F9B"/>
    <w:rsid w:val="0044672D"/>
    <w:rsid w:val="0045629F"/>
    <w:rsid w:val="00460740"/>
    <w:rsid w:val="004634D3"/>
    <w:rsid w:val="00470B6F"/>
    <w:rsid w:val="00476749"/>
    <w:rsid w:val="00481565"/>
    <w:rsid w:val="00485315"/>
    <w:rsid w:val="004874CA"/>
    <w:rsid w:val="004B6BF8"/>
    <w:rsid w:val="004B75C5"/>
    <w:rsid w:val="004F2540"/>
    <w:rsid w:val="004F3D85"/>
    <w:rsid w:val="00500388"/>
    <w:rsid w:val="005035A0"/>
    <w:rsid w:val="005128D7"/>
    <w:rsid w:val="00530847"/>
    <w:rsid w:val="0053635A"/>
    <w:rsid w:val="0057017A"/>
    <w:rsid w:val="0057365D"/>
    <w:rsid w:val="00576F0E"/>
    <w:rsid w:val="00582BB7"/>
    <w:rsid w:val="00596AAA"/>
    <w:rsid w:val="005B5FC2"/>
    <w:rsid w:val="005B6BE9"/>
    <w:rsid w:val="005D1C53"/>
    <w:rsid w:val="00600260"/>
    <w:rsid w:val="00611155"/>
    <w:rsid w:val="00634A5A"/>
    <w:rsid w:val="00635F38"/>
    <w:rsid w:val="00642317"/>
    <w:rsid w:val="0064423E"/>
    <w:rsid w:val="006875A1"/>
    <w:rsid w:val="00690D00"/>
    <w:rsid w:val="006A038B"/>
    <w:rsid w:val="006C3FF7"/>
    <w:rsid w:val="006D4E80"/>
    <w:rsid w:val="006E1808"/>
    <w:rsid w:val="00702195"/>
    <w:rsid w:val="00705D14"/>
    <w:rsid w:val="0070757D"/>
    <w:rsid w:val="00727F92"/>
    <w:rsid w:val="007317B7"/>
    <w:rsid w:val="00734607"/>
    <w:rsid w:val="00740739"/>
    <w:rsid w:val="00744D1D"/>
    <w:rsid w:val="00750DB5"/>
    <w:rsid w:val="00755DC4"/>
    <w:rsid w:val="0076063F"/>
    <w:rsid w:val="00765050"/>
    <w:rsid w:val="00775608"/>
    <w:rsid w:val="00783E99"/>
    <w:rsid w:val="00786CCA"/>
    <w:rsid w:val="007939C6"/>
    <w:rsid w:val="007A03BC"/>
    <w:rsid w:val="007A0AA6"/>
    <w:rsid w:val="007C4DC0"/>
    <w:rsid w:val="007F4251"/>
    <w:rsid w:val="008027D5"/>
    <w:rsid w:val="008037DB"/>
    <w:rsid w:val="00804C63"/>
    <w:rsid w:val="008065F5"/>
    <w:rsid w:val="00831068"/>
    <w:rsid w:val="00831138"/>
    <w:rsid w:val="00844522"/>
    <w:rsid w:val="00865491"/>
    <w:rsid w:val="00876FED"/>
    <w:rsid w:val="008A236F"/>
    <w:rsid w:val="008A5C5B"/>
    <w:rsid w:val="008B2863"/>
    <w:rsid w:val="008B3377"/>
    <w:rsid w:val="008D72D1"/>
    <w:rsid w:val="008F12A9"/>
    <w:rsid w:val="008F527B"/>
    <w:rsid w:val="00904D3C"/>
    <w:rsid w:val="00912ED3"/>
    <w:rsid w:val="00917333"/>
    <w:rsid w:val="00924089"/>
    <w:rsid w:val="009313A8"/>
    <w:rsid w:val="00940796"/>
    <w:rsid w:val="00942DEB"/>
    <w:rsid w:val="00947322"/>
    <w:rsid w:val="009518FB"/>
    <w:rsid w:val="0095346C"/>
    <w:rsid w:val="009622F0"/>
    <w:rsid w:val="0096541F"/>
    <w:rsid w:val="00971185"/>
    <w:rsid w:val="009779C4"/>
    <w:rsid w:val="00980139"/>
    <w:rsid w:val="009A0AB2"/>
    <w:rsid w:val="009A0CFD"/>
    <w:rsid w:val="009A4F96"/>
    <w:rsid w:val="009C4D56"/>
    <w:rsid w:val="009D07D7"/>
    <w:rsid w:val="009D3599"/>
    <w:rsid w:val="009D7B6B"/>
    <w:rsid w:val="009E4CA8"/>
    <w:rsid w:val="009E5EB7"/>
    <w:rsid w:val="00A20F87"/>
    <w:rsid w:val="00A25D13"/>
    <w:rsid w:val="00A30659"/>
    <w:rsid w:val="00A4695D"/>
    <w:rsid w:val="00A5421D"/>
    <w:rsid w:val="00A566A7"/>
    <w:rsid w:val="00A71BEF"/>
    <w:rsid w:val="00A777D9"/>
    <w:rsid w:val="00AA2302"/>
    <w:rsid w:val="00AA73D0"/>
    <w:rsid w:val="00AB32A2"/>
    <w:rsid w:val="00AB4C18"/>
    <w:rsid w:val="00AC26EC"/>
    <w:rsid w:val="00AD603D"/>
    <w:rsid w:val="00AD6171"/>
    <w:rsid w:val="00AE0FD9"/>
    <w:rsid w:val="00B34C0C"/>
    <w:rsid w:val="00B44768"/>
    <w:rsid w:val="00B47BFD"/>
    <w:rsid w:val="00B70DAC"/>
    <w:rsid w:val="00B76BB4"/>
    <w:rsid w:val="00B8590E"/>
    <w:rsid w:val="00BB3706"/>
    <w:rsid w:val="00BB6016"/>
    <w:rsid w:val="00BC0717"/>
    <w:rsid w:val="00BD4D0C"/>
    <w:rsid w:val="00C01686"/>
    <w:rsid w:val="00C0329F"/>
    <w:rsid w:val="00C04F91"/>
    <w:rsid w:val="00C11021"/>
    <w:rsid w:val="00C71356"/>
    <w:rsid w:val="00C71A48"/>
    <w:rsid w:val="00C92815"/>
    <w:rsid w:val="00C975DE"/>
    <w:rsid w:val="00CA039D"/>
    <w:rsid w:val="00CA1775"/>
    <w:rsid w:val="00CA2134"/>
    <w:rsid w:val="00CB21A9"/>
    <w:rsid w:val="00CB2740"/>
    <w:rsid w:val="00CD425B"/>
    <w:rsid w:val="00CD71DD"/>
    <w:rsid w:val="00CF20E5"/>
    <w:rsid w:val="00CF2540"/>
    <w:rsid w:val="00CF70EC"/>
    <w:rsid w:val="00D20BA0"/>
    <w:rsid w:val="00D3171D"/>
    <w:rsid w:val="00D3688E"/>
    <w:rsid w:val="00D4122A"/>
    <w:rsid w:val="00D50C09"/>
    <w:rsid w:val="00D52F53"/>
    <w:rsid w:val="00D5475C"/>
    <w:rsid w:val="00D54F8D"/>
    <w:rsid w:val="00D60BC7"/>
    <w:rsid w:val="00D638BA"/>
    <w:rsid w:val="00D65EA3"/>
    <w:rsid w:val="00D74025"/>
    <w:rsid w:val="00D76C31"/>
    <w:rsid w:val="00D870CA"/>
    <w:rsid w:val="00D97D7B"/>
    <w:rsid w:val="00DA7B30"/>
    <w:rsid w:val="00DB2F14"/>
    <w:rsid w:val="00DC0296"/>
    <w:rsid w:val="00DD305E"/>
    <w:rsid w:val="00DD671F"/>
    <w:rsid w:val="00DE40BB"/>
    <w:rsid w:val="00DE5B5F"/>
    <w:rsid w:val="00DE7020"/>
    <w:rsid w:val="00E04DFC"/>
    <w:rsid w:val="00E071E8"/>
    <w:rsid w:val="00E127F0"/>
    <w:rsid w:val="00E20175"/>
    <w:rsid w:val="00E2036D"/>
    <w:rsid w:val="00E22AA5"/>
    <w:rsid w:val="00E242E0"/>
    <w:rsid w:val="00E255BC"/>
    <w:rsid w:val="00E354B2"/>
    <w:rsid w:val="00E479C0"/>
    <w:rsid w:val="00E52BC8"/>
    <w:rsid w:val="00E55E64"/>
    <w:rsid w:val="00E83EB2"/>
    <w:rsid w:val="00EB2493"/>
    <w:rsid w:val="00EB43FE"/>
    <w:rsid w:val="00EB522E"/>
    <w:rsid w:val="00ED299F"/>
    <w:rsid w:val="00EE1DC8"/>
    <w:rsid w:val="00EF55D5"/>
    <w:rsid w:val="00EF7B97"/>
    <w:rsid w:val="00F2023E"/>
    <w:rsid w:val="00F41CDA"/>
    <w:rsid w:val="00F446C3"/>
    <w:rsid w:val="00F51859"/>
    <w:rsid w:val="00F57697"/>
    <w:rsid w:val="00F639D6"/>
    <w:rsid w:val="00F64AD9"/>
    <w:rsid w:val="00F815DE"/>
    <w:rsid w:val="00F8468E"/>
    <w:rsid w:val="00F97F9E"/>
    <w:rsid w:val="00FB1342"/>
    <w:rsid w:val="00FB1C57"/>
    <w:rsid w:val="00FB384E"/>
    <w:rsid w:val="00FB43BA"/>
    <w:rsid w:val="00FE570B"/>
    <w:rsid w:val="00FE6E10"/>
    <w:rsid w:val="00FF6A2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9ABB"/>
  <w15:docId w15:val="{82842FBA-E8BF-4727-AE87-8446D9E1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316808"/>
    <w:pPr>
      <w:keepNext/>
      <w:numPr>
        <w:numId w:val="1"/>
      </w:numPr>
      <w:suppressAutoHyphens/>
      <w:spacing w:after="0" w:line="240" w:lineRule="auto"/>
      <w:ind w:left="360"/>
      <w:jc w:val="both"/>
      <w:outlineLvl w:val="0"/>
    </w:pPr>
    <w:rPr>
      <w:rFonts w:ascii="Arial" w:eastAsia="Times New Roman" w:hAnsi="Arial" w:cs="Arial"/>
      <w:b/>
      <w:iCs/>
      <w:sz w:val="24"/>
      <w:szCs w:val="24"/>
      <w:lang w:eastAsia="ar-SA"/>
    </w:rPr>
  </w:style>
  <w:style w:type="paragraph" w:styleId="Titre6">
    <w:name w:val="heading 6"/>
    <w:basedOn w:val="Normal"/>
    <w:next w:val="Normal"/>
    <w:link w:val="Titre6Car"/>
    <w:qFormat/>
    <w:rsid w:val="00F2023E"/>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itre8">
    <w:name w:val="heading 8"/>
    <w:basedOn w:val="Normal"/>
    <w:next w:val="Normal"/>
    <w:link w:val="Titre8Car"/>
    <w:qFormat/>
    <w:rsid w:val="00F2023E"/>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16808"/>
    <w:rPr>
      <w:rFonts w:ascii="Arial" w:eastAsia="Times New Roman" w:hAnsi="Arial" w:cs="Arial"/>
      <w:b/>
      <w:iCs/>
      <w:sz w:val="24"/>
      <w:szCs w:val="24"/>
      <w:lang w:eastAsia="ar-SA"/>
    </w:rPr>
  </w:style>
  <w:style w:type="character" w:customStyle="1" w:styleId="Titre6Car">
    <w:name w:val="Titre 6 Car"/>
    <w:basedOn w:val="Policepardfaut"/>
    <w:link w:val="Titre6"/>
    <w:rsid w:val="00F2023E"/>
    <w:rPr>
      <w:rFonts w:ascii="Times New Roman" w:eastAsia="Times New Roman" w:hAnsi="Times New Roman" w:cs="Times New Roman"/>
      <w:b/>
      <w:bCs/>
      <w:lang w:eastAsia="ar-SA"/>
    </w:rPr>
  </w:style>
  <w:style w:type="character" w:customStyle="1" w:styleId="Titre8Car">
    <w:name w:val="Titre 8 Car"/>
    <w:basedOn w:val="Policepardfaut"/>
    <w:link w:val="Titre8"/>
    <w:rsid w:val="00F2023E"/>
    <w:rPr>
      <w:rFonts w:ascii="Times New Roman" w:eastAsia="Times New Roman" w:hAnsi="Times New Roman" w:cs="Times New Roman"/>
      <w:i/>
      <w:iCs/>
      <w:sz w:val="24"/>
      <w:szCs w:val="24"/>
      <w:lang w:eastAsia="ar-SA"/>
    </w:rPr>
  </w:style>
  <w:style w:type="table" w:styleId="Grilledutableau">
    <w:name w:val="Table Grid"/>
    <w:basedOn w:val="TableauNormal"/>
    <w:uiPriority w:val="39"/>
    <w:rsid w:val="00F202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arCar1Car">
    <w:name w:val="Car Car1 Car"/>
    <w:basedOn w:val="Normal"/>
    <w:next w:val="Normal"/>
    <w:autoRedefine/>
    <w:rsid w:val="00F2023E"/>
    <w:pPr>
      <w:numPr>
        <w:numId w:val="5"/>
      </w:numPr>
      <w:spacing w:after="0" w:line="240" w:lineRule="auto"/>
    </w:pPr>
    <w:rPr>
      <w:rFonts w:ascii="Arial" w:eastAsia="Times New Roman" w:hAnsi="Arial" w:cs="Arial"/>
      <w:snapToGrid w:val="0"/>
      <w:lang w:eastAsia="en-US"/>
    </w:rPr>
  </w:style>
  <w:style w:type="paragraph" w:styleId="En-tte">
    <w:name w:val="header"/>
    <w:basedOn w:val="Normal"/>
    <w:link w:val="En-tteCar"/>
    <w:unhideWhenUsed/>
    <w:rsid w:val="00F2023E"/>
    <w:pPr>
      <w:tabs>
        <w:tab w:val="center" w:pos="4536"/>
        <w:tab w:val="right" w:pos="9072"/>
      </w:tabs>
      <w:spacing w:after="0" w:line="240" w:lineRule="auto"/>
    </w:pPr>
  </w:style>
  <w:style w:type="character" w:customStyle="1" w:styleId="En-tteCar">
    <w:name w:val="En-tête Car"/>
    <w:basedOn w:val="Policepardfaut"/>
    <w:link w:val="En-tte"/>
    <w:uiPriority w:val="99"/>
    <w:rsid w:val="00F2023E"/>
  </w:style>
  <w:style w:type="character" w:styleId="Marquedecommentaire">
    <w:name w:val="annotation reference"/>
    <w:basedOn w:val="Policepardfaut"/>
    <w:uiPriority w:val="99"/>
    <w:semiHidden/>
    <w:unhideWhenUsed/>
    <w:rsid w:val="00F2023E"/>
    <w:rPr>
      <w:sz w:val="16"/>
      <w:szCs w:val="16"/>
    </w:rPr>
  </w:style>
  <w:style w:type="paragraph" w:styleId="Commentaire">
    <w:name w:val="annotation text"/>
    <w:basedOn w:val="Normal"/>
    <w:link w:val="CommentaireCar"/>
    <w:uiPriority w:val="99"/>
    <w:unhideWhenUsed/>
    <w:rsid w:val="00F2023E"/>
    <w:pPr>
      <w:spacing w:line="240" w:lineRule="auto"/>
    </w:pPr>
    <w:rPr>
      <w:sz w:val="20"/>
      <w:szCs w:val="20"/>
    </w:rPr>
  </w:style>
  <w:style w:type="character" w:customStyle="1" w:styleId="CommentaireCar">
    <w:name w:val="Commentaire Car"/>
    <w:basedOn w:val="Policepardfaut"/>
    <w:link w:val="Commentaire"/>
    <w:uiPriority w:val="99"/>
    <w:rsid w:val="00F2023E"/>
    <w:rPr>
      <w:sz w:val="20"/>
      <w:szCs w:val="20"/>
    </w:rPr>
  </w:style>
  <w:style w:type="paragraph" w:styleId="Textedebulles">
    <w:name w:val="Balloon Text"/>
    <w:basedOn w:val="Normal"/>
    <w:link w:val="TextedebullesCar"/>
    <w:uiPriority w:val="99"/>
    <w:semiHidden/>
    <w:unhideWhenUsed/>
    <w:rsid w:val="00F202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23E"/>
    <w:rPr>
      <w:rFonts w:ascii="Tahoma" w:hAnsi="Tahoma" w:cs="Tahoma"/>
      <w:sz w:val="16"/>
      <w:szCs w:val="16"/>
    </w:rPr>
  </w:style>
  <w:style w:type="paragraph" w:styleId="Paragraphedeliste">
    <w:name w:val="List Paragraph"/>
    <w:basedOn w:val="Normal"/>
    <w:uiPriority w:val="34"/>
    <w:qFormat/>
    <w:rsid w:val="00470B6F"/>
    <w:pPr>
      <w:ind w:left="720"/>
      <w:contextualSpacing/>
    </w:pPr>
  </w:style>
  <w:style w:type="character" w:styleId="Lienhypertexte">
    <w:name w:val="Hyperlink"/>
    <w:basedOn w:val="Policepardfaut"/>
    <w:unhideWhenUsed/>
    <w:rsid w:val="001D52E6"/>
    <w:rPr>
      <w:color w:val="0000FF"/>
      <w:u w:val="single"/>
    </w:rPr>
  </w:style>
  <w:style w:type="paragraph" w:styleId="Objetducommentaire">
    <w:name w:val="annotation subject"/>
    <w:basedOn w:val="Commentaire"/>
    <w:next w:val="Commentaire"/>
    <w:link w:val="ObjetducommentaireCar"/>
    <w:uiPriority w:val="99"/>
    <w:semiHidden/>
    <w:unhideWhenUsed/>
    <w:rsid w:val="00F815DE"/>
    <w:rPr>
      <w:b/>
      <w:bCs/>
    </w:rPr>
  </w:style>
  <w:style w:type="character" w:customStyle="1" w:styleId="ObjetducommentaireCar">
    <w:name w:val="Objet du commentaire Car"/>
    <w:basedOn w:val="CommentaireCar"/>
    <w:link w:val="Objetducommentaire"/>
    <w:uiPriority w:val="99"/>
    <w:semiHidden/>
    <w:rsid w:val="00F815DE"/>
    <w:rPr>
      <w:b/>
      <w:bCs/>
      <w:sz w:val="20"/>
      <w:szCs w:val="20"/>
    </w:rPr>
  </w:style>
  <w:style w:type="character" w:styleId="Lienhypertextesuivivisit">
    <w:name w:val="FollowedHyperlink"/>
    <w:basedOn w:val="Policepardfaut"/>
    <w:uiPriority w:val="99"/>
    <w:semiHidden/>
    <w:unhideWhenUsed/>
    <w:rsid w:val="00FB43BA"/>
    <w:rPr>
      <w:color w:val="800080" w:themeColor="followedHyperlink"/>
      <w:u w:val="single"/>
    </w:rPr>
  </w:style>
  <w:style w:type="character" w:customStyle="1" w:styleId="surligne">
    <w:name w:val="surligne"/>
    <w:basedOn w:val="Policepardfaut"/>
    <w:rsid w:val="00CA039D"/>
  </w:style>
  <w:style w:type="paragraph" w:customStyle="1" w:styleId="WW-Retraitcorpsdetexte2">
    <w:name w:val="WW-Retrait corps de texte 2"/>
    <w:basedOn w:val="Normal"/>
    <w:rsid w:val="00CA039D"/>
    <w:pPr>
      <w:widowControl w:val="0"/>
      <w:suppressAutoHyphens/>
      <w:spacing w:after="0" w:line="240" w:lineRule="auto"/>
      <w:ind w:firstLine="284"/>
      <w:jc w:val="both"/>
    </w:pPr>
    <w:rPr>
      <w:rFonts w:ascii="Times New Roman" w:eastAsia="Times New Roman" w:hAnsi="Times New Roman" w:cs="Times New Roman"/>
      <w:szCs w:val="20"/>
      <w:lang w:eastAsia="ar-SA"/>
    </w:rPr>
  </w:style>
  <w:style w:type="paragraph" w:customStyle="1" w:styleId="WW-Retraitcorpsdetexte3">
    <w:name w:val="WW-Retrait corps de texte 3"/>
    <w:basedOn w:val="Normal"/>
    <w:rsid w:val="00CA039D"/>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en">
    <w:name w:val="en"/>
    <w:basedOn w:val="Normal"/>
    <w:rsid w:val="00CA039D"/>
    <w:pPr>
      <w:suppressAutoHyphens/>
      <w:overflowPunct w:val="0"/>
      <w:autoSpaceDE w:val="0"/>
      <w:spacing w:after="0" w:line="240" w:lineRule="auto"/>
      <w:ind w:left="1418" w:hanging="113"/>
      <w:jc w:val="both"/>
      <w:textAlignment w:val="baseline"/>
    </w:pPr>
    <w:rPr>
      <w:rFonts w:ascii="Arial" w:eastAsia="Times New Roman" w:hAnsi="Arial" w:cs="Times New Roman"/>
      <w:sz w:val="20"/>
      <w:szCs w:val="20"/>
      <w:lang w:eastAsia="ar-SA"/>
    </w:rPr>
  </w:style>
  <w:style w:type="character" w:customStyle="1" w:styleId="object">
    <w:name w:val="object"/>
    <w:rsid w:val="00AB4C18"/>
  </w:style>
  <w:style w:type="character" w:customStyle="1" w:styleId="object2">
    <w:name w:val="object2"/>
    <w:rsid w:val="00611155"/>
    <w:rPr>
      <w:strike w:val="0"/>
      <w:dstrike w:val="0"/>
      <w:color w:val="00008B"/>
      <w:u w:val="none"/>
      <w:effect w:val="none"/>
    </w:rPr>
  </w:style>
  <w:style w:type="character" w:customStyle="1" w:styleId="object3">
    <w:name w:val="object3"/>
    <w:rsid w:val="00611155"/>
    <w:rPr>
      <w:strike w:val="0"/>
      <w:dstrike w:val="0"/>
      <w:color w:val="00008B"/>
      <w:u w:val="none"/>
      <w:effect w:val="none"/>
    </w:rPr>
  </w:style>
  <w:style w:type="character" w:customStyle="1" w:styleId="object-active1">
    <w:name w:val="object-active1"/>
    <w:basedOn w:val="Policepardfaut"/>
    <w:rsid w:val="00611155"/>
    <w:rPr>
      <w:color w:val="006400"/>
      <w:u w:val="single"/>
    </w:rPr>
  </w:style>
  <w:style w:type="paragraph" w:customStyle="1" w:styleId="Listepuce2">
    <w:name w:val="Liste à puce 2"/>
    <w:basedOn w:val="Normal"/>
    <w:rsid w:val="00162D45"/>
    <w:pPr>
      <w:widowControl w:val="0"/>
      <w:suppressAutoHyphens/>
      <w:spacing w:before="60" w:after="0" w:line="240" w:lineRule="auto"/>
      <w:ind w:left="567"/>
      <w:jc w:val="both"/>
    </w:pPr>
    <w:rPr>
      <w:rFonts w:ascii="Times New Roman" w:eastAsia="Times New Roman" w:hAnsi="Times New Roman" w:cs="Times New Roman"/>
      <w:sz w:val="20"/>
      <w:szCs w:val="20"/>
      <w:lang w:eastAsia="ar-SA"/>
    </w:rPr>
  </w:style>
  <w:style w:type="paragraph" w:customStyle="1" w:styleId="Default">
    <w:name w:val="Default"/>
    <w:rsid w:val="00FE570B"/>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D54F8D"/>
    <w:rPr>
      <w:i/>
      <w:iCs/>
    </w:rPr>
  </w:style>
  <w:style w:type="character" w:customStyle="1" w:styleId="CommentaireCar1">
    <w:name w:val="Commentaire Car1"/>
    <w:basedOn w:val="Policepardfaut"/>
    <w:uiPriority w:val="99"/>
    <w:rsid w:val="009622F0"/>
    <w:rPr>
      <w:rFonts w:ascii="Times New Roman" w:eastAsia="Times New Roman" w:hAnsi="Times New Roman" w:cs="Times New Roman"/>
      <w:sz w:val="20"/>
      <w:szCs w:val="20"/>
      <w:lang w:eastAsia="zh-CN"/>
    </w:rPr>
  </w:style>
  <w:style w:type="paragraph" w:styleId="Retraitcorpsdetexte">
    <w:name w:val="Body Text Indent"/>
    <w:basedOn w:val="Normal"/>
    <w:link w:val="RetraitcorpsdetexteCar"/>
    <w:semiHidden/>
    <w:rsid w:val="00C1102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semiHidden/>
    <w:rsid w:val="00C11021"/>
    <w:rPr>
      <w:rFonts w:ascii="Times New Roman" w:eastAsia="Times New Roman" w:hAnsi="Times New Roman" w:cs="Times New Roman"/>
      <w:sz w:val="24"/>
      <w:szCs w:val="24"/>
      <w:lang w:eastAsia="ar-SA"/>
    </w:rPr>
  </w:style>
  <w:style w:type="character" w:styleId="Mentionnonrsolue">
    <w:name w:val="Unresolved Mention"/>
    <w:basedOn w:val="Policepardfaut"/>
    <w:uiPriority w:val="99"/>
    <w:semiHidden/>
    <w:unhideWhenUsed/>
    <w:rsid w:val="001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3141">
      <w:bodyDiv w:val="1"/>
      <w:marLeft w:val="0"/>
      <w:marRight w:val="0"/>
      <w:marTop w:val="0"/>
      <w:marBottom w:val="0"/>
      <w:divBdr>
        <w:top w:val="none" w:sz="0" w:space="0" w:color="auto"/>
        <w:left w:val="none" w:sz="0" w:space="0" w:color="auto"/>
        <w:bottom w:val="none" w:sz="0" w:space="0" w:color="auto"/>
        <w:right w:val="none" w:sz="0" w:space="0" w:color="auto"/>
      </w:divBdr>
    </w:div>
    <w:div w:id="256836036">
      <w:bodyDiv w:val="1"/>
      <w:marLeft w:val="0"/>
      <w:marRight w:val="0"/>
      <w:marTop w:val="0"/>
      <w:marBottom w:val="0"/>
      <w:divBdr>
        <w:top w:val="none" w:sz="0" w:space="0" w:color="auto"/>
        <w:left w:val="none" w:sz="0" w:space="0" w:color="auto"/>
        <w:bottom w:val="none" w:sz="0" w:space="0" w:color="auto"/>
        <w:right w:val="none" w:sz="0" w:space="0" w:color="auto"/>
      </w:divBdr>
    </w:div>
    <w:div w:id="801926598">
      <w:bodyDiv w:val="1"/>
      <w:marLeft w:val="0"/>
      <w:marRight w:val="0"/>
      <w:marTop w:val="0"/>
      <w:marBottom w:val="0"/>
      <w:divBdr>
        <w:top w:val="none" w:sz="0" w:space="0" w:color="auto"/>
        <w:left w:val="none" w:sz="0" w:space="0" w:color="auto"/>
        <w:bottom w:val="none" w:sz="0" w:space="0" w:color="auto"/>
        <w:right w:val="none" w:sz="0" w:space="0" w:color="auto"/>
      </w:divBdr>
    </w:div>
    <w:div w:id="1725257489">
      <w:bodyDiv w:val="1"/>
      <w:marLeft w:val="0"/>
      <w:marRight w:val="0"/>
      <w:marTop w:val="0"/>
      <w:marBottom w:val="0"/>
      <w:divBdr>
        <w:top w:val="none" w:sz="0" w:space="0" w:color="auto"/>
        <w:left w:val="none" w:sz="0" w:space="0" w:color="auto"/>
        <w:bottom w:val="none" w:sz="0" w:space="0" w:color="auto"/>
        <w:right w:val="none" w:sz="0" w:space="0" w:color="auto"/>
      </w:divBdr>
    </w:div>
    <w:div w:id="1836257525">
      <w:bodyDiv w:val="1"/>
      <w:marLeft w:val="0"/>
      <w:marRight w:val="0"/>
      <w:marTop w:val="0"/>
      <w:marBottom w:val="0"/>
      <w:divBdr>
        <w:top w:val="none" w:sz="0" w:space="0" w:color="auto"/>
        <w:left w:val="none" w:sz="0" w:space="0" w:color="auto"/>
        <w:bottom w:val="none" w:sz="0" w:space="0" w:color="auto"/>
        <w:right w:val="none" w:sz="0" w:space="0" w:color="auto"/>
      </w:divBdr>
    </w:div>
    <w:div w:id="18776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ferences.modernisation.gouv.fr/securi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mpots.gouv.fr/portal/deploiement/p1/fichedescriptive_5336/fichedescriptive_53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page=entreprise.EntrepriseAdvancedSearch&amp;searchAnnCons" TargetMode="External"/><Relationship Id="rId5" Type="http://schemas.openxmlformats.org/officeDocument/2006/relationships/webSettings" Target="webSettings.xml"/><Relationship Id="rId15" Type="http://schemas.openxmlformats.org/officeDocument/2006/relationships/hyperlink" Target="http://www.impots.gouv.fr/" TargetMode="External"/><Relationship Id="rId10" Type="http://schemas.openxmlformats.org/officeDocument/2006/relationships/hyperlink" Target="mailto:dha-nancy@univ-lorrain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rches-publics.gouv.fr/?page=entreprise.EntrepriseAdvancedSearch&amp;searchAnnCons" TargetMode="External"/><Relationship Id="rId14" Type="http://schemas.openxmlformats.org/officeDocument/2006/relationships/hyperlink" Target="http://www.urss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CDF8C-3E37-41D0-950E-4E341246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10</Pages>
  <Words>3453</Words>
  <Characters>18996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UL</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HERTZOG</dc:creator>
  <cp:lastModifiedBy>Benjamin Rousselle</cp:lastModifiedBy>
  <cp:revision>33</cp:revision>
  <cp:lastPrinted>2013-09-09T15:55:00Z</cp:lastPrinted>
  <dcterms:created xsi:type="dcterms:W3CDTF">2018-10-16T07:30:00Z</dcterms:created>
  <dcterms:modified xsi:type="dcterms:W3CDTF">2025-06-23T09:29:00Z</dcterms:modified>
</cp:coreProperties>
</file>