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Default="007B3AF4" w:rsidP="00E3479B">
      <w:pPr>
        <w:tabs>
          <w:tab w:val="left" w:pos="426"/>
          <w:tab w:val="left" w:pos="851"/>
        </w:tabs>
        <w:jc w:val="both"/>
        <w:rPr>
          <w:rFonts w:ascii="Arial" w:hAnsi="Arial" w:cs="Arial"/>
          <w:lang w:val="en-GB"/>
        </w:rPr>
      </w:pPr>
      <w:bookmarkStart w:id="0" w:name="_Hlk200616355"/>
      <w:r w:rsidRPr="007B3AF4">
        <w:rPr>
          <w:rFonts w:ascii="Arial" w:hAnsi="Arial" w:cs="Arial"/>
          <w:lang w:val="en-GB"/>
        </w:rPr>
        <w:t>Ght_EFG_2025-157</w:t>
      </w:r>
      <w:bookmarkEnd w:id="0"/>
      <w:r w:rsidRPr="007B3AF4">
        <w:rPr>
          <w:rFonts w:ascii="Arial" w:hAnsi="Arial" w:cs="Arial"/>
          <w:lang w:val="en-GB"/>
        </w:rPr>
        <w:t xml:space="preserve">_AOO_Relance Lots </w:t>
      </w:r>
      <w:proofErr w:type="spellStart"/>
      <w:r w:rsidRPr="007B3AF4">
        <w:rPr>
          <w:rFonts w:ascii="Arial" w:hAnsi="Arial" w:cs="Arial"/>
          <w:lang w:val="en-GB"/>
        </w:rPr>
        <w:t>Infructueux</w:t>
      </w:r>
      <w:proofErr w:type="spellEnd"/>
      <w:r w:rsidRPr="007B3AF4">
        <w:rPr>
          <w:rFonts w:ascii="Arial" w:hAnsi="Arial" w:cs="Arial"/>
          <w:lang w:val="en-GB"/>
        </w:rPr>
        <w:t xml:space="preserve"> Marché_2025-018_Ac_Etiquettes</w:t>
      </w:r>
    </w:p>
    <w:p w:rsidR="007B3AF4" w:rsidRPr="00E3479B" w:rsidRDefault="007B3AF4"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7B3AF4">
        <w:rPr>
          <w:rFonts w:ascii="Arial" w:hAnsi="Arial" w:cs="Arial"/>
        </w:rPr>
      </w:r>
      <w:r w:rsidR="007B3AF4">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7B3AF4"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7B3AF4">
        <w:rPr>
          <w:rFonts w:ascii="Arial" w:hAnsi="Arial" w:cs="Arial"/>
        </w:rPr>
      </w:r>
      <w:r w:rsidR="007B3AF4">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7B3AF4">
        <w:rPr>
          <w:rFonts w:ascii="Arial" w:hAnsi="Arial" w:cs="Arial"/>
        </w:rPr>
      </w:r>
      <w:r w:rsidR="007B3AF4">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B3AF4"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B3AF4"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7B3AF4" w:rsidRPr="007B3AF4">
        <w:rPr>
          <w:rFonts w:ascii="Arial" w:hAnsi="Arial" w:cs="Arial"/>
          <w:lang w:val="en-GB"/>
        </w:rPr>
        <w:t>Ght_EFG_2025-157</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7B3AF4" w:rsidRPr="007B3AF4">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7B3AF4" w:rsidRPr="007B3AF4">
        <w:rPr>
          <w:rFonts w:ascii="Arial" w:hAnsi="Arial" w:cs="Arial"/>
          <w:lang w:val="en-GB"/>
        </w:rPr>
        <w:t>Ght_EFG_2025-157</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B3AF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B3AF4">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B3AF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B3AF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7B3AF4"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ROANNE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62 AVENUE DE L’EUROPE</w:t>
            </w:r>
          </w:p>
          <w:p w:rsidR="00DA362C" w:rsidRPr="000C2E65" w:rsidRDefault="00DA362C" w:rsidP="00DA362C">
            <w:pPr>
              <w:pStyle w:val="fcase2metab"/>
              <w:rPr>
                <w:rFonts w:ascii="Arial" w:hAnsi="Arial" w:cs="Arial"/>
              </w:rPr>
            </w:pPr>
            <w:r w:rsidRPr="000C2E65">
              <w:rPr>
                <w:rFonts w:ascii="Arial" w:hAnsi="Arial" w:cs="Arial"/>
              </w:rPr>
              <w:t>BP 206</w:t>
            </w:r>
          </w:p>
          <w:p w:rsidR="00DA362C" w:rsidRPr="000C2E65" w:rsidRDefault="00DA362C" w:rsidP="00DA362C">
            <w:pPr>
              <w:pStyle w:val="fcase2metab"/>
              <w:rPr>
                <w:rFonts w:ascii="Arial" w:hAnsi="Arial" w:cs="Arial"/>
              </w:rPr>
            </w:pPr>
            <w:r w:rsidRPr="000C2E65">
              <w:rPr>
                <w:rFonts w:ascii="Arial" w:hAnsi="Arial" w:cs="Arial"/>
              </w:rPr>
              <w:t>07106 ANNONAY CEDEX</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CHARLIEU</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 xml:space="preserve">TRESORERIE PRINCIPALE </w:t>
            </w:r>
          </w:p>
          <w:p w:rsidR="00DA362C" w:rsidRPr="000C2E65" w:rsidRDefault="00DA362C" w:rsidP="00DA362C">
            <w:pPr>
              <w:pStyle w:val="fcase2metab"/>
              <w:rPr>
                <w:rFonts w:ascii="Arial" w:hAnsi="Arial" w:cs="Arial"/>
              </w:rPr>
            </w:pPr>
            <w:r w:rsidRPr="000C2E65">
              <w:rPr>
                <w:rFonts w:ascii="Arial" w:hAnsi="Arial" w:cs="Arial"/>
              </w:rPr>
              <w:t>3 RUE DU TREUIL BUISSON</w:t>
            </w:r>
          </w:p>
          <w:p w:rsidR="00DA362C" w:rsidRPr="000C2E65" w:rsidRDefault="00DA362C" w:rsidP="00DA362C">
            <w:pPr>
              <w:pStyle w:val="fcase2metab"/>
              <w:rPr>
                <w:rFonts w:ascii="Arial" w:hAnsi="Arial" w:cs="Arial"/>
              </w:rPr>
            </w:pPr>
            <w:r w:rsidRPr="000C2E65">
              <w:rPr>
                <w:rFonts w:ascii="Arial" w:hAnsi="Arial" w:cs="Arial"/>
              </w:rPr>
              <w:t>BP 85</w:t>
            </w:r>
          </w:p>
          <w:p w:rsidR="00DA362C" w:rsidRPr="000C2E65" w:rsidRDefault="00DA362C" w:rsidP="00DA362C">
            <w:pPr>
              <w:pStyle w:val="fcase2metab"/>
              <w:rPr>
                <w:rFonts w:ascii="Arial" w:hAnsi="Arial" w:cs="Arial"/>
              </w:rPr>
            </w:pPr>
            <w:r w:rsidRPr="000C2E65">
              <w:rPr>
                <w:rFonts w:ascii="Arial" w:hAnsi="Arial" w:cs="Arial"/>
              </w:rPr>
              <w:t>42190 CHARLIEU</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USLD MAURICE A</w:t>
            </w:r>
            <w:bookmarkStart w:id="3" w:name="_GoBack"/>
            <w:bookmarkEnd w:id="3"/>
            <w:r w:rsidRPr="000C2E65">
              <w:rPr>
                <w:rFonts w:ascii="Arial" w:hAnsi="Arial" w:cs="Arial"/>
              </w:rPr>
              <w:t>NDRE -SAINT GALMIER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 ST GALMIER</w:t>
            </w:r>
          </w:p>
          <w:p w:rsidR="00DA362C" w:rsidRPr="000C2E65" w:rsidRDefault="00DA362C" w:rsidP="00DA362C">
            <w:pPr>
              <w:pStyle w:val="fcase2metab"/>
              <w:rPr>
                <w:rFonts w:ascii="Arial" w:hAnsi="Arial" w:cs="Arial"/>
              </w:rPr>
            </w:pPr>
            <w:r w:rsidRPr="000C2E65">
              <w:rPr>
                <w:rFonts w:ascii="Arial" w:hAnsi="Arial" w:cs="Arial"/>
              </w:rPr>
              <w:t>1 AVENUE JEAN DELANDE</w:t>
            </w:r>
          </w:p>
          <w:p w:rsidR="00DA362C" w:rsidRPr="000C2E65" w:rsidRDefault="00C5319D" w:rsidP="00C5319D">
            <w:pPr>
              <w:pStyle w:val="fcase2metab"/>
              <w:rPr>
                <w:rFonts w:ascii="Arial" w:hAnsi="Arial" w:cs="Arial"/>
              </w:rPr>
            </w:pPr>
            <w:r w:rsidRPr="000C2E65">
              <w:rPr>
                <w:rFonts w:ascii="Arial" w:hAnsi="Arial" w:cs="Arial"/>
              </w:rPr>
              <w:t>42330 SAINT GALMIER</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lastRenderedPageBreak/>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B3AF4"/>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5182B2D"/>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41E62-A7A1-44DA-90BC-A06479279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4</TotalTime>
  <Pages>7</Pages>
  <Words>2229</Words>
  <Characters>12264</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14465</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6</cp:revision>
  <cp:lastPrinted>2023-03-09T08:20:00Z</cp:lastPrinted>
  <dcterms:created xsi:type="dcterms:W3CDTF">2024-04-19T07:23:00Z</dcterms:created>
  <dcterms:modified xsi:type="dcterms:W3CDTF">2025-06-12T08:27:00Z</dcterms:modified>
</cp:coreProperties>
</file>