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22A97" w14:textId="2AD859B2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8912B2">
        <w:rPr>
          <w:rFonts w:ascii="Vendome ICG" w:eastAsia="Times New Roman" w:hAnsi="Vendome ICG" w:cs="Times New Roman"/>
          <w:noProof/>
          <w:color w:val="auto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4E84E03" wp14:editId="1614B99F">
            <wp:simplePos x="0" y="0"/>
            <wp:positionH relativeFrom="column">
              <wp:posOffset>-386766</wp:posOffset>
            </wp:positionH>
            <wp:positionV relativeFrom="paragraph">
              <wp:posOffset>-467131</wp:posOffset>
            </wp:positionV>
            <wp:extent cx="6915785" cy="127063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78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78B31A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E7BDAE4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0892CC7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987A0DE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3331E92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B288A2C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D49B099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8E9F777" w14:textId="79D4A01D" w:rsidR="00BD38D5" w:rsidRPr="008912B2" w:rsidRDefault="00BD38D5" w:rsidP="00BD38D5">
      <w:pPr>
        <w:spacing w:before="80" w:after="20"/>
        <w:ind w:left="20" w:right="20"/>
        <w:rPr>
          <w:b/>
          <w:bCs/>
          <w:sz w:val="24"/>
          <w:szCs w:val="24"/>
        </w:rPr>
      </w:pPr>
      <w:r w:rsidRPr="008912B2">
        <w:rPr>
          <w:b/>
          <w:bCs/>
          <w:sz w:val="24"/>
          <w:szCs w:val="24"/>
        </w:rPr>
        <w:t>N° de consultation : 2025DRMPL0</w:t>
      </w:r>
      <w:r w:rsidR="00F1276C">
        <w:rPr>
          <w:b/>
          <w:bCs/>
          <w:sz w:val="24"/>
          <w:szCs w:val="24"/>
        </w:rPr>
        <w:t>0</w:t>
      </w:r>
      <w:r w:rsidRPr="008912B2">
        <w:rPr>
          <w:b/>
          <w:bCs/>
          <w:sz w:val="24"/>
          <w:szCs w:val="24"/>
        </w:rPr>
        <w:t>01</w:t>
      </w:r>
    </w:p>
    <w:p w14:paraId="55871EE7" w14:textId="6A89F981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0A59BE4" w14:textId="50ADFD15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3DD2EEEA" w14:textId="77777777" w:rsidR="009A70D3" w:rsidRPr="008912B2" w:rsidRDefault="009A70D3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6C5A189F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76F7EB4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6CCF0B01" w14:textId="6F01EC0F" w:rsidR="004B511D" w:rsidRPr="008912B2" w:rsidRDefault="004B511D" w:rsidP="004B511D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28"/>
          <w:szCs w:val="20"/>
        </w:rPr>
      </w:pPr>
      <w:r w:rsidRPr="008912B2">
        <w:rPr>
          <w:rFonts w:ascii="Arial" w:eastAsia="Times New Roman" w:hAnsi="Arial" w:cs="Arial"/>
          <w:b/>
          <w:color w:val="auto"/>
          <w:sz w:val="28"/>
          <w:szCs w:val="20"/>
        </w:rPr>
        <w:t>CADRE DE REPONSE TECHNIQUE</w:t>
      </w:r>
    </w:p>
    <w:p w14:paraId="5DE60CD6" w14:textId="77777777" w:rsidR="004B511D" w:rsidRPr="008912B2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6B0563A" w14:textId="77777777" w:rsidR="004B511D" w:rsidRPr="008912B2" w:rsidRDefault="004B511D" w:rsidP="004B511D">
      <w:pPr>
        <w:spacing w:after="0"/>
        <w:jc w:val="both"/>
        <w:rPr>
          <w:rFonts w:ascii="Arial" w:hAnsi="Arial" w:cs="Arial"/>
          <w:b/>
        </w:rPr>
      </w:pPr>
    </w:p>
    <w:p w14:paraId="35E8B43B" w14:textId="77777777" w:rsidR="004B511D" w:rsidRPr="008912B2" w:rsidRDefault="004B511D" w:rsidP="004B511D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13"/>
      </w:tblGrid>
      <w:tr w:rsidR="00BD38D5" w:rsidRPr="008912B2" w14:paraId="69E9EAF6" w14:textId="77777777" w:rsidTr="007213DE">
        <w:tc>
          <w:tcPr>
            <w:tcW w:w="9622" w:type="dxa"/>
          </w:tcPr>
          <w:p w14:paraId="248A8CC2" w14:textId="77777777" w:rsidR="00BD38D5" w:rsidRPr="008912B2" w:rsidRDefault="00BD38D5" w:rsidP="007213DE">
            <w:pPr>
              <w:spacing w:line="240" w:lineRule="exact"/>
              <w:jc w:val="center"/>
              <w:rPr>
                <w:lang w:val="fr-FR"/>
              </w:rPr>
            </w:pPr>
          </w:p>
          <w:p w14:paraId="7246A3E6" w14:textId="77777777" w:rsidR="00BD38D5" w:rsidRPr="008912B2" w:rsidRDefault="00BD38D5" w:rsidP="007213DE">
            <w:pPr>
              <w:spacing w:line="240" w:lineRule="exact"/>
              <w:jc w:val="center"/>
              <w:rPr>
                <w:lang w:val="fr-FR"/>
              </w:rPr>
            </w:pPr>
          </w:p>
          <w:p w14:paraId="1B0A9BF4" w14:textId="77777777" w:rsidR="00BD38D5" w:rsidRPr="008912B2" w:rsidRDefault="00BD38D5" w:rsidP="007213DE">
            <w:pPr>
              <w:spacing w:line="240" w:lineRule="exact"/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010D9A9D" w14:textId="307B2BB3" w:rsidR="00BD38D5" w:rsidRPr="008912B2" w:rsidRDefault="00BD38D5" w:rsidP="007213DE">
            <w:pPr>
              <w:spacing w:line="240" w:lineRule="exact"/>
              <w:jc w:val="center"/>
              <w:rPr>
                <w:b/>
                <w:sz w:val="28"/>
                <w:szCs w:val="28"/>
                <w:lang w:val="fr-FR"/>
              </w:rPr>
            </w:pPr>
            <w:r w:rsidRPr="008912B2">
              <w:rPr>
                <w:b/>
                <w:sz w:val="28"/>
                <w:szCs w:val="28"/>
                <w:lang w:val="fr-FR"/>
              </w:rPr>
              <w:t>TRAVAUX DE REHABILITATION ET D’EXTEN</w:t>
            </w:r>
            <w:r w:rsidR="00653DC5">
              <w:rPr>
                <w:b/>
                <w:sz w:val="28"/>
                <w:szCs w:val="28"/>
                <w:lang w:val="fr-FR"/>
              </w:rPr>
              <w:t>S</w:t>
            </w:r>
            <w:r w:rsidRPr="008912B2">
              <w:rPr>
                <w:b/>
                <w:sz w:val="28"/>
                <w:szCs w:val="28"/>
                <w:lang w:val="fr-FR"/>
              </w:rPr>
              <w:t>ION DU CENTRE DE BIOLOGIE STRUCTURALE</w:t>
            </w:r>
          </w:p>
          <w:p w14:paraId="01F12AA4" w14:textId="77777777" w:rsidR="00BD38D5" w:rsidRPr="008912B2" w:rsidRDefault="00BD38D5" w:rsidP="007213DE">
            <w:pPr>
              <w:spacing w:line="240" w:lineRule="exact"/>
              <w:jc w:val="center"/>
              <w:rPr>
                <w:lang w:val="fr-FR"/>
              </w:rPr>
            </w:pPr>
          </w:p>
          <w:p w14:paraId="1BFD9280" w14:textId="77777777" w:rsidR="00BD38D5" w:rsidRPr="008912B2" w:rsidRDefault="00BD38D5" w:rsidP="007213DE">
            <w:pPr>
              <w:spacing w:line="240" w:lineRule="exact"/>
              <w:jc w:val="center"/>
              <w:rPr>
                <w:lang w:val="fr-FR"/>
              </w:rPr>
            </w:pPr>
          </w:p>
        </w:tc>
      </w:tr>
    </w:tbl>
    <w:p w14:paraId="3B570803" w14:textId="77777777" w:rsidR="004B511D" w:rsidRPr="008912B2" w:rsidRDefault="004B511D" w:rsidP="004B511D">
      <w:pPr>
        <w:spacing w:after="0"/>
      </w:pPr>
    </w:p>
    <w:p w14:paraId="14DB26FF" w14:textId="77777777" w:rsidR="004B511D" w:rsidRPr="008912B2" w:rsidRDefault="004B511D" w:rsidP="004B511D">
      <w:pPr>
        <w:spacing w:after="0"/>
      </w:pPr>
    </w:p>
    <w:p w14:paraId="3673B830" w14:textId="77777777" w:rsidR="004B511D" w:rsidRPr="008912B2" w:rsidRDefault="004B511D" w:rsidP="004B511D">
      <w:pPr>
        <w:spacing w:after="0"/>
      </w:pPr>
    </w:p>
    <w:p w14:paraId="5B97B672" w14:textId="360941B1" w:rsidR="00284186" w:rsidRPr="008912B2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663F077B" w14:textId="77777777" w:rsidR="00284186" w:rsidRPr="008912B2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8912B2">
        <w:rPr>
          <w:rFonts w:ascii="Arial" w:hAnsi="Arial" w:cs="Arial"/>
          <w:i/>
          <w:sz w:val="20"/>
          <w:szCs w:val="20"/>
        </w:rPr>
        <w:t xml:space="preserve">Les soumissionnaires souhaitant participer à la </w:t>
      </w:r>
      <w:r w:rsidR="000E6FE1" w:rsidRPr="008912B2">
        <w:rPr>
          <w:rFonts w:ascii="Arial" w:hAnsi="Arial" w:cs="Arial"/>
          <w:i/>
          <w:sz w:val="20"/>
          <w:szCs w:val="20"/>
        </w:rPr>
        <w:t xml:space="preserve">présente </w:t>
      </w:r>
      <w:r w:rsidRPr="008912B2">
        <w:rPr>
          <w:rFonts w:ascii="Arial" w:hAnsi="Arial" w:cs="Arial"/>
          <w:i/>
          <w:sz w:val="20"/>
          <w:szCs w:val="20"/>
        </w:rPr>
        <w:t xml:space="preserve">consultation devront </w:t>
      </w:r>
      <w:r w:rsidR="000E6FE1" w:rsidRPr="008912B2">
        <w:rPr>
          <w:rFonts w:ascii="Arial" w:hAnsi="Arial" w:cs="Arial"/>
          <w:i/>
          <w:sz w:val="20"/>
          <w:szCs w:val="20"/>
        </w:rPr>
        <w:t xml:space="preserve">répondre à </w:t>
      </w:r>
      <w:r w:rsidRPr="008912B2">
        <w:rPr>
          <w:rFonts w:ascii="Arial" w:hAnsi="Arial" w:cs="Arial"/>
          <w:i/>
          <w:sz w:val="20"/>
          <w:szCs w:val="20"/>
        </w:rPr>
        <w:t>ce cadre de réponse technique (CRT) sans apporter de modifications aux questions.</w:t>
      </w:r>
    </w:p>
    <w:p w14:paraId="1B0EF23F" w14:textId="393114DF" w:rsidR="00AA34CC" w:rsidRPr="008912B2" w:rsidRDefault="00AA34CC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8912B2">
        <w:rPr>
          <w:rFonts w:ascii="Arial" w:hAnsi="Arial" w:cs="Arial"/>
          <w:i/>
          <w:sz w:val="20"/>
          <w:szCs w:val="20"/>
        </w:rPr>
        <w:t>Les réponses doivent être effectuées dans le respect d</w:t>
      </w:r>
      <w:r w:rsidR="0032097A" w:rsidRPr="008912B2">
        <w:rPr>
          <w:rFonts w:ascii="Arial" w:hAnsi="Arial" w:cs="Arial"/>
          <w:i/>
          <w:sz w:val="20"/>
          <w:szCs w:val="20"/>
        </w:rPr>
        <w:t>es exigences définies par l’Inserm dans les pièces techniques et administratives du marché</w:t>
      </w:r>
      <w:r w:rsidRPr="008912B2">
        <w:rPr>
          <w:rFonts w:ascii="Arial" w:hAnsi="Arial" w:cs="Arial"/>
          <w:i/>
          <w:sz w:val="20"/>
          <w:szCs w:val="20"/>
        </w:rPr>
        <w:t>.</w:t>
      </w:r>
    </w:p>
    <w:p w14:paraId="27701854" w14:textId="77777777" w:rsidR="00284186" w:rsidRPr="008912B2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12622642" w14:textId="77777777" w:rsidR="00284186" w:rsidRPr="008912B2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5A62805A" w14:textId="77777777" w:rsidR="00284186" w:rsidRPr="008912B2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0FE2D663" w14:textId="77777777" w:rsidR="00284186" w:rsidRPr="008912B2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0C4757B4" w14:textId="77777777" w:rsidR="0011463B" w:rsidRPr="008912B2" w:rsidRDefault="0011463B" w:rsidP="00284186">
      <w:pPr>
        <w:jc w:val="both"/>
        <w:rPr>
          <w:rFonts w:ascii="Arial" w:hAnsi="Arial" w:cs="Arial"/>
          <w:sz w:val="20"/>
          <w:szCs w:val="20"/>
        </w:rPr>
      </w:pPr>
    </w:p>
    <w:p w14:paraId="27FC4FA9" w14:textId="77777777" w:rsidR="0011463B" w:rsidRPr="008912B2" w:rsidRDefault="0011463B" w:rsidP="00284186">
      <w:pPr>
        <w:jc w:val="both"/>
        <w:rPr>
          <w:rFonts w:ascii="Arial" w:hAnsi="Arial" w:cs="Arial"/>
          <w:sz w:val="20"/>
          <w:szCs w:val="20"/>
        </w:rPr>
      </w:pPr>
    </w:p>
    <w:p w14:paraId="7B4E4D97" w14:textId="687E660F" w:rsidR="0011463B" w:rsidRPr="008912B2" w:rsidRDefault="004B511D" w:rsidP="004B511D">
      <w:pPr>
        <w:rPr>
          <w:rFonts w:ascii="Arial" w:hAnsi="Arial" w:cs="Arial"/>
          <w:sz w:val="20"/>
          <w:szCs w:val="20"/>
        </w:rPr>
      </w:pPr>
      <w:r w:rsidRPr="008912B2">
        <w:rPr>
          <w:rFonts w:ascii="Arial" w:hAnsi="Arial" w:cs="Arial"/>
          <w:sz w:val="20"/>
          <w:szCs w:val="20"/>
        </w:rPr>
        <w:br w:type="page"/>
      </w:r>
    </w:p>
    <w:sdt>
      <w:sdtPr>
        <w:rPr>
          <w:rFonts w:ascii="Calibri" w:eastAsia="Calibri" w:hAnsi="Calibri" w:cs="Calibri"/>
          <w:color w:val="000000"/>
          <w:sz w:val="22"/>
          <w:szCs w:val="22"/>
        </w:rPr>
        <w:id w:val="18445009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038768" w14:textId="77777777" w:rsidR="0011463B" w:rsidRPr="008912B2" w:rsidRDefault="00736B79" w:rsidP="00A47AC3">
          <w:pPr>
            <w:pStyle w:val="En-ttedetabledesmatires"/>
            <w:jc w:val="center"/>
          </w:pPr>
          <w:r w:rsidRPr="008912B2">
            <w:t>Sommaire</w:t>
          </w:r>
        </w:p>
        <w:p w14:paraId="506E4379" w14:textId="77777777" w:rsidR="00736B79" w:rsidRPr="008912B2" w:rsidRDefault="00736B79" w:rsidP="00736B79"/>
        <w:p w14:paraId="3634E1B8" w14:textId="05B815A8" w:rsidR="00BE458F" w:rsidRDefault="0011463B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 w:rsidRPr="008912B2">
            <w:fldChar w:fldCharType="begin"/>
          </w:r>
          <w:r w:rsidRPr="008912B2">
            <w:instrText xml:space="preserve"> TOC \o "1-3" \h \z \u </w:instrText>
          </w:r>
          <w:r w:rsidRPr="008912B2">
            <w:fldChar w:fldCharType="separate"/>
          </w:r>
          <w:hyperlink w:anchor="_Toc200455346" w:history="1">
            <w:r w:rsidR="00BE458F" w:rsidRPr="0028064F">
              <w:rPr>
                <w:rStyle w:val="Lienhypertexte"/>
                <w:rFonts w:ascii="Arial" w:hAnsi="Arial" w:cs="Arial"/>
                <w:b/>
                <w:noProof/>
              </w:rPr>
              <w:t>1.</w:t>
            </w:r>
            <w:r w:rsidR="00BE458F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BE458F" w:rsidRPr="0028064F">
              <w:rPr>
                <w:rStyle w:val="Lienhypertexte"/>
                <w:rFonts w:ascii="Arial" w:hAnsi="Arial" w:cs="Arial"/>
                <w:b/>
                <w:noProof/>
              </w:rPr>
              <w:t>Désignation du soumissionnaire</w:t>
            </w:r>
            <w:r w:rsidR="00BE458F">
              <w:rPr>
                <w:noProof/>
                <w:webHidden/>
              </w:rPr>
              <w:tab/>
            </w:r>
            <w:r w:rsidR="00BE458F">
              <w:rPr>
                <w:noProof/>
                <w:webHidden/>
              </w:rPr>
              <w:fldChar w:fldCharType="begin"/>
            </w:r>
            <w:r w:rsidR="00BE458F">
              <w:rPr>
                <w:noProof/>
                <w:webHidden/>
              </w:rPr>
              <w:instrText xml:space="preserve"> PAGEREF _Toc200455346 \h </w:instrText>
            </w:r>
            <w:r w:rsidR="00BE458F">
              <w:rPr>
                <w:noProof/>
                <w:webHidden/>
              </w:rPr>
            </w:r>
            <w:r w:rsidR="00BE458F">
              <w:rPr>
                <w:noProof/>
                <w:webHidden/>
              </w:rPr>
              <w:fldChar w:fldCharType="separate"/>
            </w:r>
            <w:r w:rsidR="00BE458F">
              <w:rPr>
                <w:noProof/>
                <w:webHidden/>
              </w:rPr>
              <w:t>3</w:t>
            </w:r>
            <w:r w:rsidR="00BE458F">
              <w:rPr>
                <w:noProof/>
                <w:webHidden/>
              </w:rPr>
              <w:fldChar w:fldCharType="end"/>
            </w:r>
          </w:hyperlink>
        </w:p>
        <w:p w14:paraId="25C432D3" w14:textId="295CB0AE" w:rsidR="00BE458F" w:rsidRDefault="00BE458F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0455347" w:history="1">
            <w:r w:rsidRPr="0028064F">
              <w:rPr>
                <w:rStyle w:val="Lienhypertexte"/>
                <w:rFonts w:ascii="Arial" w:hAnsi="Arial" w:cs="Arial"/>
                <w:b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28064F">
              <w:rPr>
                <w:rStyle w:val="Lienhypertexte"/>
                <w:rFonts w:ascii="Arial" w:hAnsi="Arial" w:cs="Arial"/>
                <w:b/>
                <w:noProof/>
              </w:rPr>
              <w:t>Moyens humains et matériels dédiés à l’exécution des travaux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_Toc200455347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DEA077" w14:textId="775381AE" w:rsidR="00BE458F" w:rsidRDefault="00BE458F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0455348" w:history="1">
            <w:r w:rsidRPr="0028064F">
              <w:rPr>
                <w:rStyle w:val="Lienhypertexte"/>
                <w:rFonts w:ascii="Arial" w:hAnsi="Arial" w:cs="Arial"/>
                <w:b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28064F">
              <w:rPr>
                <w:rStyle w:val="Lienhypertexte"/>
                <w:rFonts w:ascii="Arial" w:hAnsi="Arial" w:cs="Arial"/>
                <w:b/>
                <w:noProof/>
              </w:rPr>
              <w:t>Identification des contraintes spécifiques au chantier et la méthodologie de réalisation pour y répondre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_Toc200455348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BEF0EF" w14:textId="5808459F" w:rsidR="00BE458F" w:rsidRDefault="00BE458F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0455349" w:history="1">
            <w:r w:rsidRPr="0028064F">
              <w:rPr>
                <w:rStyle w:val="Lienhypertexte"/>
                <w:rFonts w:ascii="Arial" w:hAnsi="Arial" w:cs="Arial"/>
                <w:b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28064F">
              <w:rPr>
                <w:rStyle w:val="Lienhypertexte"/>
                <w:rFonts w:ascii="Arial" w:hAnsi="Arial" w:cs="Arial"/>
                <w:b/>
                <w:noProof/>
              </w:rPr>
              <w:t>Planning des travaux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_Toc200455349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2DFCD4" w14:textId="1CEA5340" w:rsidR="00BE458F" w:rsidRDefault="00BE458F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0455350" w:history="1">
            <w:r w:rsidRPr="0028064F">
              <w:rPr>
                <w:rStyle w:val="Lienhypertexte"/>
                <w:rFonts w:ascii="Arial" w:hAnsi="Arial" w:cs="Arial"/>
                <w:b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28064F">
              <w:rPr>
                <w:rStyle w:val="Lienhypertexte"/>
                <w:rFonts w:ascii="Arial" w:hAnsi="Arial" w:cs="Arial"/>
                <w:b/>
                <w:noProof/>
              </w:rPr>
              <w:t>Performance environnementale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_Toc200455350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09E87" w14:textId="00494276" w:rsidR="0011463B" w:rsidRPr="008912B2" w:rsidRDefault="0011463B">
          <w:r w:rsidRPr="008912B2">
            <w:rPr>
              <w:b/>
              <w:bCs/>
            </w:rPr>
            <w:fldChar w:fldCharType="end"/>
          </w:r>
        </w:p>
      </w:sdtContent>
    </w:sdt>
    <w:p w14:paraId="0A6E9FD3" w14:textId="77777777" w:rsidR="0011463B" w:rsidRPr="008912B2" w:rsidRDefault="0011463B" w:rsidP="0011463B"/>
    <w:p w14:paraId="0D14FF23" w14:textId="5C47CCD5" w:rsidR="004619A9" w:rsidRPr="008912B2" w:rsidRDefault="00284186" w:rsidP="004619A9">
      <w:pPr>
        <w:pStyle w:val="Titre1"/>
        <w:numPr>
          <w:ilvl w:val="0"/>
          <w:numId w:val="8"/>
        </w:num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8912B2">
        <w:rPr>
          <w:sz w:val="28"/>
          <w:szCs w:val="28"/>
        </w:rPr>
        <w:br w:type="page"/>
      </w:r>
    </w:p>
    <w:p w14:paraId="1482B47E" w14:textId="77777777" w:rsidR="00F43513" w:rsidRDefault="00F43513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1B3DC8B4" w14:textId="77777777" w:rsidR="002E376D" w:rsidRDefault="002E376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6B61F269" w14:textId="18BAD4AF" w:rsidR="002E376D" w:rsidRPr="008912B2" w:rsidRDefault="002E376D" w:rsidP="002E376D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0" w:name="_Toc200455346"/>
      <w:r>
        <w:rPr>
          <w:rFonts w:ascii="Arial" w:hAnsi="Arial" w:cs="Arial"/>
          <w:b/>
          <w:color w:val="FFFFFF" w:themeColor="background1"/>
          <w:sz w:val="24"/>
          <w:szCs w:val="24"/>
        </w:rPr>
        <w:t>Désignation du soumissionnaire</w:t>
      </w:r>
      <w:bookmarkEnd w:id="0"/>
    </w:p>
    <w:p w14:paraId="440E3779" w14:textId="1FE2C366" w:rsidR="002E376D" w:rsidRDefault="0033358C" w:rsidP="0033358C">
      <w:pPr>
        <w:pStyle w:val="Paragraphedeliste"/>
        <w:numPr>
          <w:ilvl w:val="1"/>
          <w:numId w:val="8"/>
        </w:numPr>
        <w:spacing w:after="0" w:line="24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3358C">
        <w:rPr>
          <w:rFonts w:ascii="Arial" w:hAnsi="Arial" w:cs="Arial"/>
        </w:rPr>
        <w:t>Désignation du soumissionnaire</w:t>
      </w:r>
      <w:r w:rsidR="00EA1A9C">
        <w:rPr>
          <w:rFonts w:ascii="Arial" w:hAnsi="Arial" w:cs="Arial"/>
        </w:rPr>
        <w:t> ;</w:t>
      </w:r>
    </w:p>
    <w:p w14:paraId="2B37A87E" w14:textId="294C4053" w:rsidR="0033358C" w:rsidRPr="0033358C" w:rsidRDefault="0033358C" w:rsidP="0033358C">
      <w:pPr>
        <w:pStyle w:val="Paragraphedeliste"/>
        <w:numPr>
          <w:ilvl w:val="1"/>
          <w:numId w:val="8"/>
        </w:numPr>
        <w:spacing w:after="0" w:line="24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3358C">
        <w:rPr>
          <w:rFonts w:ascii="Arial" w:hAnsi="Arial" w:cs="Arial"/>
        </w:rPr>
        <w:t>Contact pour le suivi du marché</w:t>
      </w:r>
    </w:p>
    <w:p w14:paraId="75531306" w14:textId="26425124" w:rsidR="00BD38D5" w:rsidRPr="008912B2" w:rsidRDefault="00BD38D5">
      <w:pPr>
        <w:rPr>
          <w:rFonts w:ascii="Arial Narrow" w:eastAsia="Arial Unicode MS" w:hAnsi="Arial Narrow" w:cs="Arial Unicode MS"/>
        </w:rPr>
      </w:pPr>
    </w:p>
    <w:p w14:paraId="2FC38758" w14:textId="1ACF5339" w:rsidR="00BD38D5" w:rsidRPr="008912B2" w:rsidRDefault="00902730" w:rsidP="00BD38D5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1" w:name="_Toc200455347"/>
      <w:bookmarkStart w:id="2" w:name="_Hlk198757855"/>
      <w:r w:rsidRPr="008912B2">
        <w:rPr>
          <w:rFonts w:ascii="Arial" w:hAnsi="Arial" w:cs="Arial"/>
          <w:b/>
          <w:color w:val="FFFFFF" w:themeColor="background1"/>
          <w:sz w:val="24"/>
          <w:szCs w:val="24"/>
        </w:rPr>
        <w:t>Moyens humains</w:t>
      </w:r>
      <w:r w:rsidR="0063316C">
        <w:rPr>
          <w:rFonts w:ascii="Arial" w:hAnsi="Arial" w:cs="Arial"/>
          <w:b/>
          <w:color w:val="FFFFFF" w:themeColor="background1"/>
          <w:sz w:val="24"/>
          <w:szCs w:val="24"/>
        </w:rPr>
        <w:t xml:space="preserve"> et matériels</w:t>
      </w:r>
      <w:r w:rsidRPr="008912B2">
        <w:rPr>
          <w:rFonts w:ascii="Arial" w:hAnsi="Arial" w:cs="Arial"/>
          <w:b/>
          <w:color w:val="FFFFFF" w:themeColor="background1"/>
          <w:sz w:val="24"/>
          <w:szCs w:val="24"/>
        </w:rPr>
        <w:t xml:space="preserve"> dédiés </w:t>
      </w:r>
      <w:r w:rsidR="0063316C">
        <w:rPr>
          <w:rFonts w:ascii="Arial" w:hAnsi="Arial" w:cs="Arial"/>
          <w:b/>
          <w:color w:val="FFFFFF" w:themeColor="background1"/>
          <w:sz w:val="24"/>
          <w:szCs w:val="24"/>
        </w:rPr>
        <w:t>à l’exécution des travaux</w:t>
      </w:r>
      <w:bookmarkEnd w:id="1"/>
    </w:p>
    <w:bookmarkEnd w:id="2"/>
    <w:p w14:paraId="418503A3" w14:textId="77777777" w:rsidR="0033358C" w:rsidRPr="0033358C" w:rsidRDefault="0033358C" w:rsidP="0033358C">
      <w:pPr>
        <w:pStyle w:val="Paragraphedeliste"/>
        <w:numPr>
          <w:ilvl w:val="0"/>
          <w:numId w:val="8"/>
        </w:numPr>
        <w:rPr>
          <w:rFonts w:ascii="Arial" w:hAnsi="Arial" w:cs="Arial"/>
          <w:vanish/>
        </w:rPr>
      </w:pPr>
    </w:p>
    <w:p w14:paraId="586277EF" w14:textId="78B133D9" w:rsidR="008912B2" w:rsidRPr="008912B2" w:rsidRDefault="003539D9" w:rsidP="00B26B69">
      <w:pPr>
        <w:pStyle w:val="Paragraphedeliste"/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="008912B2" w:rsidRPr="008912B2">
        <w:rPr>
          <w:rFonts w:ascii="Arial" w:hAnsi="Arial" w:cs="Arial"/>
        </w:rPr>
        <w:t xml:space="preserve"> </w:t>
      </w:r>
      <w:r w:rsidR="00B26B69">
        <w:rPr>
          <w:rFonts w:ascii="Arial" w:hAnsi="Arial" w:cs="Arial"/>
        </w:rPr>
        <w:t>Décrire les moyens humains affectés au chantier et l</w:t>
      </w:r>
      <w:r>
        <w:rPr>
          <w:rFonts w:ascii="Arial" w:hAnsi="Arial" w:cs="Arial"/>
        </w:rPr>
        <w:t>’o</w:t>
      </w:r>
      <w:r w:rsidR="00902730" w:rsidRPr="008912B2">
        <w:rPr>
          <w:rFonts w:ascii="Arial" w:hAnsi="Arial" w:cs="Arial"/>
        </w:rPr>
        <w:t xml:space="preserve">rganisation </w:t>
      </w:r>
      <w:r w:rsidR="00B26B69">
        <w:rPr>
          <w:rFonts w:ascii="Arial" w:hAnsi="Arial" w:cs="Arial"/>
        </w:rPr>
        <w:t xml:space="preserve">générale </w:t>
      </w:r>
      <w:r w:rsidR="00902730" w:rsidRPr="008912B2">
        <w:rPr>
          <w:rFonts w:ascii="Arial" w:hAnsi="Arial" w:cs="Arial"/>
        </w:rPr>
        <w:t>des équipes</w:t>
      </w:r>
      <w:r w:rsidR="00B26B69">
        <w:rPr>
          <w:rFonts w:ascii="Arial" w:hAnsi="Arial" w:cs="Arial"/>
        </w:rPr>
        <w:t> ;</w:t>
      </w:r>
    </w:p>
    <w:p w14:paraId="0E2B00BB" w14:textId="04FCE711" w:rsidR="007400FC" w:rsidRDefault="003539D9" w:rsidP="00B26B69">
      <w:pPr>
        <w:pStyle w:val="Paragraphedeliste"/>
        <w:numPr>
          <w:ilvl w:val="1"/>
          <w:numId w:val="8"/>
        </w:numPr>
        <w:spacing w:after="3" w:line="265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>–</w:t>
      </w:r>
      <w:r w:rsidR="008912B2" w:rsidRPr="008912B2">
        <w:rPr>
          <w:rFonts w:ascii="Arial" w:hAnsi="Arial" w:cs="Arial"/>
          <w:iCs/>
          <w:szCs w:val="20"/>
        </w:rPr>
        <w:t xml:space="preserve"> </w:t>
      </w:r>
      <w:r>
        <w:rPr>
          <w:rFonts w:ascii="Arial" w:hAnsi="Arial" w:cs="Arial"/>
          <w:iCs/>
          <w:szCs w:val="20"/>
        </w:rPr>
        <w:t>Décrire les e</w:t>
      </w:r>
      <w:r w:rsidR="007400FC" w:rsidRPr="008912B2">
        <w:rPr>
          <w:rFonts w:ascii="Arial" w:hAnsi="Arial" w:cs="Arial"/>
          <w:iCs/>
          <w:szCs w:val="20"/>
        </w:rPr>
        <w:t>ffectifs détaillés par phase, incluant distinction entre encadrement et ouvriers (nombre et qualifications)</w:t>
      </w:r>
      <w:r>
        <w:rPr>
          <w:rFonts w:ascii="Arial" w:hAnsi="Arial" w:cs="Arial"/>
          <w:iCs/>
          <w:szCs w:val="20"/>
        </w:rPr>
        <w:t> ;</w:t>
      </w:r>
    </w:p>
    <w:p w14:paraId="2EBE47FA" w14:textId="2F25E2FD" w:rsidR="003539D9" w:rsidRPr="008912B2" w:rsidRDefault="003539D9" w:rsidP="00B26B69">
      <w:pPr>
        <w:pStyle w:val="Paragraphedeliste"/>
        <w:numPr>
          <w:ilvl w:val="1"/>
          <w:numId w:val="8"/>
        </w:numPr>
        <w:spacing w:after="3" w:line="265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 xml:space="preserve">Décrire les moyens matériels </w:t>
      </w:r>
      <w:r w:rsidR="00B26B69">
        <w:rPr>
          <w:rFonts w:ascii="Arial" w:hAnsi="Arial" w:cs="Arial"/>
          <w:iCs/>
          <w:szCs w:val="20"/>
        </w:rPr>
        <w:t>dédiés à l’exécution des travaux</w:t>
      </w:r>
    </w:p>
    <w:p w14:paraId="7F602366" w14:textId="77777777" w:rsidR="00902730" w:rsidRPr="008912B2" w:rsidRDefault="00902730" w:rsidP="00902730">
      <w:pPr>
        <w:tabs>
          <w:tab w:val="left" w:pos="2268"/>
        </w:tabs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29CC3250" w14:textId="77777777" w:rsidR="00902730" w:rsidRPr="008912B2" w:rsidRDefault="00902730" w:rsidP="00902730">
      <w:pPr>
        <w:spacing w:after="3" w:line="265" w:lineRule="auto"/>
        <w:jc w:val="both"/>
        <w:rPr>
          <w:iCs/>
          <w:szCs w:val="20"/>
        </w:rPr>
      </w:pPr>
    </w:p>
    <w:p w14:paraId="71319740" w14:textId="3C46DCBD" w:rsidR="00902730" w:rsidRPr="008912B2" w:rsidRDefault="008912B2" w:rsidP="00487CF7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3" w:name="_Toc200455348"/>
      <w:r>
        <w:rPr>
          <w:rFonts w:ascii="Arial" w:hAnsi="Arial" w:cs="Arial"/>
          <w:b/>
          <w:color w:val="FFFFFF" w:themeColor="background1"/>
          <w:sz w:val="24"/>
          <w:szCs w:val="24"/>
        </w:rPr>
        <w:t>Identification des c</w:t>
      </w:r>
      <w:r w:rsidR="00902730" w:rsidRPr="008912B2">
        <w:rPr>
          <w:rFonts w:ascii="Arial" w:hAnsi="Arial" w:cs="Arial"/>
          <w:b/>
          <w:color w:val="FFFFFF" w:themeColor="background1"/>
          <w:sz w:val="24"/>
          <w:szCs w:val="24"/>
        </w:rPr>
        <w:t xml:space="preserve">ontraintes spécifiques au chantier et </w:t>
      </w:r>
      <w:r w:rsidR="00073D0F">
        <w:rPr>
          <w:rFonts w:ascii="Arial" w:hAnsi="Arial" w:cs="Arial"/>
          <w:b/>
          <w:color w:val="FFFFFF" w:themeColor="background1"/>
          <w:sz w:val="24"/>
          <w:szCs w:val="24"/>
        </w:rPr>
        <w:t>la</w:t>
      </w:r>
      <w:r w:rsidR="00902730" w:rsidRPr="008912B2">
        <w:rPr>
          <w:rFonts w:ascii="Arial" w:hAnsi="Arial" w:cs="Arial"/>
          <w:b/>
          <w:color w:val="FFFFFF" w:themeColor="background1"/>
          <w:sz w:val="24"/>
          <w:szCs w:val="24"/>
        </w:rPr>
        <w:t xml:space="preserve"> méthodologie de réalisation pour y répondre</w:t>
      </w:r>
      <w:bookmarkEnd w:id="3"/>
      <w:r w:rsidR="00902730" w:rsidRPr="008912B2">
        <w:rPr>
          <w:rFonts w:ascii="Arial" w:hAnsi="Arial" w:cs="Arial"/>
          <w:b/>
          <w:color w:val="FFFFFF" w:themeColor="background1"/>
          <w:sz w:val="24"/>
          <w:szCs w:val="24"/>
        </w:rPr>
        <w:t xml:space="preserve"> </w:t>
      </w:r>
    </w:p>
    <w:p w14:paraId="252A9282" w14:textId="77777777" w:rsidR="0033358C" w:rsidRPr="0033358C" w:rsidRDefault="0033358C" w:rsidP="0033358C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Cs/>
          <w:vanish/>
          <w:szCs w:val="20"/>
        </w:rPr>
      </w:pPr>
    </w:p>
    <w:p w14:paraId="158AD3BE" w14:textId="7C01DA6D" w:rsidR="008912B2" w:rsidRPr="008912B2" w:rsidRDefault="008912B2" w:rsidP="0033358C">
      <w:pPr>
        <w:pStyle w:val="Paragraphedeliste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 xml:space="preserve">- </w:t>
      </w:r>
      <w:r w:rsidR="007400FC" w:rsidRPr="008912B2">
        <w:rPr>
          <w:rFonts w:ascii="Arial" w:hAnsi="Arial" w:cs="Arial"/>
          <w:iCs/>
          <w:szCs w:val="20"/>
        </w:rPr>
        <w:t>Compréhension du projet et des enjeux du site</w:t>
      </w:r>
      <w:r w:rsidR="00EA1A9C">
        <w:rPr>
          <w:rFonts w:ascii="Arial" w:hAnsi="Arial" w:cs="Arial"/>
          <w:iCs/>
          <w:szCs w:val="20"/>
        </w:rPr>
        <w:t> ;</w:t>
      </w:r>
    </w:p>
    <w:p w14:paraId="6C0FF3E6" w14:textId="6FA7558C" w:rsidR="008912B2" w:rsidRPr="008912B2" w:rsidRDefault="00B26B69" w:rsidP="008912B2">
      <w:pPr>
        <w:pStyle w:val="Paragraphedeliste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>–</w:t>
      </w:r>
      <w:r w:rsidR="008912B2">
        <w:rPr>
          <w:rFonts w:ascii="Arial" w:hAnsi="Arial" w:cs="Arial"/>
          <w:iCs/>
          <w:szCs w:val="20"/>
        </w:rPr>
        <w:t xml:space="preserve"> </w:t>
      </w:r>
      <w:r>
        <w:rPr>
          <w:rFonts w:ascii="Arial" w:hAnsi="Arial" w:cs="Arial"/>
          <w:iCs/>
          <w:szCs w:val="20"/>
        </w:rPr>
        <w:t>Présenter la m</w:t>
      </w:r>
      <w:r w:rsidR="007400FC" w:rsidRPr="008912B2">
        <w:rPr>
          <w:rFonts w:ascii="Arial" w:hAnsi="Arial" w:cs="Arial"/>
          <w:iCs/>
          <w:szCs w:val="20"/>
        </w:rPr>
        <w:t>éthodologie détaillée pour la gestion du chantier en site occupé</w:t>
      </w:r>
      <w:r w:rsidR="00EA1A9C">
        <w:rPr>
          <w:rFonts w:ascii="Arial" w:hAnsi="Arial" w:cs="Arial"/>
          <w:iCs/>
          <w:szCs w:val="20"/>
        </w:rPr>
        <w:t> ;</w:t>
      </w:r>
    </w:p>
    <w:p w14:paraId="39F678B8" w14:textId="3AA7F40F" w:rsidR="008912B2" w:rsidRPr="008912B2" w:rsidRDefault="00B26B69" w:rsidP="008912B2">
      <w:pPr>
        <w:pStyle w:val="Paragraphedeliste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>–</w:t>
      </w:r>
      <w:r w:rsidR="008912B2">
        <w:rPr>
          <w:rFonts w:ascii="Arial" w:hAnsi="Arial" w:cs="Arial"/>
          <w:iCs/>
          <w:szCs w:val="20"/>
        </w:rPr>
        <w:t xml:space="preserve"> </w:t>
      </w:r>
      <w:r>
        <w:rPr>
          <w:rFonts w:ascii="Arial" w:hAnsi="Arial" w:cs="Arial"/>
          <w:iCs/>
          <w:szCs w:val="20"/>
        </w:rPr>
        <w:t xml:space="preserve">Décrire les mesures qui seront </w:t>
      </w:r>
      <w:r w:rsidR="00EA1A9C">
        <w:rPr>
          <w:rFonts w:ascii="Arial" w:hAnsi="Arial" w:cs="Arial"/>
          <w:iCs/>
          <w:szCs w:val="20"/>
        </w:rPr>
        <w:t>prises</w:t>
      </w:r>
      <w:r w:rsidR="007400FC" w:rsidRPr="008912B2">
        <w:rPr>
          <w:rFonts w:ascii="Arial" w:hAnsi="Arial" w:cs="Arial"/>
          <w:iCs/>
          <w:szCs w:val="20"/>
        </w:rPr>
        <w:t xml:space="preserve"> pour assurer la sécurité des personnes et du chantier</w:t>
      </w:r>
      <w:r w:rsidR="00EA1A9C">
        <w:rPr>
          <w:rFonts w:ascii="Arial" w:hAnsi="Arial" w:cs="Arial"/>
          <w:iCs/>
          <w:szCs w:val="20"/>
        </w:rPr>
        <w:t> ;</w:t>
      </w:r>
    </w:p>
    <w:p w14:paraId="192833C5" w14:textId="05587FA7" w:rsidR="00902730" w:rsidRDefault="008912B2" w:rsidP="008912B2">
      <w:pPr>
        <w:pStyle w:val="Paragraphedeliste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 xml:space="preserve">- </w:t>
      </w:r>
      <w:r w:rsidR="007400FC" w:rsidRPr="008912B2">
        <w:rPr>
          <w:rFonts w:ascii="Arial" w:hAnsi="Arial" w:cs="Arial"/>
          <w:iCs/>
          <w:szCs w:val="20"/>
        </w:rPr>
        <w:t xml:space="preserve">Gestion des interactions avec les autres intervenants et </w:t>
      </w:r>
      <w:r w:rsidR="00EA1A9C">
        <w:rPr>
          <w:rFonts w:ascii="Arial" w:hAnsi="Arial" w:cs="Arial"/>
          <w:iCs/>
          <w:szCs w:val="20"/>
        </w:rPr>
        <w:t>l’</w:t>
      </w:r>
      <w:r w:rsidR="007400FC" w:rsidRPr="008912B2">
        <w:rPr>
          <w:rFonts w:ascii="Arial" w:hAnsi="Arial" w:cs="Arial"/>
          <w:iCs/>
          <w:szCs w:val="20"/>
        </w:rPr>
        <w:t xml:space="preserve">impact sur l’exploitation du site </w:t>
      </w:r>
    </w:p>
    <w:p w14:paraId="73DFB443" w14:textId="77777777" w:rsidR="008912B2" w:rsidRPr="008912B2" w:rsidRDefault="008912B2" w:rsidP="008912B2">
      <w:pPr>
        <w:pStyle w:val="Paragraphedeliste"/>
        <w:rPr>
          <w:rFonts w:ascii="Arial" w:hAnsi="Arial" w:cs="Arial"/>
          <w:iCs/>
          <w:szCs w:val="20"/>
        </w:rPr>
      </w:pPr>
    </w:p>
    <w:p w14:paraId="486F60C1" w14:textId="77777777" w:rsidR="008912B2" w:rsidRPr="008912B2" w:rsidRDefault="008912B2" w:rsidP="008912B2">
      <w:pPr>
        <w:pStyle w:val="Paragraphedeliste"/>
        <w:spacing w:after="3" w:line="265" w:lineRule="auto"/>
        <w:ind w:left="360"/>
        <w:jc w:val="both"/>
        <w:rPr>
          <w:rFonts w:ascii="Arial" w:hAnsi="Arial" w:cs="Arial"/>
          <w:iCs/>
          <w:szCs w:val="20"/>
        </w:rPr>
      </w:pPr>
    </w:p>
    <w:p w14:paraId="6196A1C3" w14:textId="15909FB6" w:rsidR="00902730" w:rsidRPr="008912B2" w:rsidRDefault="00902730" w:rsidP="00902730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4" w:name="_Toc200455349"/>
      <w:bookmarkStart w:id="5" w:name="_Hlk198758270"/>
      <w:r w:rsidRPr="008912B2">
        <w:rPr>
          <w:rFonts w:ascii="Arial" w:hAnsi="Arial" w:cs="Arial"/>
          <w:b/>
          <w:color w:val="FFFFFF" w:themeColor="background1"/>
          <w:sz w:val="24"/>
          <w:szCs w:val="24"/>
        </w:rPr>
        <w:t>Planning des travaux</w:t>
      </w:r>
      <w:bookmarkEnd w:id="4"/>
    </w:p>
    <w:bookmarkEnd w:id="5"/>
    <w:p w14:paraId="1A99DBBB" w14:textId="77777777" w:rsidR="008912B2" w:rsidRPr="008912B2" w:rsidRDefault="008912B2" w:rsidP="008912B2">
      <w:pPr>
        <w:pStyle w:val="Paragraphedeliste"/>
        <w:numPr>
          <w:ilvl w:val="0"/>
          <w:numId w:val="8"/>
        </w:numPr>
        <w:spacing w:after="3" w:line="265" w:lineRule="auto"/>
        <w:jc w:val="both"/>
        <w:rPr>
          <w:rFonts w:ascii="Arial" w:hAnsi="Arial" w:cs="Arial"/>
          <w:iCs/>
          <w:vanish/>
          <w:szCs w:val="20"/>
        </w:rPr>
      </w:pPr>
    </w:p>
    <w:p w14:paraId="66BF28F0" w14:textId="220B5A8D" w:rsidR="008912B2" w:rsidRPr="008912B2" w:rsidRDefault="008912B2" w:rsidP="008912B2">
      <w:pPr>
        <w:pStyle w:val="Paragraphedeliste"/>
        <w:numPr>
          <w:ilvl w:val="1"/>
          <w:numId w:val="8"/>
        </w:numPr>
        <w:spacing w:after="3" w:line="265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 xml:space="preserve">- </w:t>
      </w:r>
      <w:r w:rsidR="007400FC" w:rsidRPr="008912B2">
        <w:rPr>
          <w:rFonts w:ascii="Arial" w:hAnsi="Arial" w:cs="Arial"/>
          <w:iCs/>
          <w:szCs w:val="20"/>
        </w:rPr>
        <w:t>Détail des phases du chantier avec</w:t>
      </w:r>
      <w:r>
        <w:rPr>
          <w:rFonts w:ascii="Arial" w:hAnsi="Arial" w:cs="Arial"/>
          <w:iCs/>
          <w:szCs w:val="20"/>
        </w:rPr>
        <w:t xml:space="preserve"> les</w:t>
      </w:r>
      <w:r w:rsidR="007400FC" w:rsidRPr="008912B2">
        <w:rPr>
          <w:rFonts w:ascii="Arial" w:hAnsi="Arial" w:cs="Arial"/>
          <w:iCs/>
          <w:szCs w:val="20"/>
        </w:rPr>
        <w:t xml:space="preserve"> jalons précis</w:t>
      </w:r>
      <w:r w:rsidR="00EA1A9C">
        <w:rPr>
          <w:rFonts w:ascii="Arial" w:hAnsi="Arial" w:cs="Arial"/>
          <w:iCs/>
          <w:szCs w:val="20"/>
        </w:rPr>
        <w:t> ;</w:t>
      </w:r>
    </w:p>
    <w:p w14:paraId="02257267" w14:textId="27491979" w:rsidR="007400FC" w:rsidRPr="008912B2" w:rsidRDefault="008912B2" w:rsidP="008912B2">
      <w:pPr>
        <w:pStyle w:val="Paragraphedeliste"/>
        <w:numPr>
          <w:ilvl w:val="1"/>
          <w:numId w:val="8"/>
        </w:numPr>
        <w:spacing w:after="3" w:line="265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 xml:space="preserve">- </w:t>
      </w:r>
      <w:r w:rsidR="007400FC" w:rsidRPr="008912B2">
        <w:rPr>
          <w:rFonts w:ascii="Arial" w:hAnsi="Arial" w:cs="Arial"/>
          <w:iCs/>
          <w:szCs w:val="20"/>
        </w:rPr>
        <w:t>Identification des points critiques : arrêts, contrôles et essais</w:t>
      </w:r>
    </w:p>
    <w:p w14:paraId="315972CA" w14:textId="77777777" w:rsidR="007400FC" w:rsidRPr="008912B2" w:rsidRDefault="007400FC" w:rsidP="007400FC">
      <w:pPr>
        <w:keepLines/>
        <w:jc w:val="both"/>
        <w:rPr>
          <w:iCs/>
          <w:color w:val="0070C0"/>
          <w:sz w:val="24"/>
          <w:szCs w:val="20"/>
        </w:rPr>
      </w:pPr>
    </w:p>
    <w:p w14:paraId="6DC46D60" w14:textId="7FBCE794" w:rsidR="00E252C8" w:rsidRPr="008912B2" w:rsidRDefault="00E252C8" w:rsidP="008912B2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6" w:name="_Toc200455350"/>
      <w:r w:rsidRPr="008912B2">
        <w:rPr>
          <w:rFonts w:ascii="Arial" w:hAnsi="Arial" w:cs="Arial"/>
          <w:b/>
          <w:color w:val="FFFFFF" w:themeColor="background1"/>
          <w:sz w:val="24"/>
          <w:szCs w:val="24"/>
        </w:rPr>
        <w:t>Performance environnementale</w:t>
      </w:r>
      <w:bookmarkEnd w:id="6"/>
    </w:p>
    <w:p w14:paraId="34F619B8" w14:textId="77777777" w:rsidR="008912B2" w:rsidRPr="008912B2" w:rsidRDefault="008912B2" w:rsidP="008912B2">
      <w:pPr>
        <w:pStyle w:val="Paragraphedeliste"/>
        <w:numPr>
          <w:ilvl w:val="0"/>
          <w:numId w:val="8"/>
        </w:numPr>
        <w:spacing w:after="3" w:line="265" w:lineRule="auto"/>
        <w:jc w:val="both"/>
        <w:rPr>
          <w:rFonts w:ascii="Arial" w:hAnsi="Arial" w:cs="Arial"/>
          <w:iCs/>
          <w:vanish/>
          <w:szCs w:val="20"/>
        </w:rPr>
      </w:pPr>
    </w:p>
    <w:p w14:paraId="0E1C740F" w14:textId="04277E04" w:rsidR="007400FC" w:rsidRPr="008912B2" w:rsidRDefault="00B26B69" w:rsidP="008912B2">
      <w:pPr>
        <w:pStyle w:val="Paragraphedeliste"/>
        <w:numPr>
          <w:ilvl w:val="1"/>
          <w:numId w:val="8"/>
        </w:numPr>
        <w:spacing w:after="3" w:line="265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>–</w:t>
      </w:r>
      <w:r w:rsidR="008912B2">
        <w:rPr>
          <w:rFonts w:ascii="Arial" w:hAnsi="Arial" w:cs="Arial"/>
          <w:iCs/>
          <w:szCs w:val="20"/>
        </w:rPr>
        <w:t xml:space="preserve"> </w:t>
      </w:r>
      <w:r>
        <w:rPr>
          <w:rFonts w:ascii="Arial" w:hAnsi="Arial" w:cs="Arial"/>
          <w:iCs/>
          <w:szCs w:val="20"/>
        </w:rPr>
        <w:t>Décrire la m</w:t>
      </w:r>
      <w:r w:rsidR="00E252C8" w:rsidRPr="008912B2">
        <w:rPr>
          <w:rFonts w:ascii="Arial" w:hAnsi="Arial" w:cs="Arial"/>
          <w:iCs/>
          <w:szCs w:val="20"/>
        </w:rPr>
        <w:t xml:space="preserve">éthodologie </w:t>
      </w:r>
      <w:r>
        <w:rPr>
          <w:rFonts w:ascii="Arial" w:hAnsi="Arial" w:cs="Arial"/>
          <w:iCs/>
          <w:szCs w:val="20"/>
        </w:rPr>
        <w:t>appliquée</w:t>
      </w:r>
      <w:r w:rsidR="00E252C8" w:rsidRPr="008912B2">
        <w:rPr>
          <w:rFonts w:ascii="Arial" w:hAnsi="Arial" w:cs="Arial"/>
          <w:iCs/>
          <w:szCs w:val="20"/>
        </w:rPr>
        <w:t xml:space="preserve"> pour la r</w:t>
      </w:r>
      <w:r w:rsidR="007400FC" w:rsidRPr="008912B2">
        <w:rPr>
          <w:rFonts w:ascii="Arial" w:hAnsi="Arial" w:cs="Arial"/>
          <w:iCs/>
          <w:szCs w:val="20"/>
        </w:rPr>
        <w:t>éduction,</w:t>
      </w:r>
      <w:r w:rsidR="00E252C8" w:rsidRPr="008912B2">
        <w:rPr>
          <w:rFonts w:ascii="Arial" w:hAnsi="Arial" w:cs="Arial"/>
          <w:iCs/>
          <w:szCs w:val="20"/>
        </w:rPr>
        <w:t xml:space="preserve"> la </w:t>
      </w:r>
      <w:r w:rsidR="007400FC" w:rsidRPr="008912B2">
        <w:rPr>
          <w:rFonts w:ascii="Arial" w:hAnsi="Arial" w:cs="Arial"/>
          <w:iCs/>
          <w:szCs w:val="20"/>
        </w:rPr>
        <w:t xml:space="preserve">gestion et </w:t>
      </w:r>
      <w:r w:rsidR="00E252C8" w:rsidRPr="008912B2">
        <w:rPr>
          <w:rFonts w:ascii="Arial" w:hAnsi="Arial" w:cs="Arial"/>
          <w:iCs/>
          <w:szCs w:val="20"/>
        </w:rPr>
        <w:t xml:space="preserve">la </w:t>
      </w:r>
      <w:r w:rsidR="007400FC" w:rsidRPr="008912B2">
        <w:rPr>
          <w:rFonts w:ascii="Arial" w:hAnsi="Arial" w:cs="Arial"/>
          <w:iCs/>
          <w:szCs w:val="20"/>
        </w:rPr>
        <w:t>valorisation des déchets de chantier</w:t>
      </w:r>
      <w:r>
        <w:rPr>
          <w:rFonts w:ascii="Arial" w:hAnsi="Arial" w:cs="Arial"/>
          <w:iCs/>
          <w:szCs w:val="20"/>
        </w:rPr>
        <w:t> ;</w:t>
      </w:r>
    </w:p>
    <w:p w14:paraId="749D0EE8" w14:textId="2D5F46C7" w:rsidR="007400FC" w:rsidRPr="008912B2" w:rsidRDefault="00B26B69" w:rsidP="008912B2">
      <w:pPr>
        <w:pStyle w:val="Paragraphedeliste"/>
        <w:numPr>
          <w:ilvl w:val="1"/>
          <w:numId w:val="8"/>
        </w:numPr>
        <w:spacing w:after="3" w:line="265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>–</w:t>
      </w:r>
      <w:r w:rsidR="008912B2">
        <w:rPr>
          <w:rFonts w:ascii="Arial" w:hAnsi="Arial" w:cs="Arial"/>
          <w:iCs/>
          <w:szCs w:val="20"/>
        </w:rPr>
        <w:t xml:space="preserve"> </w:t>
      </w:r>
      <w:r>
        <w:rPr>
          <w:rFonts w:ascii="Arial" w:hAnsi="Arial" w:cs="Arial"/>
          <w:iCs/>
          <w:szCs w:val="20"/>
        </w:rPr>
        <w:t>Décrire la q</w:t>
      </w:r>
      <w:r w:rsidR="007400FC" w:rsidRPr="008912B2">
        <w:rPr>
          <w:rFonts w:ascii="Arial" w:hAnsi="Arial" w:cs="Arial"/>
          <w:iCs/>
          <w:szCs w:val="20"/>
        </w:rPr>
        <w:t>ualité environnementale</w:t>
      </w:r>
      <w:r w:rsidR="00E252C8" w:rsidRPr="008912B2">
        <w:rPr>
          <w:rFonts w:ascii="Arial" w:hAnsi="Arial" w:cs="Arial"/>
          <w:iCs/>
          <w:szCs w:val="20"/>
        </w:rPr>
        <w:t xml:space="preserve"> des matériaux </w:t>
      </w:r>
      <w:r>
        <w:rPr>
          <w:rFonts w:ascii="Arial" w:hAnsi="Arial" w:cs="Arial"/>
          <w:iCs/>
          <w:szCs w:val="20"/>
        </w:rPr>
        <w:t xml:space="preserve">sélectionnés pour l’exécution des travaux </w:t>
      </w:r>
      <w:r w:rsidR="00E252C8" w:rsidRPr="008912B2">
        <w:rPr>
          <w:rFonts w:ascii="Arial" w:hAnsi="Arial" w:cs="Arial"/>
          <w:iCs/>
          <w:szCs w:val="20"/>
        </w:rPr>
        <w:t>et</w:t>
      </w:r>
      <w:r w:rsidR="007400FC" w:rsidRPr="008912B2">
        <w:rPr>
          <w:rFonts w:ascii="Arial" w:hAnsi="Arial" w:cs="Arial"/>
          <w:iCs/>
          <w:szCs w:val="20"/>
        </w:rPr>
        <w:t xml:space="preserve"> </w:t>
      </w:r>
      <w:r>
        <w:rPr>
          <w:rFonts w:ascii="Arial" w:hAnsi="Arial" w:cs="Arial"/>
          <w:iCs/>
          <w:szCs w:val="20"/>
        </w:rPr>
        <w:t xml:space="preserve">leur </w:t>
      </w:r>
      <w:r w:rsidR="007400FC" w:rsidRPr="008912B2">
        <w:rPr>
          <w:rFonts w:ascii="Arial" w:hAnsi="Arial" w:cs="Arial"/>
          <w:iCs/>
          <w:szCs w:val="20"/>
        </w:rPr>
        <w:t>recyclabilité</w:t>
      </w:r>
      <w:r>
        <w:rPr>
          <w:rFonts w:ascii="Arial" w:hAnsi="Arial" w:cs="Arial"/>
          <w:iCs/>
          <w:szCs w:val="20"/>
        </w:rPr>
        <w:t> ;</w:t>
      </w:r>
    </w:p>
    <w:p w14:paraId="3F3ED959" w14:textId="62E6F84D" w:rsidR="00E252C8" w:rsidRPr="008912B2" w:rsidRDefault="00B26B69" w:rsidP="008912B2">
      <w:pPr>
        <w:pStyle w:val="Paragraphedeliste"/>
        <w:numPr>
          <w:ilvl w:val="1"/>
          <w:numId w:val="8"/>
        </w:numPr>
        <w:spacing w:after="3" w:line="265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>–</w:t>
      </w:r>
      <w:r w:rsidR="008912B2">
        <w:rPr>
          <w:rFonts w:ascii="Arial" w:hAnsi="Arial" w:cs="Arial"/>
          <w:iCs/>
          <w:szCs w:val="20"/>
        </w:rPr>
        <w:t xml:space="preserve"> </w:t>
      </w:r>
      <w:r>
        <w:rPr>
          <w:rFonts w:ascii="Arial" w:hAnsi="Arial" w:cs="Arial"/>
          <w:iCs/>
          <w:szCs w:val="20"/>
        </w:rPr>
        <w:t>Préciser la p</w:t>
      </w:r>
      <w:r w:rsidR="007400FC" w:rsidRPr="008912B2">
        <w:rPr>
          <w:rFonts w:ascii="Arial" w:hAnsi="Arial" w:cs="Arial"/>
          <w:iCs/>
          <w:szCs w:val="20"/>
        </w:rPr>
        <w:t xml:space="preserve">rovenance des matériaux et </w:t>
      </w:r>
      <w:r>
        <w:rPr>
          <w:rFonts w:ascii="Arial" w:hAnsi="Arial" w:cs="Arial"/>
          <w:iCs/>
          <w:szCs w:val="20"/>
        </w:rPr>
        <w:t>l’</w:t>
      </w:r>
      <w:r w:rsidR="007400FC" w:rsidRPr="008912B2">
        <w:rPr>
          <w:rFonts w:ascii="Arial" w:hAnsi="Arial" w:cs="Arial"/>
          <w:iCs/>
          <w:szCs w:val="20"/>
        </w:rPr>
        <w:t xml:space="preserve">engagement </w:t>
      </w:r>
      <w:r>
        <w:rPr>
          <w:rFonts w:ascii="Arial" w:hAnsi="Arial" w:cs="Arial"/>
          <w:iCs/>
          <w:szCs w:val="20"/>
        </w:rPr>
        <w:t xml:space="preserve">de la société </w:t>
      </w:r>
      <w:r w:rsidR="007400FC" w:rsidRPr="008912B2">
        <w:rPr>
          <w:rFonts w:ascii="Arial" w:hAnsi="Arial" w:cs="Arial"/>
          <w:iCs/>
          <w:szCs w:val="20"/>
        </w:rPr>
        <w:t xml:space="preserve">en faveur </w:t>
      </w:r>
      <w:r>
        <w:rPr>
          <w:rFonts w:ascii="Arial" w:hAnsi="Arial" w:cs="Arial"/>
          <w:iCs/>
          <w:szCs w:val="20"/>
        </w:rPr>
        <w:t xml:space="preserve">de la </w:t>
      </w:r>
      <w:r w:rsidR="007400FC" w:rsidRPr="008912B2">
        <w:rPr>
          <w:rFonts w:ascii="Arial" w:hAnsi="Arial" w:cs="Arial"/>
          <w:iCs/>
          <w:szCs w:val="20"/>
        </w:rPr>
        <w:t xml:space="preserve">gestion durable </w:t>
      </w:r>
      <w:r>
        <w:rPr>
          <w:rFonts w:ascii="Arial" w:hAnsi="Arial" w:cs="Arial"/>
          <w:iCs/>
          <w:szCs w:val="20"/>
        </w:rPr>
        <w:t>dans le cadre du présent marché ;</w:t>
      </w:r>
    </w:p>
    <w:p w14:paraId="327132E9" w14:textId="5F1EA630" w:rsidR="007400FC" w:rsidRPr="008912B2" w:rsidRDefault="00B26B69" w:rsidP="008912B2">
      <w:pPr>
        <w:pStyle w:val="Paragraphedeliste"/>
        <w:numPr>
          <w:ilvl w:val="1"/>
          <w:numId w:val="8"/>
        </w:numPr>
        <w:spacing w:after="3" w:line="265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>–</w:t>
      </w:r>
      <w:r w:rsidR="008912B2">
        <w:rPr>
          <w:rFonts w:ascii="Arial" w:hAnsi="Arial" w:cs="Arial"/>
          <w:iCs/>
          <w:szCs w:val="20"/>
        </w:rPr>
        <w:t xml:space="preserve"> </w:t>
      </w:r>
      <w:r w:rsidR="00D86A60">
        <w:rPr>
          <w:rFonts w:ascii="Arial" w:hAnsi="Arial" w:cs="Arial"/>
          <w:iCs/>
          <w:szCs w:val="20"/>
        </w:rPr>
        <w:t>Prise en</w:t>
      </w:r>
      <w:r>
        <w:rPr>
          <w:rFonts w:ascii="Arial" w:hAnsi="Arial" w:cs="Arial"/>
          <w:iCs/>
          <w:szCs w:val="20"/>
        </w:rPr>
        <w:t xml:space="preserve"> considération </w:t>
      </w:r>
      <w:r w:rsidR="00D86A60">
        <w:rPr>
          <w:rFonts w:ascii="Arial" w:hAnsi="Arial" w:cs="Arial"/>
          <w:iCs/>
          <w:szCs w:val="20"/>
        </w:rPr>
        <w:t>du</w:t>
      </w:r>
      <w:r>
        <w:rPr>
          <w:rFonts w:ascii="Arial" w:hAnsi="Arial" w:cs="Arial"/>
          <w:iCs/>
          <w:szCs w:val="20"/>
        </w:rPr>
        <w:t xml:space="preserve"> travail</w:t>
      </w:r>
      <w:r w:rsidR="007400FC" w:rsidRPr="008912B2">
        <w:rPr>
          <w:rFonts w:ascii="Arial" w:hAnsi="Arial" w:cs="Arial"/>
          <w:iCs/>
          <w:szCs w:val="20"/>
        </w:rPr>
        <w:t xml:space="preserve"> en site occupé ainsi que les mesures mises en place pour limiter les nuisances (bruit, poussière, circulation) </w:t>
      </w:r>
    </w:p>
    <w:p w14:paraId="0BE33C1B" w14:textId="1895E294" w:rsidR="007400FC" w:rsidRDefault="007400FC">
      <w:pPr>
        <w:rPr>
          <w:iCs/>
          <w:color w:val="0070C0"/>
          <w:szCs w:val="20"/>
          <w:lang w:val="en-US"/>
        </w:rPr>
      </w:pPr>
    </w:p>
    <w:sectPr w:rsidR="007400FC" w:rsidSect="00231B13">
      <w:footerReference w:type="default" r:id="rId12"/>
      <w:footerReference w:type="first" r:id="rId13"/>
      <w:type w:val="continuous"/>
      <w:pgSz w:w="11920" w:h="16840"/>
      <w:pgMar w:top="1738" w:right="1412" w:bottom="932" w:left="1585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F8566" w14:textId="77777777" w:rsidR="00C45EA7" w:rsidRPr="008912B2" w:rsidRDefault="00C45EA7" w:rsidP="00DB3102">
      <w:pPr>
        <w:spacing w:after="0" w:line="240" w:lineRule="auto"/>
      </w:pPr>
      <w:r w:rsidRPr="008912B2">
        <w:separator/>
      </w:r>
    </w:p>
  </w:endnote>
  <w:endnote w:type="continuationSeparator" w:id="0">
    <w:p w14:paraId="16884F6D" w14:textId="77777777" w:rsidR="00C45EA7" w:rsidRPr="008912B2" w:rsidRDefault="00C45EA7" w:rsidP="00DB3102">
      <w:pPr>
        <w:spacing w:after="0" w:line="240" w:lineRule="auto"/>
      </w:pPr>
      <w:r w:rsidRPr="008912B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ndome ICG">
    <w:altName w:val="Arial"/>
    <w:charset w:val="4D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6047304"/>
      <w:docPartObj>
        <w:docPartGallery w:val="Page Numbers (Top of Page)"/>
        <w:docPartUnique/>
      </w:docPartObj>
    </w:sdtPr>
    <w:sdtEndPr/>
    <w:sdtContent>
      <w:p w14:paraId="2E6CBABB" w14:textId="3565860E" w:rsidR="00231B13" w:rsidRPr="008912B2" w:rsidRDefault="00231B13" w:rsidP="00231B13">
        <w:pPr>
          <w:pStyle w:val="Pieddepage"/>
        </w:pPr>
        <w:r w:rsidRPr="008912B2">
          <w:rPr>
            <w:lang w:eastAsia="en-US"/>
          </w:rPr>
          <w:t xml:space="preserve">Cadre de réponse technique                                                                                                      Page </w:t>
        </w:r>
        <w:r w:rsidRPr="008912B2">
          <w:rPr>
            <w:b/>
            <w:bCs/>
            <w:lang w:eastAsia="en-US"/>
          </w:rPr>
          <w:fldChar w:fldCharType="begin"/>
        </w:r>
        <w:r w:rsidRPr="008912B2">
          <w:rPr>
            <w:b/>
            <w:bCs/>
            <w:lang w:eastAsia="en-US"/>
          </w:rPr>
          <w:instrText>PAGE  \* Arabic  \* MERGEFORMAT</w:instrText>
        </w:r>
        <w:r w:rsidRPr="008912B2">
          <w:rPr>
            <w:b/>
            <w:bCs/>
            <w:lang w:eastAsia="en-US"/>
          </w:rPr>
          <w:fldChar w:fldCharType="separate"/>
        </w:r>
        <w:r w:rsidR="009A70D3" w:rsidRPr="008912B2">
          <w:rPr>
            <w:b/>
            <w:bCs/>
            <w:lang w:eastAsia="en-US"/>
          </w:rPr>
          <w:t>10</w:t>
        </w:r>
        <w:r w:rsidRPr="008912B2">
          <w:rPr>
            <w:b/>
            <w:bCs/>
            <w:lang w:eastAsia="en-US"/>
          </w:rPr>
          <w:fldChar w:fldCharType="end"/>
        </w:r>
        <w:r w:rsidRPr="008912B2">
          <w:rPr>
            <w:lang w:eastAsia="en-US"/>
          </w:rPr>
          <w:t xml:space="preserve"> sur </w:t>
        </w:r>
        <w:r w:rsidRPr="008912B2">
          <w:rPr>
            <w:b/>
            <w:bCs/>
            <w:lang w:eastAsia="en-US"/>
          </w:rPr>
          <w:fldChar w:fldCharType="begin"/>
        </w:r>
        <w:r w:rsidRPr="008912B2">
          <w:rPr>
            <w:b/>
            <w:bCs/>
            <w:lang w:eastAsia="en-US"/>
          </w:rPr>
          <w:instrText>NUMPAGES  \* Arabic  \* MERGEFORMAT</w:instrText>
        </w:r>
        <w:r w:rsidRPr="008912B2">
          <w:rPr>
            <w:b/>
            <w:bCs/>
            <w:lang w:eastAsia="en-US"/>
          </w:rPr>
          <w:fldChar w:fldCharType="separate"/>
        </w:r>
        <w:r w:rsidR="009A70D3" w:rsidRPr="008912B2">
          <w:rPr>
            <w:b/>
            <w:bCs/>
            <w:lang w:eastAsia="en-US"/>
          </w:rPr>
          <w:t>10</w:t>
        </w:r>
        <w:r w:rsidRPr="008912B2">
          <w:rPr>
            <w:b/>
            <w:bCs/>
            <w:lang w:eastAsia="en-US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G Times" w:eastAsia="Times New Roman" w:hAnsi="CG Times" w:cs="Times New Roman"/>
        <w:color w:val="auto"/>
        <w:sz w:val="24"/>
        <w:szCs w:val="24"/>
      </w:rPr>
      <w:id w:val="-1769616900"/>
      <w:docPartObj>
        <w:docPartGallery w:val="Page Numbers (Top of Page)"/>
        <w:docPartUnique/>
      </w:docPartObj>
    </w:sdtPr>
    <w:sdtEndPr/>
    <w:sdtContent>
      <w:p w14:paraId="2804D979" w14:textId="77777777" w:rsidR="00231B13" w:rsidRPr="008912B2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cs="Times New Roman"/>
            <w:color w:val="auto"/>
            <w:lang w:eastAsia="en-US"/>
          </w:rPr>
        </w:pPr>
        <w:r w:rsidRPr="008912B2">
          <w:rPr>
            <w:rFonts w:cs="Times New Roman"/>
            <w:color w:val="auto"/>
            <w:lang w:eastAsia="en-US"/>
          </w:rPr>
          <w:t>Marché subséquent à l’accord-cadre instrumentation scientifique n°</w:t>
        </w:r>
      </w:p>
      <w:p w14:paraId="5D17CB8D" w14:textId="424D4A38" w:rsidR="00231B13" w:rsidRPr="008912B2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ascii="CG Times" w:eastAsia="Times New Roman" w:hAnsi="CG Times" w:cs="Times New Roman"/>
            <w:color w:val="auto"/>
            <w:sz w:val="24"/>
            <w:szCs w:val="24"/>
          </w:rPr>
        </w:pPr>
        <w:r w:rsidRPr="008912B2">
          <w:rPr>
            <w:rFonts w:cs="Times New Roman"/>
            <w:color w:val="auto"/>
            <w:lang w:eastAsia="en-US"/>
          </w:rPr>
          <w:t xml:space="preserve">Annexe au CST - Cahier des clauses techniques particulières                                                                   Page </w:t>
        </w:r>
        <w:r w:rsidRPr="008912B2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8912B2">
          <w:rPr>
            <w:rFonts w:cs="Times New Roman"/>
            <w:b/>
            <w:bCs/>
            <w:color w:val="auto"/>
            <w:lang w:eastAsia="en-US"/>
          </w:rPr>
          <w:instrText>PAGE  \* Arabic  \* MERGEFORMAT</w:instrText>
        </w:r>
        <w:r w:rsidRPr="008912B2">
          <w:rPr>
            <w:rFonts w:cs="Times New Roman"/>
            <w:b/>
            <w:bCs/>
            <w:color w:val="auto"/>
            <w:lang w:eastAsia="en-US"/>
          </w:rPr>
          <w:fldChar w:fldCharType="separate"/>
        </w:r>
        <w:r w:rsidRPr="008912B2">
          <w:rPr>
            <w:rFonts w:cs="Times New Roman"/>
            <w:b/>
            <w:bCs/>
            <w:color w:val="auto"/>
            <w:lang w:eastAsia="en-US"/>
          </w:rPr>
          <w:t>1</w:t>
        </w:r>
        <w:r w:rsidRPr="008912B2">
          <w:rPr>
            <w:rFonts w:cs="Times New Roman"/>
            <w:b/>
            <w:bCs/>
            <w:color w:val="auto"/>
            <w:lang w:eastAsia="en-US"/>
          </w:rPr>
          <w:fldChar w:fldCharType="end"/>
        </w:r>
        <w:r w:rsidRPr="008912B2">
          <w:rPr>
            <w:rFonts w:cs="Times New Roman"/>
            <w:color w:val="auto"/>
            <w:lang w:eastAsia="en-US"/>
          </w:rPr>
          <w:t xml:space="preserve"> sur </w:t>
        </w:r>
        <w:r w:rsidRPr="008912B2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8912B2">
          <w:rPr>
            <w:rFonts w:cs="Times New Roman"/>
            <w:b/>
            <w:bCs/>
            <w:color w:val="auto"/>
            <w:lang w:eastAsia="en-US"/>
          </w:rPr>
          <w:instrText>NUMPAGES  \* Arabic  \* MERGEFORMAT</w:instrText>
        </w:r>
        <w:r w:rsidRPr="008912B2">
          <w:rPr>
            <w:rFonts w:cs="Times New Roman"/>
            <w:b/>
            <w:bCs/>
            <w:color w:val="auto"/>
            <w:lang w:eastAsia="en-US"/>
          </w:rPr>
          <w:fldChar w:fldCharType="separate"/>
        </w:r>
        <w:r w:rsidRPr="008912B2">
          <w:rPr>
            <w:rFonts w:cs="Times New Roman"/>
            <w:b/>
            <w:bCs/>
            <w:color w:val="auto"/>
            <w:lang w:eastAsia="en-US"/>
          </w:rPr>
          <w:t>11</w:t>
        </w:r>
        <w:r w:rsidRPr="008912B2">
          <w:rPr>
            <w:rFonts w:cs="Times New Roman"/>
            <w:b/>
            <w:bCs/>
            <w:color w:val="auto"/>
            <w:lang w:eastAsia="en-US"/>
          </w:rPr>
          <w:fldChar w:fldCharType="end"/>
        </w:r>
      </w:p>
    </w:sdtContent>
  </w:sdt>
  <w:p w14:paraId="032EAE33" w14:textId="77777777" w:rsidR="00231B13" w:rsidRPr="008912B2" w:rsidRDefault="00231B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506C6" w14:textId="77777777" w:rsidR="00C45EA7" w:rsidRPr="008912B2" w:rsidRDefault="00C45EA7" w:rsidP="00DB3102">
      <w:pPr>
        <w:spacing w:after="0" w:line="240" w:lineRule="auto"/>
      </w:pPr>
      <w:r w:rsidRPr="008912B2">
        <w:separator/>
      </w:r>
    </w:p>
  </w:footnote>
  <w:footnote w:type="continuationSeparator" w:id="0">
    <w:p w14:paraId="0854E311" w14:textId="77777777" w:rsidR="00C45EA7" w:rsidRPr="008912B2" w:rsidRDefault="00C45EA7" w:rsidP="00DB3102">
      <w:pPr>
        <w:spacing w:after="0" w:line="240" w:lineRule="auto"/>
      </w:pPr>
      <w:r w:rsidRPr="008912B2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201D9"/>
    <w:multiLevelType w:val="hybridMultilevel"/>
    <w:tmpl w:val="133685B8"/>
    <w:lvl w:ilvl="0" w:tplc="684231C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4211C"/>
    <w:multiLevelType w:val="hybridMultilevel"/>
    <w:tmpl w:val="DC6A69AA"/>
    <w:lvl w:ilvl="0" w:tplc="684231C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23289"/>
    <w:multiLevelType w:val="multilevel"/>
    <w:tmpl w:val="CD2A5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57D66E2"/>
    <w:multiLevelType w:val="hybridMultilevel"/>
    <w:tmpl w:val="CD1E8B78"/>
    <w:lvl w:ilvl="0" w:tplc="6CE290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15949"/>
    <w:multiLevelType w:val="hybridMultilevel"/>
    <w:tmpl w:val="AB9022CE"/>
    <w:lvl w:ilvl="0" w:tplc="2E84CEBC">
      <w:start w:val="5"/>
      <w:numFmt w:val="bullet"/>
      <w:lvlText w:val="-"/>
      <w:lvlJc w:val="left"/>
      <w:pPr>
        <w:ind w:left="37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5" w15:restartNumberingAfterBreak="0">
    <w:nsid w:val="35AB168D"/>
    <w:multiLevelType w:val="multilevel"/>
    <w:tmpl w:val="CD2A5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A674C9E"/>
    <w:multiLevelType w:val="hybridMultilevel"/>
    <w:tmpl w:val="A274C3B6"/>
    <w:lvl w:ilvl="0" w:tplc="E49A6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960FF"/>
    <w:multiLevelType w:val="multilevel"/>
    <w:tmpl w:val="191C9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4622FF5"/>
    <w:multiLevelType w:val="hybridMultilevel"/>
    <w:tmpl w:val="102016C4"/>
    <w:lvl w:ilvl="0" w:tplc="684231C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4B30D1"/>
    <w:multiLevelType w:val="hybridMultilevel"/>
    <w:tmpl w:val="3D40213A"/>
    <w:lvl w:ilvl="0" w:tplc="D6A03812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B15041"/>
    <w:multiLevelType w:val="multilevel"/>
    <w:tmpl w:val="CD2A5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4D37B9F"/>
    <w:multiLevelType w:val="hybridMultilevel"/>
    <w:tmpl w:val="8AA66E04"/>
    <w:lvl w:ilvl="0" w:tplc="9D2C1EF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A6D64"/>
    <w:multiLevelType w:val="multilevel"/>
    <w:tmpl w:val="CD2A5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D1D6B7E"/>
    <w:multiLevelType w:val="hybridMultilevel"/>
    <w:tmpl w:val="AA5AD116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5442F6"/>
    <w:multiLevelType w:val="hybridMultilevel"/>
    <w:tmpl w:val="1990138E"/>
    <w:lvl w:ilvl="0" w:tplc="7768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205BC"/>
    <w:multiLevelType w:val="hybridMultilevel"/>
    <w:tmpl w:val="72162AD4"/>
    <w:lvl w:ilvl="0" w:tplc="684231C2">
      <w:start w:val="7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color w:val="000000"/>
        <w:sz w:val="20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45811243">
    <w:abstractNumId w:val="4"/>
  </w:num>
  <w:num w:numId="2" w16cid:durableId="1493524244">
    <w:abstractNumId w:val="3"/>
  </w:num>
  <w:num w:numId="3" w16cid:durableId="988555019">
    <w:abstractNumId w:val="6"/>
  </w:num>
  <w:num w:numId="4" w16cid:durableId="700714603">
    <w:abstractNumId w:val="13"/>
  </w:num>
  <w:num w:numId="5" w16cid:durableId="1506897051">
    <w:abstractNumId w:val="14"/>
  </w:num>
  <w:num w:numId="6" w16cid:durableId="915895937">
    <w:abstractNumId w:val="9"/>
  </w:num>
  <w:num w:numId="7" w16cid:durableId="758870826">
    <w:abstractNumId w:val="11"/>
  </w:num>
  <w:num w:numId="8" w16cid:durableId="2029599331">
    <w:abstractNumId w:val="7"/>
  </w:num>
  <w:num w:numId="9" w16cid:durableId="86275855">
    <w:abstractNumId w:val="5"/>
  </w:num>
  <w:num w:numId="10" w16cid:durableId="1519586181">
    <w:abstractNumId w:val="1"/>
  </w:num>
  <w:num w:numId="11" w16cid:durableId="756098862">
    <w:abstractNumId w:val="8"/>
  </w:num>
  <w:num w:numId="12" w16cid:durableId="997462626">
    <w:abstractNumId w:val="15"/>
  </w:num>
  <w:num w:numId="13" w16cid:durableId="1603951226">
    <w:abstractNumId w:val="0"/>
  </w:num>
  <w:num w:numId="14" w16cid:durableId="1567835496">
    <w:abstractNumId w:val="2"/>
  </w:num>
  <w:num w:numId="15" w16cid:durableId="1707220500">
    <w:abstractNumId w:val="0"/>
  </w:num>
  <w:num w:numId="16" w16cid:durableId="1481269781">
    <w:abstractNumId w:val="12"/>
  </w:num>
  <w:num w:numId="17" w16cid:durableId="6306002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0DD"/>
    <w:rsid w:val="00022327"/>
    <w:rsid w:val="00031BBE"/>
    <w:rsid w:val="00036FCD"/>
    <w:rsid w:val="000608C1"/>
    <w:rsid w:val="00070078"/>
    <w:rsid w:val="00073D0F"/>
    <w:rsid w:val="00086B0C"/>
    <w:rsid w:val="000C5414"/>
    <w:rsid w:val="000E6FE1"/>
    <w:rsid w:val="000F3B5C"/>
    <w:rsid w:val="0010232E"/>
    <w:rsid w:val="0011463B"/>
    <w:rsid w:val="001259A7"/>
    <w:rsid w:val="00144A5A"/>
    <w:rsid w:val="00147F48"/>
    <w:rsid w:val="00152DD1"/>
    <w:rsid w:val="001B5DDE"/>
    <w:rsid w:val="001D1491"/>
    <w:rsid w:val="00207CCB"/>
    <w:rsid w:val="00215FEF"/>
    <w:rsid w:val="00231B13"/>
    <w:rsid w:val="00272D87"/>
    <w:rsid w:val="00284186"/>
    <w:rsid w:val="002B639E"/>
    <w:rsid w:val="002C56F0"/>
    <w:rsid w:val="002E06BB"/>
    <w:rsid w:val="002E1934"/>
    <w:rsid w:val="002E376D"/>
    <w:rsid w:val="002E76FC"/>
    <w:rsid w:val="00305B33"/>
    <w:rsid w:val="0032097A"/>
    <w:rsid w:val="0033358C"/>
    <w:rsid w:val="003539D9"/>
    <w:rsid w:val="003B5169"/>
    <w:rsid w:val="003D493E"/>
    <w:rsid w:val="00407F1E"/>
    <w:rsid w:val="004218E4"/>
    <w:rsid w:val="00424D85"/>
    <w:rsid w:val="00446CC0"/>
    <w:rsid w:val="00460687"/>
    <w:rsid w:val="004619A9"/>
    <w:rsid w:val="004A0A0F"/>
    <w:rsid w:val="004A14DD"/>
    <w:rsid w:val="004B511D"/>
    <w:rsid w:val="004C780F"/>
    <w:rsid w:val="004E02B1"/>
    <w:rsid w:val="00530AB6"/>
    <w:rsid w:val="00543787"/>
    <w:rsid w:val="00591050"/>
    <w:rsid w:val="00597C54"/>
    <w:rsid w:val="005A6F47"/>
    <w:rsid w:val="005D32A9"/>
    <w:rsid w:val="00602A7E"/>
    <w:rsid w:val="00613BF9"/>
    <w:rsid w:val="0063316C"/>
    <w:rsid w:val="00653DC5"/>
    <w:rsid w:val="0065643D"/>
    <w:rsid w:val="006B2B21"/>
    <w:rsid w:val="006C25E0"/>
    <w:rsid w:val="006F45CF"/>
    <w:rsid w:val="00714F8D"/>
    <w:rsid w:val="00736B79"/>
    <w:rsid w:val="007400FC"/>
    <w:rsid w:val="00740D3B"/>
    <w:rsid w:val="007547F1"/>
    <w:rsid w:val="00782785"/>
    <w:rsid w:val="00790E6F"/>
    <w:rsid w:val="007B1BEE"/>
    <w:rsid w:val="00810DC9"/>
    <w:rsid w:val="0081544D"/>
    <w:rsid w:val="00821D75"/>
    <w:rsid w:val="00840AD2"/>
    <w:rsid w:val="00881A56"/>
    <w:rsid w:val="00887158"/>
    <w:rsid w:val="008903A4"/>
    <w:rsid w:val="00890E12"/>
    <w:rsid w:val="008912B2"/>
    <w:rsid w:val="008B7061"/>
    <w:rsid w:val="008B7458"/>
    <w:rsid w:val="008D5B10"/>
    <w:rsid w:val="008E4B6A"/>
    <w:rsid w:val="008F5C31"/>
    <w:rsid w:val="00902730"/>
    <w:rsid w:val="00906309"/>
    <w:rsid w:val="00921989"/>
    <w:rsid w:val="009637E0"/>
    <w:rsid w:val="009A70D3"/>
    <w:rsid w:val="009E26E7"/>
    <w:rsid w:val="009E4CA7"/>
    <w:rsid w:val="00A010DD"/>
    <w:rsid w:val="00A07748"/>
    <w:rsid w:val="00A22A18"/>
    <w:rsid w:val="00A30B35"/>
    <w:rsid w:val="00A34E2A"/>
    <w:rsid w:val="00A47AC3"/>
    <w:rsid w:val="00A75E7D"/>
    <w:rsid w:val="00A87ED7"/>
    <w:rsid w:val="00AA34CC"/>
    <w:rsid w:val="00AC70FE"/>
    <w:rsid w:val="00B20253"/>
    <w:rsid w:val="00B26B69"/>
    <w:rsid w:val="00B46A79"/>
    <w:rsid w:val="00B651CB"/>
    <w:rsid w:val="00BA575F"/>
    <w:rsid w:val="00BD2A23"/>
    <w:rsid w:val="00BD38D5"/>
    <w:rsid w:val="00BD6ABA"/>
    <w:rsid w:val="00BE458F"/>
    <w:rsid w:val="00C24F18"/>
    <w:rsid w:val="00C45EA7"/>
    <w:rsid w:val="00C52F0C"/>
    <w:rsid w:val="00C96D5C"/>
    <w:rsid w:val="00C97831"/>
    <w:rsid w:val="00CA68B3"/>
    <w:rsid w:val="00CB5966"/>
    <w:rsid w:val="00CE2FB7"/>
    <w:rsid w:val="00D02333"/>
    <w:rsid w:val="00D21901"/>
    <w:rsid w:val="00D64597"/>
    <w:rsid w:val="00D747CC"/>
    <w:rsid w:val="00D86A60"/>
    <w:rsid w:val="00D96998"/>
    <w:rsid w:val="00DB3102"/>
    <w:rsid w:val="00E252C8"/>
    <w:rsid w:val="00E41CA2"/>
    <w:rsid w:val="00E47130"/>
    <w:rsid w:val="00E65052"/>
    <w:rsid w:val="00E7392C"/>
    <w:rsid w:val="00E97A76"/>
    <w:rsid w:val="00EA1A9C"/>
    <w:rsid w:val="00EC753A"/>
    <w:rsid w:val="00F01327"/>
    <w:rsid w:val="00F07C5C"/>
    <w:rsid w:val="00F1276C"/>
    <w:rsid w:val="00F43513"/>
    <w:rsid w:val="00F86091"/>
    <w:rsid w:val="00FA4E18"/>
    <w:rsid w:val="00FC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4C727E"/>
  <w15:docId w15:val="{AA721529-9608-4287-91A0-BAE46724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8D5"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367"/>
      <w:ind w:right="29"/>
      <w:jc w:val="center"/>
      <w:outlineLvl w:val="0"/>
    </w:pPr>
    <w:rPr>
      <w:rFonts w:ascii="Calibri" w:eastAsia="Calibri" w:hAnsi="Calibri" w:cs="Calibri"/>
      <w:color w:val="000000"/>
      <w:sz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22A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libri" w:eastAsia="Calibri" w:hAnsi="Calibri" w:cs="Calibri"/>
      <w:color w:val="000000"/>
      <w:sz w:val="36"/>
    </w:rPr>
  </w:style>
  <w:style w:type="paragraph" w:styleId="En-tte">
    <w:name w:val="header"/>
    <w:basedOn w:val="Normal"/>
    <w:link w:val="En-tt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102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102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link w:val="ParagraphedelisteCar"/>
    <w:uiPriority w:val="34"/>
    <w:qFormat/>
    <w:rsid w:val="006B2B21"/>
    <w:pPr>
      <w:ind w:left="720"/>
      <w:contextualSpacing/>
    </w:pPr>
  </w:style>
  <w:style w:type="paragraph" w:styleId="NormalWeb">
    <w:name w:val="Normal (Web)"/>
    <w:basedOn w:val="Normal"/>
    <w:rsid w:val="00284186"/>
    <w:pPr>
      <w:widowControl w:val="0"/>
      <w:shd w:val="clear" w:color="auto" w:fill="FFFFFF"/>
      <w:suppressAutoHyphens/>
      <w:spacing w:before="75" w:after="75" w:line="240" w:lineRule="auto"/>
    </w:pPr>
    <w:rPr>
      <w:rFonts w:ascii="Arial" w:eastAsia="Times New Roman" w:hAnsi="Arial" w:cs="Arial"/>
      <w:color w:val="1D384F"/>
      <w:sz w:val="18"/>
      <w:szCs w:val="18"/>
      <w:lang w:eastAsia="ar-SA"/>
    </w:rPr>
  </w:style>
  <w:style w:type="character" w:customStyle="1" w:styleId="ParagraphedelisteCar">
    <w:name w:val="Paragraphe de liste Car"/>
    <w:link w:val="Paragraphedeliste"/>
    <w:rsid w:val="00284186"/>
    <w:rPr>
      <w:rFonts w:ascii="Calibri" w:eastAsia="Calibri" w:hAnsi="Calibri" w:cs="Calibri"/>
      <w:color w:val="000000"/>
    </w:rPr>
  </w:style>
  <w:style w:type="character" w:customStyle="1" w:styleId="Titre2Car">
    <w:name w:val="Titre 2 Car"/>
    <w:basedOn w:val="Policepardfaut"/>
    <w:link w:val="Titre2"/>
    <w:uiPriority w:val="9"/>
    <w:rsid w:val="00A22A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1463B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11463B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11463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7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80F"/>
    <w:rPr>
      <w:rFonts w:ascii="Segoe UI" w:eastAsia="Calibri" w:hAnsi="Segoe UI" w:cs="Segoe UI"/>
      <w:color w:val="000000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A14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14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A14DD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14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14DD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rsid w:val="00BD3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6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53772E63E010488FF1D2701075CB1B" ma:contentTypeVersion="2" ma:contentTypeDescription="Crée un document." ma:contentTypeScope="" ma:versionID="3dc7106d5b9e94c7962a947f5ea00b95">
  <xsd:schema xmlns:xsd="http://www.w3.org/2001/XMLSchema" xmlns:xs="http://www.w3.org/2001/XMLSchema" xmlns:p="http://schemas.microsoft.com/office/2006/metadata/properties" xmlns:ns2="b6572f15-2f73-4dc1-8447-18db9efee997" targetNamespace="http://schemas.microsoft.com/office/2006/metadata/properties" ma:root="true" ma:fieldsID="284e6406cc4c606fb709d1ed1d6721b0" ns2:_="">
    <xsd:import namespace="b6572f15-2f73-4dc1-8447-18db9efee9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72f15-2f73-4dc1-8447-18db9efee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CE2C4-A44F-4F23-9ED0-6AA4D4C60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72f15-2f73-4dc1-8447-18db9efee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82EFC4-F178-45C2-9FAA-13E491567B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B3111A-E66B-4CC1-BFD4-0A7DF006F0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04251A-241F-420D-B170-457469BBF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412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INSERM DAF SA</dc:creator>
  <cp:keywords/>
  <cp:lastModifiedBy>Evelina TESSARO</cp:lastModifiedBy>
  <cp:revision>15</cp:revision>
  <cp:lastPrinted>2022-08-12T05:08:00Z</cp:lastPrinted>
  <dcterms:created xsi:type="dcterms:W3CDTF">2025-05-21T16:12:00Z</dcterms:created>
  <dcterms:modified xsi:type="dcterms:W3CDTF">2025-06-11T12:00:00Z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0x0101001953772E63E010488FF1D2701075CB1B</vt:lpwstr>
  </property>
</Properties>
</file>