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:rsidTr="00F80947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  <w:tr w:rsidR="007411D9" w:rsidRPr="00700DA9" w:rsidTr="00F80947">
        <w:tc>
          <w:tcPr>
            <w:tcW w:w="10277" w:type="dxa"/>
            <w:gridSpan w:val="2"/>
            <w:shd w:val="clear" w:color="auto" w:fill="auto"/>
          </w:tcPr>
          <w:p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161415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0343A6">
        <w:rPr>
          <w:rFonts w:ascii="Calibri" w:hAnsi="Calibri" w:cs="Calibri"/>
          <w:sz w:val="26"/>
          <w:szCs w:val="26"/>
        </w:rPr>
        <w:t>25 08</w:t>
      </w:r>
      <w:r w:rsidRPr="00700DA9">
        <w:rPr>
          <w:rFonts w:ascii="Calibri" w:hAnsi="Calibri" w:cs="Calibri"/>
          <w:sz w:val="26"/>
          <w:szCs w:val="26"/>
        </w:rPr>
        <w:t xml:space="preserve"> 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Default="005E573D" w:rsidP="00FC2420">
      <w:pPr>
        <w:jc w:val="both"/>
        <w:rPr>
          <w:rFonts w:ascii="Calibri" w:hAnsi="Calibri" w:cs="Calibri"/>
          <w:bCs/>
          <w:sz w:val="26"/>
          <w:szCs w:val="26"/>
        </w:rPr>
      </w:pPr>
      <w:r w:rsidRPr="005E573D">
        <w:rPr>
          <w:rFonts w:ascii="Calibri" w:hAnsi="Calibri" w:cs="Calibri"/>
          <w:bCs/>
          <w:sz w:val="26"/>
          <w:szCs w:val="26"/>
        </w:rPr>
        <w:t xml:space="preserve">Acquisition de selles d’instruction, de dressage et de saut d’obstacles, de pièces détachées associées et </w:t>
      </w:r>
      <w:r w:rsidR="00F80947">
        <w:rPr>
          <w:rFonts w:ascii="Calibri" w:hAnsi="Calibri" w:cs="Calibri"/>
          <w:bCs/>
          <w:sz w:val="26"/>
          <w:szCs w:val="26"/>
        </w:rPr>
        <w:t xml:space="preserve">réalisation de </w:t>
      </w:r>
      <w:r w:rsidRPr="005E573D">
        <w:rPr>
          <w:rFonts w:ascii="Calibri" w:hAnsi="Calibri" w:cs="Calibri"/>
          <w:bCs/>
          <w:sz w:val="26"/>
          <w:szCs w:val="26"/>
        </w:rPr>
        <w:t>prestations de maintenance des selles au profit de l’EME de Fontainebleau et des sections équestres militaires.</w:t>
      </w:r>
    </w:p>
    <w:p w:rsidR="005E573D" w:rsidRPr="00700DA9" w:rsidRDefault="005E573D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n°……. 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ou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les lots n°…………… de la procédure de passation du marché </w:t>
      </w:r>
      <w:r w:rsidR="00EB4DEA" w:rsidRPr="00700DA9">
        <w:rPr>
          <w:rFonts w:ascii="Calibri" w:hAnsi="Calibri" w:cs="Calibri"/>
          <w:sz w:val="26"/>
          <w:szCs w:val="26"/>
        </w:rPr>
        <w:t>public</w:t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</w:p>
    <w:p w:rsidR="000343A6" w:rsidRDefault="000343A6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</w:p>
    <w:p w:rsidR="00B44D07" w:rsidRDefault="00B44D07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Default="00FC2420">
      <w:pPr>
        <w:rPr>
          <w:rFonts w:ascii="Calibri" w:hAnsi="Calibri" w:cs="Calibri"/>
          <w:sz w:val="26"/>
          <w:szCs w:val="26"/>
        </w:rPr>
      </w:pPr>
    </w:p>
    <w:p w:rsidR="00FC2420" w:rsidRPr="00700DA9" w:rsidRDefault="00FC2420">
      <w:pPr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7411D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343A6" w:rsidRPr="00700DA9" w:rsidRDefault="000343A6">
      <w:pPr>
        <w:jc w:val="both"/>
        <w:rPr>
          <w:rFonts w:ascii="Calibri" w:hAnsi="Calibri" w:cs="Calibri"/>
          <w:sz w:val="26"/>
          <w:szCs w:val="26"/>
        </w:rPr>
      </w:pP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lastRenderedPageBreak/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:rsidR="00AE730C" w:rsidRPr="00700DA9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FC2420">
        <w:rPr>
          <w:rFonts w:ascii="Calibri" w:hAnsi="Calibri" w:cs="Calibri"/>
          <w:sz w:val="26"/>
          <w:szCs w:val="26"/>
        </w:rPr>
      </w:r>
      <w:r w:rsidR="00FC2420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0343A6" w:rsidRDefault="000343A6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0343A6" w:rsidRPr="00700DA9" w:rsidRDefault="000343A6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B32" w:rsidRDefault="00890B32">
      <w:r>
        <w:separator/>
      </w:r>
    </w:p>
  </w:endnote>
  <w:endnote w:type="continuationSeparator" w:id="0">
    <w:p w:rsidR="00890B32" w:rsidRDefault="0089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DD0F1E" w:rsidP="000343A6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F80947">
            <w:rPr>
              <w:rFonts w:ascii="Marianne" w:hAnsi="Marianne" w:cs="Arial"/>
              <w:b/>
              <w:i/>
              <w:iCs/>
            </w:rPr>
            <w:t xml:space="preserve"> </w:t>
          </w:r>
          <w:r w:rsidR="000343A6">
            <w:rPr>
              <w:rFonts w:ascii="Marianne" w:hAnsi="Marianne" w:cs="Arial"/>
              <w:b/>
              <w:i/>
              <w:iCs/>
            </w:rPr>
            <w:t>2024_001939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FC2420">
            <w:rPr>
              <w:rFonts w:ascii="Marianne" w:hAnsi="Marianne" w:cs="Arial"/>
              <w:b/>
              <w:noProof/>
            </w:rPr>
            <w:t>5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FC2420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B32" w:rsidRDefault="00890B32">
      <w:r>
        <w:separator/>
      </w:r>
    </w:p>
  </w:footnote>
  <w:footnote w:type="continuationSeparator" w:id="0">
    <w:p w:rsidR="00890B32" w:rsidRDefault="0089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343A6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0E6A2F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1B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5E573D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B32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0FEA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0947"/>
    <w:rsid w:val="00F82AC6"/>
    <w:rsid w:val="00F83BE0"/>
    <w:rsid w:val="00F958E3"/>
    <w:rsid w:val="00FA01A3"/>
    <w:rsid w:val="00FB2458"/>
    <w:rsid w:val="00FB74D3"/>
    <w:rsid w:val="00FC2420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C88690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13177-C11D-4E80-B18A-373E6204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5</Pages>
  <Words>1231</Words>
  <Characters>6772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        </vt:lpstr>
      <vt:lpstr/>
      <vt:lpstr>Ministère des Armées</vt:lpstr>
      <vt:lpstr>Service du commissariat des armées (SCA)</vt:lpstr>
      <vt:lpstr>    Plate-forme commissariat Paris</vt:lpstr>
      <vt:lpstr>        Base des Loges – 8, avenue du Président Kennedy – BP 40202</vt:lpstr>
      <vt:lpstr>        78102 Saint-Germain-en-Laye cedex</vt:lpstr>
      <vt:lpstr>        Téléphone : 01 39 21 25 08 - Télécopie : 01 39 21 26 20</vt:lpstr>
      <vt:lpstr>        Courriel : pfc-paris-bap.ach.fct@intradef.gouv.fr </vt:lpstr>
      <vt:lpstr/>
      <vt:lpstr>La candidature est présentée :</vt:lpstr>
      <vt:lpstr/>
      <vt:lpstr>pour le marché public (en cas de non allotissement) ;</vt:lpstr>
    </vt:vector>
  </TitlesOfParts>
  <Company>MINEFI</Company>
  <LinksUpToDate>false</LinksUpToDate>
  <CharactersWithSpaces>7988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LARGANGE Anne Laure Apprenti</cp:lastModifiedBy>
  <cp:revision>3</cp:revision>
  <cp:lastPrinted>2020-12-04T13:30:00Z</cp:lastPrinted>
  <dcterms:created xsi:type="dcterms:W3CDTF">2025-08-06T10:18:00Z</dcterms:created>
  <dcterms:modified xsi:type="dcterms:W3CDTF">2025-08-06T14:01:00Z</dcterms:modified>
</cp:coreProperties>
</file>