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18ED6789"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564F5C5B" w:rsidR="00D57C8E" w:rsidRPr="00467AC1" w:rsidRDefault="00D57C8E" w:rsidP="00480913">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AA4802">
              <w:rPr>
                <w:rFonts w:ascii="Arial" w:hAnsi="Arial" w:cs="Arial"/>
                <w:b/>
                <w:sz w:val="24"/>
                <w:lang w:val="en-US"/>
              </w:rPr>
              <w:t>S25B00394</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1168855F" w:rsidR="00D57C8E" w:rsidRPr="00EE2373" w:rsidRDefault="00D57C8E" w:rsidP="007B45FD">
            <w:pPr>
              <w:spacing w:before="60" w:after="60"/>
              <w:rPr>
                <w:rFonts w:ascii="Arial" w:hAnsi="Arial" w:cs="Arial"/>
                <w:b/>
              </w:rPr>
            </w:pPr>
            <w:r w:rsidRPr="00EE2373">
              <w:rPr>
                <w:rFonts w:ascii="Arial" w:hAnsi="Arial" w:cs="Arial"/>
                <w:b/>
              </w:rPr>
              <w:t>Date de lancement de la procédure :</w:t>
            </w:r>
            <w:r w:rsidR="00AA4802">
              <w:rPr>
                <w:rFonts w:ascii="Arial" w:hAnsi="Arial" w:cs="Arial"/>
                <w:b/>
              </w:rPr>
              <w:t xml:space="preserve"> </w:t>
            </w:r>
            <w:r w:rsidR="004F2198">
              <w:rPr>
                <w:rFonts w:ascii="Arial" w:hAnsi="Arial" w:cs="Arial"/>
                <w:b/>
              </w:rPr>
              <w:t>11/06/2025</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7DC2D643" w:rsidR="00D57C8E" w:rsidRPr="00EE2373" w:rsidRDefault="00D57C8E" w:rsidP="00AA4802">
            <w:pPr>
              <w:spacing w:before="60" w:after="60"/>
              <w:ind w:left="705" w:hanging="705"/>
              <w:rPr>
                <w:rFonts w:ascii="Arial" w:hAnsi="Arial" w:cs="Arial"/>
                <w:b/>
              </w:rPr>
            </w:pPr>
            <w:r w:rsidRPr="00EE2373">
              <w:rPr>
                <w:rFonts w:ascii="Arial" w:hAnsi="Arial" w:cs="Arial"/>
                <w:b/>
              </w:rPr>
              <w:t>Objet</w:t>
            </w:r>
            <w:r w:rsidR="00BB4A3A">
              <w:rPr>
                <w:rFonts w:ascii="Arial" w:hAnsi="Arial" w:cs="Arial"/>
                <w:b/>
              </w:rPr>
              <w:t> :</w:t>
            </w:r>
            <w:r w:rsidRPr="00EE2373">
              <w:rPr>
                <w:rFonts w:ascii="Arial" w:hAnsi="Arial" w:cs="Arial"/>
                <w:b/>
              </w:rPr>
              <w:t xml:space="preserve"> </w:t>
            </w:r>
            <w:r w:rsidR="00B43469" w:rsidRPr="00B43469">
              <w:rPr>
                <w:rFonts w:ascii="Arial" w:hAnsi="Arial" w:cs="Arial"/>
                <w:b/>
                <w:bCs/>
              </w:rPr>
              <w:t>Ap</w:t>
            </w:r>
            <w:r w:rsidR="00BB4A3A">
              <w:rPr>
                <w:rFonts w:ascii="Arial" w:hAnsi="Arial" w:cs="Arial"/>
                <w:b/>
                <w:bCs/>
              </w:rPr>
              <w:t>provisionn</w:t>
            </w:r>
            <w:r w:rsidR="007B45FD">
              <w:rPr>
                <w:rFonts w:ascii="Arial" w:hAnsi="Arial" w:cs="Arial"/>
                <w:b/>
                <w:bCs/>
              </w:rPr>
              <w:t xml:space="preserve">ement </w:t>
            </w:r>
            <w:r w:rsidR="00AA4802">
              <w:rPr>
                <w:rFonts w:ascii="Arial" w:hAnsi="Arial" w:cs="Arial"/>
                <w:b/>
                <w:bCs/>
              </w:rPr>
              <w:t xml:space="preserve">d’huile de lubrification végétale </w:t>
            </w:r>
            <w:r w:rsidR="00B43469" w:rsidRPr="00B43469">
              <w:rPr>
                <w:rFonts w:ascii="Arial" w:hAnsi="Arial" w:cs="Arial"/>
                <w:b/>
                <w:bCs/>
              </w:rPr>
              <w:t>au profit de la Marine nationale</w:t>
            </w:r>
            <w:r w:rsidR="00BB4A3A">
              <w:rPr>
                <w:rFonts w:ascii="Arial" w:hAnsi="Arial" w:cs="Arial"/>
                <w:b/>
                <w:bCs/>
              </w:rPr>
              <w:t>.</w:t>
            </w:r>
          </w:p>
        </w:tc>
      </w:tr>
    </w:tbl>
    <w:p w14:paraId="0DA548C5" w14:textId="0C2D3378" w:rsidR="00D57C8E" w:rsidRPr="00EE2373" w:rsidRDefault="00BB4A3A">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3D1C2FFE" wp14:editId="21DEE03F">
                <wp:simplePos x="0" y="0"/>
                <wp:positionH relativeFrom="column">
                  <wp:posOffset>5715</wp:posOffset>
                </wp:positionH>
                <wp:positionV relativeFrom="paragraph">
                  <wp:posOffset>-1349375</wp:posOffset>
                </wp:positionV>
                <wp:extent cx="1295400" cy="126365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295400" cy="1263650"/>
                        </a:xfrm>
                        <a:prstGeom prst="rect">
                          <a:avLst/>
                        </a:prstGeom>
                        <a:solidFill>
                          <a:schemeClr val="lt1"/>
                        </a:solidFill>
                        <a:ln w="6350">
                          <a:noFill/>
                        </a:ln>
                      </wps:spPr>
                      <wps:txbx>
                        <w:txbxContent>
                          <w:p w14:paraId="4C37E354" w14:textId="6D5E4EBE" w:rsidR="00BB4A3A" w:rsidRDefault="007B45FD">
                            <w:r w:rsidRPr="00BA69DA">
                              <w:rPr>
                                <w:noProof/>
                                <w:szCs w:val="22"/>
                              </w:rPr>
                              <w:drawing>
                                <wp:inline distT="0" distB="0" distL="0" distR="0" wp14:anchorId="55FFB47A" wp14:editId="4DBB8F73">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1C2FFE" id="_x0000_t202" coordsize="21600,21600" o:spt="202" path="m,l,21600r21600,l21600,xe">
                <v:stroke joinstyle="miter"/>
                <v:path gradientshapeok="t" o:connecttype="rect"/>
              </v:shapetype>
              <v:shape id="Zone de texte 1" o:spid="_x0000_s1026" type="#_x0000_t202" style="position:absolute;left:0;text-align:left;margin-left:.45pt;margin-top:-106.25pt;width:102pt;height:9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" fillcolor="white [3201]" stroked="f" strokeweight=".5pt">
                <v:textbox>
                  <w:txbxContent>
                    <w:p w14:paraId="4C37E354" w14:textId="6D5E4EBE" w:rsidR="00BB4A3A" w:rsidRDefault="007B45FD">
                      <w:r w:rsidRPr="00BA69DA">
                        <w:rPr>
                          <w:noProof/>
                          <w:szCs w:val="22"/>
                        </w:rPr>
                        <w:drawing>
                          <wp:inline distT="0" distB="0" distL="0" distR="0" wp14:anchorId="55FFB47A" wp14:editId="4DBB8F73">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0"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62942ADE" w:rsidR="004350B2" w:rsidRDefault="004350B2" w:rsidP="000F2F45">
            <w:pPr>
              <w:jc w:val="right"/>
              <w:rPr>
                <w:rFonts w:ascii="Arial" w:hAnsi="Arial" w:cs="Arial"/>
              </w:rPr>
            </w:pPr>
          </w:p>
          <w:p w14:paraId="1DB8FE66" w14:textId="77777777" w:rsidR="004350B2" w:rsidRPr="004350B2" w:rsidRDefault="004350B2" w:rsidP="004350B2">
            <w:pPr>
              <w:rPr>
                <w:rFonts w:ascii="Arial" w:hAnsi="Arial" w:cs="Arial"/>
              </w:rPr>
            </w:pPr>
          </w:p>
          <w:p w14:paraId="0AAF4818" w14:textId="77777777" w:rsidR="004350B2" w:rsidRPr="004350B2" w:rsidRDefault="004350B2" w:rsidP="004350B2">
            <w:pPr>
              <w:rPr>
                <w:rFonts w:ascii="Arial" w:hAnsi="Arial" w:cs="Arial"/>
              </w:rPr>
            </w:pPr>
          </w:p>
          <w:p w14:paraId="6096623F" w14:textId="77777777" w:rsidR="004350B2" w:rsidRPr="004350B2" w:rsidRDefault="004350B2" w:rsidP="004350B2">
            <w:pPr>
              <w:rPr>
                <w:rFonts w:ascii="Arial" w:hAnsi="Arial" w:cs="Arial"/>
              </w:rPr>
            </w:pPr>
          </w:p>
          <w:p w14:paraId="3DD8379E" w14:textId="77777777" w:rsidR="004350B2" w:rsidRPr="004350B2" w:rsidRDefault="004350B2" w:rsidP="004350B2">
            <w:pPr>
              <w:rPr>
                <w:rFonts w:ascii="Arial" w:hAnsi="Arial" w:cs="Arial"/>
              </w:rPr>
            </w:pPr>
          </w:p>
          <w:p w14:paraId="1B6A13D8" w14:textId="77777777" w:rsidR="004350B2" w:rsidRPr="004350B2" w:rsidRDefault="004350B2" w:rsidP="004350B2">
            <w:pPr>
              <w:rPr>
                <w:rFonts w:ascii="Arial" w:hAnsi="Arial" w:cs="Arial"/>
              </w:rPr>
            </w:pPr>
          </w:p>
          <w:p w14:paraId="303AB882" w14:textId="77777777" w:rsidR="004350B2" w:rsidRPr="004350B2" w:rsidRDefault="004350B2" w:rsidP="004350B2">
            <w:pPr>
              <w:rPr>
                <w:rFonts w:ascii="Arial" w:hAnsi="Arial" w:cs="Arial"/>
              </w:rPr>
            </w:pPr>
          </w:p>
          <w:p w14:paraId="3F5F3961" w14:textId="77777777" w:rsidR="004350B2" w:rsidRPr="004350B2" w:rsidRDefault="004350B2" w:rsidP="004350B2">
            <w:pPr>
              <w:rPr>
                <w:rFonts w:ascii="Arial" w:hAnsi="Arial" w:cs="Arial"/>
              </w:rPr>
            </w:pPr>
          </w:p>
          <w:p w14:paraId="18A7BECC" w14:textId="77777777" w:rsidR="004350B2" w:rsidRPr="004350B2" w:rsidRDefault="004350B2" w:rsidP="004350B2">
            <w:pPr>
              <w:rPr>
                <w:rFonts w:ascii="Arial" w:hAnsi="Arial" w:cs="Arial"/>
              </w:rPr>
            </w:pPr>
          </w:p>
          <w:p w14:paraId="5BE561B9" w14:textId="77777777" w:rsidR="004350B2" w:rsidRPr="004350B2" w:rsidRDefault="004350B2" w:rsidP="004350B2">
            <w:pPr>
              <w:rPr>
                <w:rFonts w:ascii="Arial" w:hAnsi="Arial" w:cs="Arial"/>
              </w:rPr>
            </w:pPr>
          </w:p>
          <w:p w14:paraId="5E2EA433" w14:textId="77777777" w:rsidR="004350B2" w:rsidRPr="004350B2" w:rsidRDefault="004350B2" w:rsidP="004350B2">
            <w:pPr>
              <w:rPr>
                <w:rFonts w:ascii="Arial" w:hAnsi="Arial" w:cs="Arial"/>
              </w:rPr>
            </w:pPr>
          </w:p>
          <w:p w14:paraId="3EB07B3F" w14:textId="77777777" w:rsidR="004350B2" w:rsidRPr="004350B2" w:rsidRDefault="004350B2" w:rsidP="004350B2">
            <w:pPr>
              <w:rPr>
                <w:rFonts w:ascii="Arial" w:hAnsi="Arial" w:cs="Arial"/>
              </w:rPr>
            </w:pPr>
          </w:p>
          <w:p w14:paraId="693D6714" w14:textId="3E5E31FD" w:rsidR="00D57C8E" w:rsidRPr="004350B2" w:rsidRDefault="00D57C8E" w:rsidP="004350B2">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4E31F5C6" w:rsidR="004350B2" w:rsidRDefault="004350B2" w:rsidP="000F2F45"/>
          <w:p w14:paraId="2D63E825" w14:textId="77777777" w:rsidR="004350B2" w:rsidRPr="004350B2" w:rsidRDefault="004350B2" w:rsidP="004350B2"/>
          <w:p w14:paraId="28FC1AA6" w14:textId="77777777" w:rsidR="004350B2" w:rsidRPr="004350B2" w:rsidRDefault="004350B2" w:rsidP="004350B2"/>
          <w:p w14:paraId="4382A4C1" w14:textId="77777777" w:rsidR="004350B2" w:rsidRPr="004350B2" w:rsidRDefault="004350B2" w:rsidP="004350B2"/>
          <w:p w14:paraId="7B48CE12" w14:textId="77777777" w:rsidR="004350B2" w:rsidRPr="004350B2" w:rsidRDefault="004350B2" w:rsidP="004350B2"/>
          <w:p w14:paraId="01ED79C2" w14:textId="77777777" w:rsidR="004350B2" w:rsidRPr="004350B2" w:rsidRDefault="004350B2" w:rsidP="004350B2"/>
          <w:p w14:paraId="4939D641" w14:textId="77777777" w:rsidR="004350B2" w:rsidRPr="004350B2" w:rsidRDefault="004350B2" w:rsidP="004350B2"/>
          <w:p w14:paraId="2949479F" w14:textId="77777777" w:rsidR="004350B2" w:rsidRPr="004350B2" w:rsidRDefault="004350B2" w:rsidP="004350B2"/>
          <w:p w14:paraId="6DAE886A" w14:textId="4ADD5D18" w:rsidR="00D57C8E" w:rsidRPr="004350B2" w:rsidRDefault="00D57C8E" w:rsidP="004350B2"/>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6F1030C8" w:rsidR="004350B2" w:rsidRDefault="004350B2" w:rsidP="000F2F45">
            <w:pPr>
              <w:rPr>
                <w:rFonts w:ascii="Arial" w:hAnsi="Arial" w:cs="Arial"/>
              </w:rPr>
            </w:pPr>
          </w:p>
          <w:p w14:paraId="5EB43865" w14:textId="77777777" w:rsidR="004350B2" w:rsidRPr="004350B2" w:rsidRDefault="004350B2" w:rsidP="004350B2">
            <w:pPr>
              <w:rPr>
                <w:rFonts w:ascii="Arial" w:hAnsi="Arial" w:cs="Arial"/>
              </w:rPr>
            </w:pPr>
          </w:p>
          <w:p w14:paraId="50D5C5AD" w14:textId="77777777" w:rsidR="004350B2" w:rsidRPr="004350B2" w:rsidRDefault="004350B2" w:rsidP="004350B2">
            <w:pPr>
              <w:rPr>
                <w:rFonts w:ascii="Arial" w:hAnsi="Arial" w:cs="Arial"/>
              </w:rPr>
            </w:pPr>
          </w:p>
          <w:p w14:paraId="5B2C6AE1" w14:textId="42E47127" w:rsidR="00D57C8E" w:rsidRPr="004350B2" w:rsidRDefault="00D57C8E" w:rsidP="004350B2">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498C1B9E"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5A789C3E" w:rsidR="005A16B4" w:rsidRPr="00EE2373" w:rsidRDefault="00AA4802" w:rsidP="004D43C5">
            <w:pPr>
              <w:spacing w:before="40"/>
              <w:jc w:val="center"/>
              <w:rPr>
                <w:rFonts w:ascii="Arial" w:hAnsi="Arial" w:cs="Arial"/>
                <w:b/>
                <w:bCs/>
              </w:rPr>
            </w:pPr>
            <w:r>
              <w:rPr>
                <w:rFonts w:ascii="Arial" w:hAnsi="Arial" w:cs="Arial"/>
                <w:b/>
                <w:bCs/>
              </w:rPr>
              <w:t>2603</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w:t>
            </w:r>
            <w:r w:rsidRPr="00EE2373">
              <w:rPr>
                <w:rFonts w:ascii="Arial" w:hAnsi="Arial" w:cs="Arial"/>
              </w:rPr>
              <w:lastRenderedPageBreak/>
              <w:t>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lastRenderedPageBreak/>
              <w:t xml:space="preserve">CODE UNITE FONCTIONNELLE </w:t>
            </w:r>
          </w:p>
        </w:tc>
        <w:tc>
          <w:tcPr>
            <w:tcW w:w="1649" w:type="dxa"/>
            <w:tcBorders>
              <w:bottom w:val="single" w:sz="4" w:space="0" w:color="auto"/>
            </w:tcBorders>
          </w:tcPr>
          <w:p w14:paraId="1E9B14C6" w14:textId="77777777" w:rsidR="005A16B4" w:rsidRPr="003468F9"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3468F9" w:rsidRDefault="00467AC1" w:rsidP="00C064C3">
            <w:pPr>
              <w:spacing w:before="40"/>
              <w:jc w:val="center"/>
              <w:rPr>
                <w:rStyle w:val="Marquedecommentaire"/>
                <w:rFonts w:ascii="Arial" w:hAnsi="Arial" w:cs="Arial"/>
                <w:b/>
                <w:vanish/>
                <w:sz w:val="20"/>
                <w:szCs w:val="20"/>
              </w:rPr>
            </w:pPr>
            <w:r w:rsidRPr="003468F9">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2564CCC9" w14:textId="1FF00519" w:rsidR="00B51DBF" w:rsidRDefault="00993040" w:rsidP="00B51DBF">
      <w:pPr>
        <w:pStyle w:val="Euro"/>
        <w:numPr>
          <w:ilvl w:val="0"/>
          <w:numId w:val="13"/>
        </w:numPr>
        <w:tabs>
          <w:tab w:val="clear" w:pos="360"/>
        </w:tabs>
        <w:spacing w:before="0" w:after="0"/>
        <w:ind w:left="1134" w:right="-28" w:hanging="283"/>
        <w:rPr>
          <w:rFonts w:ascii="Arial" w:hAnsi="Arial" w:cs="Arial"/>
          <w:caps w:val="0"/>
          <w:dstrike w:val="0"/>
          <w:szCs w:val="22"/>
        </w:rPr>
      </w:pPr>
      <w:r w:rsidRPr="00B51DBF">
        <w:rPr>
          <w:rFonts w:ascii="Arial" w:hAnsi="Arial" w:cs="Arial"/>
          <w:caps w:val="0"/>
          <w:dstrike w:val="0"/>
          <w:szCs w:val="22"/>
        </w:rPr>
        <w:t>L</w:t>
      </w:r>
      <w:r w:rsidR="00B51DBF" w:rsidRPr="00B51DBF">
        <w:rPr>
          <w:rFonts w:ascii="Arial" w:hAnsi="Arial" w:cs="Arial"/>
          <w:caps w:val="0"/>
          <w:dstrike w:val="0"/>
          <w:szCs w:val="22"/>
        </w:rPr>
        <w:t xml:space="preserve">a Spécification Générale d’Approvisionnement de rechanges standards </w:t>
      </w:r>
      <w:r w:rsidR="00D57C8E" w:rsidRPr="00B51DBF">
        <w:rPr>
          <w:rFonts w:ascii="Arial" w:hAnsi="Arial" w:cs="Arial"/>
          <w:caps w:val="0"/>
          <w:dstrike w:val="0"/>
          <w:szCs w:val="22"/>
        </w:rPr>
        <w:t>(document joint) N° DSSFB/</w:t>
      </w:r>
      <w:r w:rsidR="00582D3B" w:rsidRPr="00B51DBF">
        <w:rPr>
          <w:rFonts w:ascii="Arial" w:hAnsi="Arial" w:cs="Arial"/>
          <w:caps w:val="0"/>
          <w:dstrike w:val="0"/>
          <w:szCs w:val="22"/>
        </w:rPr>
        <w:t>SDLOG/0260/</w:t>
      </w:r>
      <w:r w:rsidRPr="00B51DBF">
        <w:rPr>
          <w:rFonts w:ascii="Arial" w:hAnsi="Arial" w:cs="Arial"/>
          <w:caps w:val="0"/>
          <w:dstrike w:val="0"/>
          <w:szCs w:val="22"/>
        </w:rPr>
        <w:t xml:space="preserve">O </w:t>
      </w:r>
      <w:r w:rsidR="00AE3691" w:rsidRPr="00B51DBF">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054FD9D5" w14:textId="3752C551" w:rsidR="00242F8D" w:rsidRDefault="00EB42C1" w:rsidP="00242F8D">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240AFBED"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883243">
        <w:rPr>
          <w:rFonts w:cs="Arial"/>
          <w:sz w:val="22"/>
          <w:szCs w:val="22"/>
          <w:lang w:val="fr-FR"/>
        </w:rPr>
        <w:t>e</w:t>
      </w:r>
      <w:r w:rsidR="00AA4802">
        <w:rPr>
          <w:rFonts w:cs="Arial"/>
          <w:sz w:val="22"/>
          <w:szCs w:val="22"/>
          <w:lang w:val="fr-FR"/>
        </w:rPr>
        <w:t xml:space="preserve"> </w:t>
      </w:r>
      <w:r w:rsidR="00AA4802">
        <w:rPr>
          <w:rFonts w:cs="Arial"/>
          <w:b/>
          <w:sz w:val="22"/>
          <w:szCs w:val="22"/>
          <w:lang w:val="fr-FR"/>
        </w:rPr>
        <w:t>juin</w:t>
      </w:r>
      <w:r w:rsidR="00993040" w:rsidRPr="00883243">
        <w:rPr>
          <w:rFonts w:cs="Arial"/>
          <w:b/>
          <w:sz w:val="22"/>
          <w:szCs w:val="22"/>
          <w:lang w:val="fr-FR"/>
        </w:rPr>
        <w:t xml:space="preserve"> </w:t>
      </w:r>
      <w:r w:rsidR="00993040" w:rsidRPr="00993040">
        <w:rPr>
          <w:rFonts w:cs="Arial"/>
          <w:b/>
          <w:sz w:val="22"/>
          <w:szCs w:val="22"/>
          <w:lang w:val="fr-FR"/>
        </w:rPr>
        <w:t>202</w:t>
      </w:r>
      <w:r w:rsidR="003468F9">
        <w:rPr>
          <w:rFonts w:cs="Arial"/>
          <w:b/>
          <w:sz w:val="22"/>
          <w:szCs w:val="22"/>
          <w:lang w:val="fr-FR"/>
        </w:rPr>
        <w:t>5</w:t>
      </w:r>
      <w:r w:rsidR="00456A5E" w:rsidRPr="00993040">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34BD536A" w:rsidR="00BA5DF3" w:rsidRPr="004C36E5" w:rsidRDefault="00887424" w:rsidP="00BA5DF3">
      <w:pPr>
        <w:ind w:left="900"/>
        <w:rPr>
          <w:rFonts w:ascii="Arial" w:hAnsi="Arial" w:cs="Arial"/>
          <w:b/>
          <w:i/>
          <w:sz w:val="22"/>
          <w:szCs w:val="22"/>
        </w:rPr>
      </w:pPr>
      <w:r w:rsidRPr="00887424">
        <w:rPr>
          <w:rFonts w:ascii="Arial" w:hAnsi="Arial" w:cs="Arial"/>
          <w:noProof/>
        </w:rPr>
        <w:drawing>
          <wp:inline distT="0" distB="0" distL="0" distR="0" wp14:anchorId="5E35E571" wp14:editId="1CAE8E77">
            <wp:extent cx="2557393" cy="374650"/>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23779" cy="384375"/>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49487B1A" w14:textId="2A706B6A" w:rsidR="008D566B" w:rsidRPr="004C36E5" w:rsidRDefault="00BA5DF3" w:rsidP="004468EB">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lastRenderedPageBreak/>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2949472" w14:textId="77777777" w:rsidR="006A1DA4" w:rsidRPr="006A1DA4" w:rsidRDefault="006A1DA4" w:rsidP="006A1DA4">
      <w:pPr>
        <w:tabs>
          <w:tab w:val="left" w:pos="4678"/>
        </w:tabs>
        <w:spacing w:before="60" w:after="60"/>
        <w:ind w:left="567" w:right="-28"/>
        <w:jc w:val="both"/>
        <w:rPr>
          <w:rFonts w:ascii="Arial" w:hAnsi="Arial" w:cs="Arial"/>
          <w:sz w:val="22"/>
          <w:szCs w:val="22"/>
          <w:lang w:eastAsia="x-none"/>
        </w:rPr>
      </w:pPr>
      <w:r w:rsidRPr="006A1DA4">
        <w:rPr>
          <w:rFonts w:ascii="Arial" w:hAnsi="Arial" w:cs="Arial"/>
          <w:sz w:val="22"/>
          <w:szCs w:val="22"/>
          <w:lang w:eastAsia="x-none"/>
        </w:rPr>
        <w:t>Quelle que soit la durée de la prestation servant d’assiette de calcul de l’avance, le remboursement débute :</w:t>
      </w:r>
    </w:p>
    <w:p w14:paraId="590FC1B7" w14:textId="77777777" w:rsidR="006A1DA4" w:rsidRPr="006A1DA4" w:rsidRDefault="006A1DA4" w:rsidP="006A1DA4">
      <w:pPr>
        <w:tabs>
          <w:tab w:val="left" w:pos="4678"/>
        </w:tabs>
        <w:spacing w:before="60" w:after="60"/>
        <w:ind w:left="567" w:right="-28"/>
        <w:jc w:val="both"/>
        <w:rPr>
          <w:rFonts w:ascii="Arial" w:hAnsi="Arial" w:cs="Arial"/>
          <w:sz w:val="22"/>
          <w:szCs w:val="22"/>
          <w:lang w:eastAsia="x-none"/>
        </w:rPr>
      </w:pPr>
      <w:r w:rsidRPr="006A1DA4">
        <w:rPr>
          <w:rFonts w:ascii="Arial" w:hAnsi="Arial" w:cs="Arial"/>
          <w:sz w:val="22"/>
          <w:szCs w:val="22"/>
          <w:lang w:eastAsia="x-none"/>
        </w:rPr>
        <w:t xml:space="preserve">1° Lorsque le taux d’avance est inférieur ou égal à 30 %, quand le montant des prestations exécutées atteint 50 % du montant TTC du </w:t>
      </w:r>
      <w:proofErr w:type="gramStart"/>
      <w:r w:rsidRPr="006A1DA4">
        <w:rPr>
          <w:rFonts w:ascii="Arial" w:hAnsi="Arial" w:cs="Arial"/>
          <w:sz w:val="22"/>
          <w:szCs w:val="22"/>
          <w:lang w:eastAsia="x-none"/>
        </w:rPr>
        <w:t>marché  ;</w:t>
      </w:r>
      <w:proofErr w:type="gramEnd"/>
    </w:p>
    <w:p w14:paraId="4C875D53" w14:textId="77777777" w:rsidR="006A1DA4" w:rsidRPr="006A1DA4" w:rsidRDefault="006A1DA4" w:rsidP="006A1DA4">
      <w:pPr>
        <w:tabs>
          <w:tab w:val="left" w:pos="4678"/>
        </w:tabs>
        <w:spacing w:before="60" w:after="60"/>
        <w:ind w:left="567" w:right="-28"/>
        <w:jc w:val="both"/>
        <w:rPr>
          <w:rFonts w:ascii="Arial" w:hAnsi="Arial" w:cs="Arial"/>
          <w:sz w:val="22"/>
          <w:szCs w:val="22"/>
          <w:lang w:eastAsia="x-none"/>
        </w:rPr>
      </w:pPr>
      <w:r w:rsidRPr="006A1DA4">
        <w:rPr>
          <w:rFonts w:ascii="Arial" w:hAnsi="Arial" w:cs="Arial"/>
          <w:sz w:val="22"/>
          <w:szCs w:val="22"/>
          <w:lang w:eastAsia="x-none"/>
        </w:rPr>
        <w:t>2° Lorsque le taux d’avance est supérieur à 30 % du montant TTC du marché, dès la première demande de paiement.</w:t>
      </w:r>
    </w:p>
    <w:p w14:paraId="00141CD0" w14:textId="77777777" w:rsidR="006A1DA4" w:rsidRPr="006A1DA4" w:rsidRDefault="006A1DA4" w:rsidP="006A1DA4">
      <w:pPr>
        <w:tabs>
          <w:tab w:val="left" w:pos="4678"/>
        </w:tabs>
        <w:spacing w:before="60" w:after="60"/>
        <w:ind w:left="567" w:right="-28"/>
        <w:jc w:val="both"/>
        <w:rPr>
          <w:rFonts w:ascii="Arial" w:hAnsi="Arial" w:cs="Arial"/>
          <w:sz w:val="22"/>
          <w:szCs w:val="22"/>
          <w:lang w:eastAsia="x-none"/>
        </w:rPr>
      </w:pPr>
      <w:r w:rsidRPr="006A1DA4">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EA1FB02" w14:textId="77777777" w:rsidR="006A1DA4" w:rsidRPr="006A1DA4" w:rsidRDefault="006A1DA4" w:rsidP="006A1DA4">
      <w:pPr>
        <w:tabs>
          <w:tab w:val="left" w:pos="4678"/>
        </w:tabs>
        <w:spacing w:before="60" w:after="60"/>
        <w:ind w:left="567" w:right="-28"/>
        <w:jc w:val="both"/>
        <w:rPr>
          <w:rFonts w:ascii="Arial" w:hAnsi="Arial" w:cs="Arial"/>
          <w:sz w:val="22"/>
          <w:szCs w:val="22"/>
          <w:lang w:eastAsia="x-none"/>
        </w:rPr>
      </w:pPr>
      <w:r w:rsidRPr="006A1DA4">
        <w:rPr>
          <w:rFonts w:ascii="Arial" w:hAnsi="Arial" w:cs="Arial"/>
          <w:sz w:val="22"/>
          <w:szCs w:val="22"/>
          <w:lang w:eastAsia="x-none"/>
        </w:rPr>
        <w:t>Ces stipulations ne peuvent faire obstacle à la récupération d’un éventuel trop-perçu auprès du titulaire.</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29FF6161"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45479104" w14:textId="77777777" w:rsidR="003468F9" w:rsidRPr="003468F9" w:rsidRDefault="003468F9" w:rsidP="003468F9"/>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lastRenderedPageBreak/>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B04DFB8"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05pt;height:18.25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w:t>
      </w:r>
      <w:r w:rsidRPr="00EE2373">
        <w:rPr>
          <w:rFonts w:ascii="Arial" w:hAnsi="Arial" w:cs="Arial"/>
          <w:sz w:val="22"/>
          <w:szCs w:val="22"/>
        </w:rPr>
        <w:lastRenderedPageBreak/>
        <w:t>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0BC36F53"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8pt;height:18.25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8.05pt;height:27.4pt" o:ole="" fillcolor="window">
            <v:imagedata r:id="rId17" o:title=""/>
          </v:shape>
          <o:OLEObject Type="Embed" ProgID="Equation.3" ShapeID="_x0000_i1029" DrawAspect="Content" ObjectID="_1811137573"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lastRenderedPageBreak/>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lastRenderedPageBreak/>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391F46F"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BB4A3A">
      <w:rPr>
        <w:rStyle w:val="Numrodepage"/>
      </w:rPr>
      <w:t>S25</w:t>
    </w:r>
    <w:r w:rsidR="00467AC1">
      <w:rPr>
        <w:rStyle w:val="Numrodepage"/>
      </w:rPr>
      <w:t>B00</w:t>
    </w:r>
    <w:r w:rsidR="00AA4802">
      <w:rPr>
        <w:rStyle w:val="Numrodepage"/>
      </w:rPr>
      <w:t>394</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4F2198">
      <w:rPr>
        <w:rStyle w:val="Numrodepage"/>
        <w:noProof/>
      </w:rPr>
      <w:t>10</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4F2198">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7E6EE4"/>
    <w:multiLevelType w:val="hybridMultilevel"/>
    <w:tmpl w:val="DB387716"/>
    <w:lvl w:ilvl="0" w:tplc="7E04C41A">
      <w:start w:val="16"/>
      <w:numFmt w:val="bullet"/>
      <w:lvlText w:val="-"/>
      <w:lvlJc w:val="left"/>
      <w:pPr>
        <w:ind w:left="1211" w:hanging="360"/>
      </w:pPr>
      <w:rPr>
        <w:rFont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9"/>
  </w:num>
  <w:num w:numId="36">
    <w:abstractNumId w:val="31"/>
  </w:num>
  <w:num w:numId="37">
    <w:abstractNumId w:val="24"/>
  </w:num>
  <w:num w:numId="38">
    <w:abstractNumId w:val="17"/>
  </w:num>
  <w:num w:numId="39">
    <w:abstractNumId w:val="14"/>
  </w:num>
  <w:num w:numId="40">
    <w:abstractNumId w:val="38"/>
  </w:num>
  <w:num w:numId="41">
    <w:abstractNumId w:val="26"/>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884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87029"/>
    <w:rsid w:val="00190BCD"/>
    <w:rsid w:val="001910D8"/>
    <w:rsid w:val="00196033"/>
    <w:rsid w:val="001C10F6"/>
    <w:rsid w:val="001C6E3F"/>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2F8D"/>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468F9"/>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350B2"/>
    <w:rsid w:val="00440275"/>
    <w:rsid w:val="00441F7A"/>
    <w:rsid w:val="004468EB"/>
    <w:rsid w:val="00454370"/>
    <w:rsid w:val="00456A5E"/>
    <w:rsid w:val="0045737C"/>
    <w:rsid w:val="00467AC1"/>
    <w:rsid w:val="004741C7"/>
    <w:rsid w:val="004762B0"/>
    <w:rsid w:val="00477337"/>
    <w:rsid w:val="00480913"/>
    <w:rsid w:val="00481594"/>
    <w:rsid w:val="004819BF"/>
    <w:rsid w:val="00484011"/>
    <w:rsid w:val="004A18B2"/>
    <w:rsid w:val="004B3BBC"/>
    <w:rsid w:val="004B68BC"/>
    <w:rsid w:val="004D06BF"/>
    <w:rsid w:val="004D43C5"/>
    <w:rsid w:val="004D535D"/>
    <w:rsid w:val="004D5FCD"/>
    <w:rsid w:val="004E138D"/>
    <w:rsid w:val="004E33BB"/>
    <w:rsid w:val="004F0392"/>
    <w:rsid w:val="004F2198"/>
    <w:rsid w:val="004F5768"/>
    <w:rsid w:val="004F64AE"/>
    <w:rsid w:val="004F751F"/>
    <w:rsid w:val="00512FBF"/>
    <w:rsid w:val="00515186"/>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A1DA4"/>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45FD"/>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243"/>
    <w:rsid w:val="008865AA"/>
    <w:rsid w:val="00887424"/>
    <w:rsid w:val="0088751A"/>
    <w:rsid w:val="008905D4"/>
    <w:rsid w:val="00893D4B"/>
    <w:rsid w:val="008943FD"/>
    <w:rsid w:val="008A2759"/>
    <w:rsid w:val="008A79CE"/>
    <w:rsid w:val="008B5E1C"/>
    <w:rsid w:val="008B6A29"/>
    <w:rsid w:val="008C43BC"/>
    <w:rsid w:val="008C4ED5"/>
    <w:rsid w:val="008C6B3E"/>
    <w:rsid w:val="008C7BCC"/>
    <w:rsid w:val="008D0039"/>
    <w:rsid w:val="008D566B"/>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46074"/>
    <w:rsid w:val="00A57C51"/>
    <w:rsid w:val="00A63F5C"/>
    <w:rsid w:val="00A64FFB"/>
    <w:rsid w:val="00A65FEB"/>
    <w:rsid w:val="00A75958"/>
    <w:rsid w:val="00A76491"/>
    <w:rsid w:val="00A80196"/>
    <w:rsid w:val="00A80298"/>
    <w:rsid w:val="00A93D50"/>
    <w:rsid w:val="00A941E4"/>
    <w:rsid w:val="00A97900"/>
    <w:rsid w:val="00AA279D"/>
    <w:rsid w:val="00AA427E"/>
    <w:rsid w:val="00AA4802"/>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1DBF"/>
    <w:rsid w:val="00B54695"/>
    <w:rsid w:val="00B60AFB"/>
    <w:rsid w:val="00B630EE"/>
    <w:rsid w:val="00B632A2"/>
    <w:rsid w:val="00B663B8"/>
    <w:rsid w:val="00B725DC"/>
    <w:rsid w:val="00B8309E"/>
    <w:rsid w:val="00B915F2"/>
    <w:rsid w:val="00B956AE"/>
    <w:rsid w:val="00BA5DF3"/>
    <w:rsid w:val="00BA7788"/>
    <w:rsid w:val="00BB4A3A"/>
    <w:rsid w:val="00BB533A"/>
    <w:rsid w:val="00BC29D7"/>
    <w:rsid w:val="00BC4596"/>
    <w:rsid w:val="00BE05C5"/>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1566B"/>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884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E084D1-2AC1-47FA-BE35-337CB1D16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Pages>
  <Words>3666</Words>
  <Characters>20129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23748</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DE LA COLOMBE DE LA VOLPILIERE Diane Apprenti</cp:lastModifiedBy>
  <cp:revision>29</cp:revision>
  <cp:lastPrinted>2022-06-10T09:24:00Z</cp:lastPrinted>
  <dcterms:created xsi:type="dcterms:W3CDTF">2024-06-14T13:12:00Z</dcterms:created>
  <dcterms:modified xsi:type="dcterms:W3CDTF">2025-06-11T07:00:00Z</dcterms:modified>
</cp:coreProperties>
</file>