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F47" w:rsidRDefault="001E7F47">
      <w:pPr>
        <w:rPr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9212"/>
      </w:tblGrid>
      <w:tr w:rsidR="00BC449F" w:rsidTr="00BC449F">
        <w:tc>
          <w:tcPr>
            <w:tcW w:w="9212" w:type="dxa"/>
          </w:tcPr>
          <w:p w:rsidR="00BC449F" w:rsidRDefault="00BC449F" w:rsidP="00BC449F">
            <w:pPr>
              <w:pStyle w:val="Default"/>
              <w:jc w:val="center"/>
            </w:pPr>
            <w:r w:rsidRPr="00BC449F">
              <w:rPr>
                <w:b/>
                <w:sz w:val="36"/>
                <w:szCs w:val="36"/>
              </w:rPr>
              <w:t>NOMENCLATURE DU MATERIEL / DEPOT JET</w:t>
            </w:r>
          </w:p>
        </w:tc>
      </w:tr>
    </w:tbl>
    <w:p w:rsidR="00BC449F" w:rsidRDefault="00BC449F">
      <w:pPr>
        <w:rPr>
          <w:lang w:val="fr-FR"/>
        </w:rPr>
      </w:pPr>
    </w:p>
    <w:tbl>
      <w:tblPr>
        <w:tblStyle w:val="Grilledutableau"/>
        <w:tblW w:w="0" w:type="auto"/>
        <w:tblLook w:val="04A0"/>
      </w:tblPr>
      <w:tblGrid>
        <w:gridCol w:w="756"/>
        <w:gridCol w:w="3116"/>
        <w:gridCol w:w="1732"/>
        <w:gridCol w:w="1964"/>
        <w:gridCol w:w="1720"/>
      </w:tblGrid>
      <w:tr w:rsidR="00BC449F" w:rsidTr="00BC449F">
        <w:tc>
          <w:tcPr>
            <w:tcW w:w="817" w:type="dxa"/>
          </w:tcPr>
          <w:p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Qte :</w:t>
            </w:r>
          </w:p>
        </w:tc>
        <w:tc>
          <w:tcPr>
            <w:tcW w:w="3544" w:type="dxa"/>
          </w:tcPr>
          <w:p w:rsidR="00BC449F" w:rsidRPr="00BC449F" w:rsidRDefault="00BC449F" w:rsidP="00BC449F">
            <w:pPr>
              <w:pStyle w:val="Default"/>
              <w:jc w:val="center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DESIGNATIONS</w:t>
            </w:r>
          </w:p>
        </w:tc>
        <w:tc>
          <w:tcPr>
            <w:tcW w:w="1534" w:type="dxa"/>
          </w:tcPr>
          <w:p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ABREVIATION</w:t>
            </w:r>
          </w:p>
        </w:tc>
        <w:tc>
          <w:tcPr>
            <w:tcW w:w="1726" w:type="dxa"/>
          </w:tcPr>
          <w:p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 xml:space="preserve">FOURNISSEURS </w:t>
            </w:r>
          </w:p>
        </w:tc>
        <w:tc>
          <w:tcPr>
            <w:tcW w:w="1591" w:type="dxa"/>
          </w:tcPr>
          <w:p w:rsidR="00BC449F" w:rsidRPr="00BC449F" w:rsidRDefault="00BC449F" w:rsidP="00BC449F">
            <w:pPr>
              <w:pStyle w:val="Default"/>
              <w:rPr>
                <w:sz w:val="22"/>
                <w:szCs w:val="22"/>
              </w:rPr>
            </w:pPr>
            <w:r w:rsidRPr="00BC449F">
              <w:rPr>
                <w:b/>
                <w:bCs/>
                <w:sz w:val="22"/>
                <w:szCs w:val="22"/>
              </w:rPr>
              <w:t>REFERENCES</w:t>
            </w: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Polaris C2 6 10 - ECS CMSI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EX4P10Ex - extension intrinsèque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Batterie 12 volts 7Ah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Batterie 12 volts 1.2Ah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VIREX - Dét.Flamme IR intrinsèque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SUDE - Support inclinable détecteur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REP4R - Module 4 relais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Transmetteur digital phonique NFA2P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  <w:tr w:rsidR="00BC449F" w:rsidTr="00BC449F">
        <w:tc>
          <w:tcPr>
            <w:tcW w:w="817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:rsidR="00BC449F" w:rsidRDefault="00BC449F" w:rsidP="00BC449F">
            <w:pPr>
              <w:pStyle w:val="Default"/>
            </w:pPr>
            <w:r>
              <w:rPr>
                <w:sz w:val="19"/>
                <w:szCs w:val="19"/>
              </w:rPr>
              <w:t>Barrière Intrinsèque BZ1</w:t>
            </w:r>
          </w:p>
        </w:tc>
        <w:tc>
          <w:tcPr>
            <w:tcW w:w="1534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726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  <w:tc>
          <w:tcPr>
            <w:tcW w:w="1591" w:type="dxa"/>
          </w:tcPr>
          <w:p w:rsidR="00BC449F" w:rsidRDefault="00BC449F" w:rsidP="00BC449F">
            <w:pPr>
              <w:jc w:val="center"/>
              <w:rPr>
                <w:lang w:val="fr-FR"/>
              </w:rPr>
            </w:pPr>
          </w:p>
        </w:tc>
      </w:tr>
    </w:tbl>
    <w:p w:rsidR="00BC449F" w:rsidRDefault="00BC449F">
      <w:pPr>
        <w:rPr>
          <w:lang w:val="fr-FR"/>
        </w:rPr>
      </w:pPr>
    </w:p>
    <w:p w:rsidR="00BC449F" w:rsidRPr="00BC449F" w:rsidRDefault="00BC449F">
      <w:pPr>
        <w:rPr>
          <w:lang w:val="fr-FR"/>
        </w:rPr>
      </w:pPr>
    </w:p>
    <w:sectPr w:rsidR="00BC449F" w:rsidRPr="00BC449F" w:rsidSect="001E7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BC449F"/>
    <w:rsid w:val="001C53F2"/>
    <w:rsid w:val="001E7F47"/>
    <w:rsid w:val="002634DF"/>
    <w:rsid w:val="003B4322"/>
    <w:rsid w:val="004F0696"/>
    <w:rsid w:val="00514353"/>
    <w:rsid w:val="006B6C98"/>
    <w:rsid w:val="007D7268"/>
    <w:rsid w:val="008F2FC9"/>
    <w:rsid w:val="00BC449F"/>
    <w:rsid w:val="00BE1801"/>
    <w:rsid w:val="00C57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F28"/>
    <w:pPr>
      <w:spacing w:after="0" w:line="240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57F2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7F2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57F2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57F2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57F2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57F2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57F28"/>
    <w:pPr>
      <w:spacing w:before="240" w:after="60"/>
      <w:outlineLvl w:val="6"/>
    </w:pPr>
    <w:rPr>
      <w:rFonts w:cstheme="majorBidi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57F28"/>
    <w:pPr>
      <w:spacing w:before="240" w:after="60"/>
      <w:outlineLvl w:val="7"/>
    </w:pPr>
    <w:rPr>
      <w:rFonts w:cstheme="majorBidi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57F2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7F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57F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57F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57F28"/>
    <w:rPr>
      <w:rFonts w:cstheme="maj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C57F28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C57F28"/>
    <w:rPr>
      <w:rFonts w:cstheme="majorBidi"/>
      <w:b/>
      <w:bCs/>
    </w:rPr>
  </w:style>
  <w:style w:type="character" w:customStyle="1" w:styleId="Titre7Car">
    <w:name w:val="Titre 7 Car"/>
    <w:basedOn w:val="Policepardfaut"/>
    <w:link w:val="Titre7"/>
    <w:uiPriority w:val="9"/>
    <w:rsid w:val="00C57F28"/>
    <w:rPr>
      <w:rFonts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57F28"/>
    <w:rPr>
      <w:rFonts w:cstheme="maj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C57F28"/>
    <w:rPr>
      <w:rFonts w:asciiTheme="majorHAnsi" w:eastAsiaTheme="majorEastAsia" w:hAnsiTheme="majorHAnsi" w:cstheme="majorBidi"/>
    </w:rPr>
  </w:style>
  <w:style w:type="paragraph" w:styleId="Titre">
    <w:name w:val="Title"/>
    <w:basedOn w:val="Normal"/>
    <w:next w:val="Normal"/>
    <w:link w:val="TitreCar"/>
    <w:uiPriority w:val="10"/>
    <w:qFormat/>
    <w:rsid w:val="00C57F2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C57F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7F2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C57F28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C57F28"/>
    <w:rPr>
      <w:b/>
      <w:bCs/>
    </w:rPr>
  </w:style>
  <w:style w:type="character" w:styleId="Accentuation">
    <w:name w:val="Emphasis"/>
    <w:basedOn w:val="Policepardfaut"/>
    <w:uiPriority w:val="20"/>
    <w:qFormat/>
    <w:rsid w:val="00C57F28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C57F28"/>
    <w:rPr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C57F28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C57F28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C57F28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57F28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7F28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7F28"/>
    <w:rPr>
      <w:b/>
      <w:i/>
      <w:sz w:val="24"/>
    </w:rPr>
  </w:style>
  <w:style w:type="character" w:styleId="Emphaseple">
    <w:name w:val="Subtle Emphasis"/>
    <w:uiPriority w:val="19"/>
    <w:qFormat/>
    <w:rsid w:val="00C57F28"/>
    <w:rPr>
      <w:i/>
      <w:color w:val="5A5A5A" w:themeColor="text1" w:themeTint="A5"/>
    </w:rPr>
  </w:style>
  <w:style w:type="character" w:styleId="Emphaseintense">
    <w:name w:val="Intense Emphasis"/>
    <w:basedOn w:val="Policepardfaut"/>
    <w:uiPriority w:val="21"/>
    <w:qFormat/>
    <w:rsid w:val="00C57F28"/>
    <w:rPr>
      <w:b/>
      <w:i/>
      <w:sz w:val="24"/>
      <w:szCs w:val="24"/>
      <w:u w:val="single"/>
    </w:rPr>
  </w:style>
  <w:style w:type="character" w:styleId="Rfrenceple">
    <w:name w:val="Subtle Reference"/>
    <w:basedOn w:val="Policepardfaut"/>
    <w:uiPriority w:val="31"/>
    <w:qFormat/>
    <w:rsid w:val="00C57F28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57F28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57F28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7F28"/>
    <w:pPr>
      <w:outlineLvl w:val="9"/>
    </w:pPr>
  </w:style>
  <w:style w:type="table" w:styleId="Grilledutableau">
    <w:name w:val="Table Grid"/>
    <w:basedOn w:val="TableauNormal"/>
    <w:uiPriority w:val="59"/>
    <w:rsid w:val="00BC4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C44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351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jmarcon</dc:creator>
  <cp:lastModifiedBy>acasalta</cp:lastModifiedBy>
  <cp:revision>2</cp:revision>
  <cp:lastPrinted>2020-11-12T09:19:00Z</cp:lastPrinted>
  <dcterms:created xsi:type="dcterms:W3CDTF">2020-11-12T09:19:00Z</dcterms:created>
  <dcterms:modified xsi:type="dcterms:W3CDTF">2020-11-12T09:19:00Z</dcterms:modified>
</cp:coreProperties>
</file>