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56A" w:rsidRDefault="002E156A" w:rsidP="00A07A18"/>
    <w:p w:rsidR="00A90DB6" w:rsidRDefault="00A90DB6" w:rsidP="00A90DB6">
      <w:pPr>
        <w:ind w:left="708"/>
        <w:jc w:val="right"/>
        <w:rPr>
          <w:rFonts w:ascii="Arial" w:hAnsi="Arial"/>
          <w:b/>
        </w:rPr>
      </w:pPr>
    </w:p>
    <w:p w:rsidR="00A90DB6" w:rsidRDefault="009F59C0" w:rsidP="00A90DB6">
      <w:pPr>
        <w:ind w:left="708"/>
        <w:jc w:val="right"/>
        <w:rPr>
          <w:rFonts w:ascii="Arial" w:hAnsi="Arial"/>
          <w:b/>
        </w:rPr>
      </w:pPr>
      <w:r>
        <w:rPr>
          <w:rFonts w:ascii="Arial" w:hAnsi="Arial"/>
          <w:b/>
        </w:rPr>
        <w:t xml:space="preserve">Le </w:t>
      </w:r>
      <w:r w:rsidR="002D2FE0">
        <w:rPr>
          <w:rFonts w:ascii="Arial" w:hAnsi="Arial"/>
          <w:b/>
        </w:rPr>
        <w:t>23 mai 2025</w:t>
      </w:r>
    </w:p>
    <w:p w:rsidR="00A90DB6" w:rsidRDefault="00A90DB6" w:rsidP="00A90DB6">
      <w:pPr>
        <w:ind w:left="708"/>
        <w:jc w:val="right"/>
        <w:rPr>
          <w:rFonts w:ascii="Arial" w:hAnsi="Arial"/>
          <w:b/>
        </w:rPr>
      </w:pPr>
    </w:p>
    <w:p w:rsidR="00A90DB6" w:rsidRPr="004351C9" w:rsidRDefault="00A90DB6" w:rsidP="00A90DB6">
      <w:pPr>
        <w:autoSpaceDE w:val="0"/>
        <w:autoSpaceDN w:val="0"/>
        <w:adjustRightInd w:val="0"/>
        <w:jc w:val="center"/>
        <w:rPr>
          <w:b/>
          <w:bCs/>
          <w:color w:val="000000"/>
        </w:rPr>
      </w:pPr>
    </w:p>
    <w:p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w:t>
      </w:r>
      <w:bookmarkStart w:id="0" w:name="_GoBack"/>
      <w:bookmarkEnd w:id="0"/>
      <w:r w:rsidR="00AF5C40">
        <w:rPr>
          <w:b/>
          <w:bCs/>
          <w:color w:val="000000"/>
          <w:sz w:val="40"/>
          <w:szCs w:val="40"/>
        </w:rPr>
        <w:t xml:space="preserve">du Bâtiment </w:t>
      </w:r>
      <w:proofErr w:type="spellStart"/>
      <w:r w:rsidR="00AF5C40">
        <w:rPr>
          <w:b/>
          <w:bCs/>
          <w:color w:val="000000"/>
          <w:sz w:val="40"/>
          <w:szCs w:val="40"/>
        </w:rPr>
        <w:t>Désandrouin</w:t>
      </w:r>
      <w:proofErr w:type="spellEnd"/>
    </w:p>
    <w:p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1B659F">
        <w:rPr>
          <w:b/>
          <w:bCs/>
          <w:color w:val="000000"/>
          <w:sz w:val="40"/>
          <w:szCs w:val="40"/>
        </w:rPr>
        <w:t xml:space="preserve"> 3</w:t>
      </w:r>
      <w:r w:rsidR="00405ADA">
        <w:rPr>
          <w:b/>
          <w:bCs/>
          <w:color w:val="000000"/>
          <w:sz w:val="40"/>
          <w:szCs w:val="40"/>
        </w:rPr>
        <w:t xml:space="preserve"> </w:t>
      </w:r>
      <w:r w:rsidR="001B659F">
        <w:rPr>
          <w:b/>
          <w:bCs/>
          <w:color w:val="000000"/>
          <w:sz w:val="40"/>
          <w:szCs w:val="40"/>
        </w:rPr>
        <w:t>Menuiseries Extérieures</w:t>
      </w:r>
    </w:p>
    <w:p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rsidR="00A90DB6" w:rsidRPr="004351C9" w:rsidRDefault="00A90DB6" w:rsidP="00A90DB6">
      <w:pPr>
        <w:ind w:left="96"/>
        <w:jc w:val="center"/>
        <w:rPr>
          <w:b/>
          <w:bCs/>
          <w:color w:val="000000"/>
        </w:rPr>
      </w:pPr>
      <w:r w:rsidRPr="004351C9">
        <w:rPr>
          <w:b/>
          <w:bCs/>
          <w:color w:val="000000"/>
        </w:rPr>
        <w:t xml:space="preserve">Pôle </w:t>
      </w:r>
      <w:r w:rsidR="00AA5E1A">
        <w:rPr>
          <w:b/>
          <w:bCs/>
          <w:color w:val="000000"/>
        </w:rPr>
        <w:t>Services</w:t>
      </w:r>
    </w:p>
    <w:p w:rsidR="00A90DB6" w:rsidRPr="004351C9" w:rsidRDefault="00A90DB6" w:rsidP="00A90DB6">
      <w:pPr>
        <w:ind w:left="96"/>
        <w:jc w:val="center"/>
        <w:rPr>
          <w:b/>
          <w:bCs/>
          <w:color w:val="000000"/>
        </w:rPr>
      </w:pPr>
      <w:r w:rsidRPr="004351C9">
        <w:rPr>
          <w:b/>
          <w:bCs/>
          <w:color w:val="000000"/>
        </w:rPr>
        <w:t>Département Patrimoine</w:t>
      </w:r>
    </w:p>
    <w:p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rsidR="00A90DB6" w:rsidRPr="004351C9" w:rsidRDefault="00A90DB6" w:rsidP="00A90DB6">
      <w:pPr>
        <w:ind w:left="96"/>
        <w:jc w:val="center"/>
        <w:rPr>
          <w:b/>
          <w:bCs/>
          <w:color w:val="000000"/>
        </w:rPr>
      </w:pPr>
      <w:r w:rsidRPr="004351C9">
        <w:rPr>
          <w:b/>
          <w:bCs/>
          <w:color w:val="000000"/>
        </w:rPr>
        <w:t>59300 VALENCIENNES</w:t>
      </w:r>
    </w:p>
    <w:p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45AD5872" wp14:editId="2626F3C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rsidR="005B45C0" w:rsidRDefault="005B45C0" w:rsidP="00C6373C">
      <w:pPr>
        <w:rPr>
          <w:sz w:val="28"/>
        </w:rPr>
      </w:pPr>
    </w:p>
    <w:p w:rsidR="004A1E70" w:rsidRDefault="004A1E70" w:rsidP="00C6373C">
      <w:pPr>
        <w:rPr>
          <w:sz w:val="28"/>
        </w:rPr>
      </w:pPr>
    </w:p>
    <w:p w:rsidR="004A1E70" w:rsidRDefault="004A1E70" w:rsidP="00C6373C">
      <w:pPr>
        <w:rPr>
          <w:sz w:val="28"/>
        </w:rPr>
      </w:pPr>
    </w:p>
    <w:p w:rsidR="004A1E70" w:rsidRDefault="004A1E70" w:rsidP="00C6373C">
      <w:pPr>
        <w:rPr>
          <w:sz w:val="28"/>
        </w:rPr>
      </w:pPr>
    </w:p>
    <w:p w:rsidR="00262476" w:rsidRDefault="00D65F36" w:rsidP="00262476">
      <w:pPr>
        <w:pStyle w:val="Titre1"/>
        <w:numPr>
          <w:ilvl w:val="0"/>
          <w:numId w:val="13"/>
        </w:numPr>
      </w:pPr>
      <w:r w:rsidRPr="002D2FE0">
        <w:lastRenderedPageBreak/>
        <w:t>Présentation du projet</w:t>
      </w:r>
    </w:p>
    <w:p w:rsidR="002D2FE0" w:rsidRPr="002D2FE0" w:rsidRDefault="002D2FE0" w:rsidP="002D2FE0">
      <w:pPr>
        <w:ind w:firstLine="708"/>
        <w:jc w:val="both"/>
        <w:rPr>
          <w:sz w:val="18"/>
          <w:szCs w:val="20"/>
        </w:rPr>
      </w:pPr>
      <w:bookmarkStart w:id="1" w:name="_Hlk198888981"/>
      <w:r w:rsidRPr="002D2FE0">
        <w:rPr>
          <w:sz w:val="18"/>
          <w:szCs w:val="20"/>
        </w:rPr>
        <w:t xml:space="preserve">Le bâtiment concerné par les travaux est une construction des années 1940. Il se compose d’une partie centrale en briques orangées à laquelle ont été ajoutées les ailes annexes en matériaux divers et variés. </w:t>
      </w:r>
    </w:p>
    <w:p w:rsidR="002D2FE0" w:rsidRPr="002D2FE0" w:rsidRDefault="002D2FE0" w:rsidP="002D2FE0">
      <w:pPr>
        <w:ind w:firstLine="708"/>
        <w:jc w:val="both"/>
        <w:rPr>
          <w:sz w:val="18"/>
          <w:szCs w:val="20"/>
        </w:rPr>
      </w:pPr>
      <w:r w:rsidRPr="002D2FE0">
        <w:rPr>
          <w:sz w:val="18"/>
          <w:szCs w:val="20"/>
        </w:rPr>
        <w:t>Ce bâtiment est occupé par la Direction Générale du Centre Hospitalier, par des services de soins, ainsi que par des services publics.</w:t>
      </w:r>
    </w:p>
    <w:p w:rsidR="002D2FE0" w:rsidRPr="002D2FE0" w:rsidRDefault="002D2FE0" w:rsidP="002D2FE0">
      <w:pPr>
        <w:spacing w:after="0"/>
        <w:ind w:firstLine="708"/>
        <w:jc w:val="both"/>
        <w:rPr>
          <w:sz w:val="18"/>
          <w:szCs w:val="20"/>
        </w:rPr>
      </w:pPr>
      <w:r w:rsidRPr="002D2FE0">
        <w:rPr>
          <w:sz w:val="18"/>
          <w:szCs w:val="20"/>
        </w:rPr>
        <w:t xml:space="preserve">Le Centre Hospitalier de Valenciennes, dans un souci de maintenance globale et d’amélioration des performances énergétiques, souhaite réaliser la rénovation thermique de ce bâtiment, mais aussi réaliser une restructuration des espaces de réunion, pour permettre de répondre au mieux aux besoins actuels, ces travaux sont compris dans le présent marché. </w:t>
      </w:r>
    </w:p>
    <w:p w:rsidR="002D2FE0" w:rsidRPr="002D2FE0" w:rsidRDefault="002D2FE0" w:rsidP="002D2FE0">
      <w:pPr>
        <w:spacing w:after="0"/>
        <w:ind w:firstLine="708"/>
        <w:jc w:val="both"/>
        <w:rPr>
          <w:sz w:val="18"/>
          <w:szCs w:val="20"/>
        </w:rPr>
      </w:pPr>
    </w:p>
    <w:p w:rsidR="002D2FE0" w:rsidRPr="002D2FE0" w:rsidRDefault="002D2FE0" w:rsidP="002D2FE0">
      <w:pPr>
        <w:jc w:val="both"/>
        <w:rPr>
          <w:sz w:val="18"/>
          <w:szCs w:val="20"/>
        </w:rPr>
      </w:pPr>
      <w:r w:rsidRPr="002D2FE0">
        <w:rPr>
          <w:sz w:val="18"/>
          <w:szCs w:val="20"/>
        </w:rPr>
        <w:t>Les travaux envisagés touchant à l’aspect extérieur et le bâtiment se trouvant en site patrimonial remarquable, un permis de construire est en cours d’instruction.</w:t>
      </w:r>
    </w:p>
    <w:p w:rsidR="00AA5E1A" w:rsidRDefault="00AA5E1A" w:rsidP="00AA5E1A">
      <w:pPr>
        <w:jc w:val="both"/>
        <w:rPr>
          <w:sz w:val="18"/>
          <w:szCs w:val="20"/>
        </w:rPr>
      </w:pPr>
      <w:r>
        <w:rPr>
          <w:sz w:val="18"/>
          <w:szCs w:val="20"/>
        </w:rPr>
        <w:t>Le marché de travaux est divisé en 8 lots, à savoir :</w:t>
      </w:r>
    </w:p>
    <w:p w:rsidR="00AA5E1A" w:rsidRDefault="00AA5E1A" w:rsidP="00AA5E1A">
      <w:pPr>
        <w:spacing w:after="0"/>
        <w:ind w:firstLine="708"/>
        <w:jc w:val="both"/>
        <w:rPr>
          <w:sz w:val="18"/>
          <w:szCs w:val="20"/>
        </w:rPr>
      </w:pPr>
      <w:r>
        <w:rPr>
          <w:sz w:val="18"/>
          <w:szCs w:val="20"/>
        </w:rPr>
        <w:t>- lot 0 Généralités</w:t>
      </w:r>
    </w:p>
    <w:p w:rsidR="00AA5E1A" w:rsidRDefault="00AA5E1A" w:rsidP="00AA5E1A">
      <w:pPr>
        <w:spacing w:after="0"/>
        <w:ind w:firstLine="708"/>
        <w:jc w:val="both"/>
        <w:rPr>
          <w:sz w:val="18"/>
          <w:szCs w:val="20"/>
        </w:rPr>
      </w:pPr>
      <w:r>
        <w:rPr>
          <w:sz w:val="18"/>
          <w:szCs w:val="20"/>
        </w:rPr>
        <w:t>- lot 1 Gros-Œuvre – Plâtrerie/Aménagement intérieur</w:t>
      </w:r>
    </w:p>
    <w:p w:rsidR="00AA5E1A" w:rsidRDefault="00AA5E1A" w:rsidP="00AA5E1A">
      <w:pPr>
        <w:spacing w:after="0"/>
        <w:ind w:firstLine="708"/>
        <w:jc w:val="both"/>
        <w:rPr>
          <w:sz w:val="18"/>
          <w:szCs w:val="20"/>
        </w:rPr>
      </w:pPr>
      <w:r>
        <w:rPr>
          <w:sz w:val="18"/>
          <w:szCs w:val="20"/>
        </w:rPr>
        <w:t>- lot 2 Couverture – Etanchéité</w:t>
      </w:r>
    </w:p>
    <w:p w:rsidR="00AA5E1A" w:rsidRDefault="00AA5E1A" w:rsidP="00AA5E1A">
      <w:pPr>
        <w:spacing w:after="0"/>
        <w:ind w:firstLine="708"/>
        <w:jc w:val="both"/>
        <w:rPr>
          <w:sz w:val="18"/>
          <w:szCs w:val="20"/>
        </w:rPr>
      </w:pPr>
      <w:r>
        <w:rPr>
          <w:sz w:val="18"/>
          <w:szCs w:val="20"/>
        </w:rPr>
        <w:t>- lot 3 Menuiseries extérieures</w:t>
      </w:r>
    </w:p>
    <w:p w:rsidR="00AA5E1A" w:rsidRDefault="00AA5E1A" w:rsidP="00AA5E1A">
      <w:pPr>
        <w:spacing w:after="0"/>
        <w:ind w:firstLine="708"/>
        <w:jc w:val="both"/>
        <w:rPr>
          <w:sz w:val="18"/>
          <w:szCs w:val="20"/>
        </w:rPr>
      </w:pPr>
      <w:r>
        <w:rPr>
          <w:sz w:val="18"/>
          <w:szCs w:val="20"/>
        </w:rPr>
        <w:t>- lot 4 Peintures murales et revêtements de sol</w:t>
      </w:r>
    </w:p>
    <w:p w:rsidR="00AA5E1A" w:rsidRDefault="00AA5E1A" w:rsidP="00AA5E1A">
      <w:pPr>
        <w:spacing w:after="0"/>
        <w:ind w:firstLine="708"/>
        <w:jc w:val="both"/>
        <w:rPr>
          <w:sz w:val="18"/>
          <w:szCs w:val="20"/>
        </w:rPr>
      </w:pPr>
      <w:r>
        <w:rPr>
          <w:sz w:val="18"/>
          <w:szCs w:val="20"/>
        </w:rPr>
        <w:t>- lot 5 Courant fort – Courant faible</w:t>
      </w:r>
    </w:p>
    <w:p w:rsidR="00AA5E1A" w:rsidRDefault="00AA5E1A" w:rsidP="00AA5E1A">
      <w:pPr>
        <w:spacing w:after="0"/>
        <w:ind w:firstLine="708"/>
        <w:jc w:val="both"/>
        <w:rPr>
          <w:sz w:val="18"/>
          <w:szCs w:val="20"/>
        </w:rPr>
      </w:pPr>
      <w:r>
        <w:rPr>
          <w:sz w:val="18"/>
          <w:szCs w:val="20"/>
        </w:rPr>
        <w:t>- lot 6 Plomberie – Chauffage – Ventilation</w:t>
      </w:r>
    </w:p>
    <w:p w:rsidR="00AA5E1A" w:rsidRDefault="00AA5E1A" w:rsidP="00AA5E1A">
      <w:pPr>
        <w:spacing w:after="0"/>
        <w:ind w:firstLine="708"/>
        <w:jc w:val="both"/>
        <w:rPr>
          <w:sz w:val="18"/>
          <w:szCs w:val="20"/>
        </w:rPr>
      </w:pPr>
      <w:r>
        <w:rPr>
          <w:sz w:val="18"/>
          <w:szCs w:val="20"/>
        </w:rPr>
        <w:t>- lot 7 Désamiantage</w:t>
      </w:r>
    </w:p>
    <w:p w:rsidR="00AA5E1A" w:rsidRDefault="00AA5E1A" w:rsidP="00AA5E1A">
      <w:pPr>
        <w:spacing w:after="0"/>
        <w:ind w:firstLine="708"/>
        <w:jc w:val="both"/>
        <w:rPr>
          <w:sz w:val="18"/>
          <w:szCs w:val="20"/>
        </w:rPr>
      </w:pPr>
      <w:r>
        <w:rPr>
          <w:sz w:val="18"/>
          <w:szCs w:val="20"/>
        </w:rPr>
        <w:t>- lot 8 Agencement (lancé via une autre procédure)</w:t>
      </w:r>
    </w:p>
    <w:p w:rsidR="002D2FE0" w:rsidRPr="002D2FE0" w:rsidRDefault="002D2FE0" w:rsidP="002D2FE0">
      <w:pPr>
        <w:spacing w:after="0"/>
        <w:ind w:firstLine="708"/>
        <w:jc w:val="both"/>
        <w:rPr>
          <w:sz w:val="18"/>
          <w:szCs w:val="20"/>
        </w:rPr>
      </w:pPr>
    </w:p>
    <w:p w:rsidR="002D2FE0" w:rsidRDefault="002D2FE0" w:rsidP="002D2FE0">
      <w:pPr>
        <w:ind w:firstLine="708"/>
        <w:jc w:val="both"/>
        <w:rPr>
          <w:sz w:val="18"/>
          <w:szCs w:val="20"/>
        </w:rPr>
      </w:pPr>
      <w:r w:rsidRPr="002D2FE0">
        <w:rPr>
          <w:sz w:val="18"/>
          <w:szCs w:val="20"/>
        </w:rPr>
        <w:t xml:space="preserve">Le bâtiment aujourd’hui majoritairement occupé sera en service pendant toute la durée des travaux. </w:t>
      </w:r>
      <w:r w:rsidRPr="002D2FE0">
        <w:rPr>
          <w:b/>
          <w:sz w:val="18"/>
          <w:szCs w:val="20"/>
        </w:rPr>
        <w:t xml:space="preserve">Seules des portions seront libérées de façon à réaliser l’ensemble du chantier en 16 phases. </w:t>
      </w:r>
      <w:r w:rsidRPr="002D2FE0">
        <w:rPr>
          <w:sz w:val="18"/>
          <w:szCs w:val="20"/>
        </w:rPr>
        <w:t xml:space="preserve">Les locaux sont occupés en partie par des bureaux administratifs, mais aussi par des services d’accueil de patient à la journée. </w:t>
      </w:r>
      <w:bookmarkEnd w:id="1"/>
    </w:p>
    <w:p w:rsidR="00BF2541" w:rsidRPr="002D2FE0" w:rsidRDefault="00BF2541" w:rsidP="002D2FE0">
      <w:pPr>
        <w:pStyle w:val="Titre1"/>
        <w:numPr>
          <w:ilvl w:val="0"/>
          <w:numId w:val="13"/>
        </w:numPr>
        <w:rPr>
          <w:sz w:val="18"/>
          <w:szCs w:val="20"/>
        </w:rPr>
      </w:pPr>
      <w:r w:rsidRPr="002D2FE0">
        <w:t>Description des travaux</w:t>
      </w:r>
    </w:p>
    <w:p w:rsidR="00132AFB" w:rsidRPr="002D2FE0" w:rsidRDefault="00132AFB" w:rsidP="002D2FE0">
      <w:pPr>
        <w:pStyle w:val="Titre2"/>
        <w:numPr>
          <w:ilvl w:val="1"/>
          <w:numId w:val="13"/>
        </w:numPr>
      </w:pPr>
      <w:r w:rsidRPr="002D2FE0">
        <w:t>Généralités</w:t>
      </w:r>
    </w:p>
    <w:p w:rsidR="00132AFB" w:rsidRDefault="00132AFB" w:rsidP="00772B4E">
      <w:pPr>
        <w:jc w:val="both"/>
        <w:rPr>
          <w:sz w:val="18"/>
        </w:rPr>
      </w:pPr>
      <w:r w:rsidRPr="00132AFB">
        <w:rPr>
          <w:sz w:val="18"/>
        </w:rPr>
        <w:t xml:space="preserve">Le titulaire </w:t>
      </w:r>
      <w:r>
        <w:rPr>
          <w:sz w:val="18"/>
        </w:rPr>
        <w:t xml:space="preserve">du présent devra se conformer aux éléments décrits dans le permis de construire et conformément à la nomenclature jointe. Néanmoins il sera nécessaire à l’entreprise d’effectuer un relevé sur site pour confirmer les dimensions et confirmer les décompositions de châssis, ainsi que la présence ou non de garde-corps. </w:t>
      </w:r>
    </w:p>
    <w:p w:rsidR="00772B4E" w:rsidRDefault="00772B4E" w:rsidP="00772B4E">
      <w:pPr>
        <w:jc w:val="both"/>
        <w:rPr>
          <w:sz w:val="18"/>
        </w:rPr>
      </w:pPr>
      <w:r>
        <w:rPr>
          <w:sz w:val="18"/>
        </w:rPr>
        <w:t xml:space="preserve">Si toute fois une seule lisse de </w:t>
      </w:r>
      <w:r w:rsidR="00F81BAF">
        <w:rPr>
          <w:sz w:val="18"/>
        </w:rPr>
        <w:t>garde-corps</w:t>
      </w:r>
      <w:r>
        <w:rPr>
          <w:sz w:val="18"/>
        </w:rPr>
        <w:t xml:space="preserve"> n’est pas suffisant, il conviendra que le titulaire du présent lot en installe une seconde.</w:t>
      </w:r>
    </w:p>
    <w:p w:rsidR="00132AFB" w:rsidRPr="002D2FE0" w:rsidRDefault="002D2FE0" w:rsidP="002D2FE0">
      <w:pPr>
        <w:jc w:val="both"/>
        <w:rPr>
          <w:sz w:val="18"/>
        </w:rPr>
      </w:pPr>
      <w:r>
        <w:rPr>
          <w:sz w:val="18"/>
        </w:rPr>
        <w:t xml:space="preserve">L’ensemble des châssis démontés (hors amiante) devront entrer dans le cadre d’une réinsertion par le biais d’une filiale spécialisée. Il sera demandé au titulaire du présent lot de fournir l’ensemble des bordereaux de suivi. </w:t>
      </w:r>
    </w:p>
    <w:p w:rsidR="00132AFB" w:rsidRPr="00132AFB" w:rsidRDefault="001B659F" w:rsidP="002D2FE0">
      <w:pPr>
        <w:pStyle w:val="Titre2"/>
        <w:numPr>
          <w:ilvl w:val="1"/>
          <w:numId w:val="13"/>
        </w:numPr>
      </w:pPr>
      <w:r>
        <w:t>Travail demandé</w:t>
      </w:r>
    </w:p>
    <w:p w:rsidR="009C0860" w:rsidRPr="002D2FE0" w:rsidRDefault="00BF2541" w:rsidP="009C0860">
      <w:pPr>
        <w:ind w:firstLine="360"/>
        <w:rPr>
          <w:sz w:val="18"/>
          <w:szCs w:val="20"/>
        </w:rPr>
      </w:pPr>
      <w:r w:rsidRPr="002D2FE0">
        <w:rPr>
          <w:sz w:val="18"/>
          <w:szCs w:val="20"/>
        </w:rPr>
        <w:t>Sur l’ensemble du bâtiment</w:t>
      </w:r>
      <w:r w:rsidR="009D4AD6" w:rsidRPr="002D2FE0">
        <w:rPr>
          <w:sz w:val="18"/>
          <w:szCs w:val="20"/>
        </w:rPr>
        <w:t xml:space="preserve">, </w:t>
      </w:r>
      <w:r w:rsidR="009C0860" w:rsidRPr="002D2FE0">
        <w:rPr>
          <w:sz w:val="18"/>
          <w:szCs w:val="20"/>
        </w:rPr>
        <w:t xml:space="preserve">il est demandé de remplacer les menuiseries extérieures listés au plan ci-annexé par des menuiseries aluminium double vitrage. Une dépose soignée des ébrasements intérieurs et menuiseries sera nécessaire afin de bannir toute dégradation sur les ouvrages annexes. </w:t>
      </w:r>
    </w:p>
    <w:p w:rsidR="009C0860" w:rsidRPr="002D2FE0" w:rsidRDefault="009C0860" w:rsidP="009C0860">
      <w:pPr>
        <w:jc w:val="both"/>
        <w:rPr>
          <w:sz w:val="18"/>
          <w:szCs w:val="20"/>
        </w:rPr>
      </w:pPr>
      <w:r w:rsidRPr="002D2FE0">
        <w:rPr>
          <w:sz w:val="18"/>
          <w:szCs w:val="20"/>
        </w:rPr>
        <w:t>Ci-dessous la liste des travaux de menuiserie extérieure :</w:t>
      </w:r>
    </w:p>
    <w:p w:rsidR="009C0860" w:rsidRPr="002D2FE0" w:rsidRDefault="009C0860" w:rsidP="009C0860">
      <w:pPr>
        <w:pStyle w:val="Paragraphedeliste"/>
        <w:numPr>
          <w:ilvl w:val="0"/>
          <w:numId w:val="12"/>
        </w:numPr>
        <w:jc w:val="both"/>
        <w:rPr>
          <w:sz w:val="18"/>
          <w:szCs w:val="20"/>
        </w:rPr>
      </w:pPr>
      <w:r w:rsidRPr="002D2FE0">
        <w:rPr>
          <w:sz w:val="18"/>
          <w:szCs w:val="20"/>
        </w:rPr>
        <w:t>Dépose et évacuation des menuiseries aluminium existantes (hors menuiseries présentant des joints amiantés à stocker sur site)</w:t>
      </w:r>
    </w:p>
    <w:p w:rsidR="009C0860" w:rsidRPr="002D2FE0" w:rsidRDefault="009C0860" w:rsidP="009C0860">
      <w:pPr>
        <w:pStyle w:val="Paragraphedeliste"/>
        <w:numPr>
          <w:ilvl w:val="0"/>
          <w:numId w:val="12"/>
        </w:numPr>
        <w:jc w:val="both"/>
        <w:rPr>
          <w:sz w:val="18"/>
          <w:szCs w:val="20"/>
        </w:rPr>
      </w:pPr>
      <w:r w:rsidRPr="002D2FE0">
        <w:rPr>
          <w:sz w:val="18"/>
          <w:szCs w:val="20"/>
        </w:rPr>
        <w:t xml:space="preserve">Reprise des redressements de tableaux au mortier </w:t>
      </w:r>
    </w:p>
    <w:p w:rsidR="003F243C" w:rsidRPr="002D2FE0" w:rsidRDefault="009C0860" w:rsidP="00CC5428">
      <w:pPr>
        <w:pStyle w:val="Paragraphedeliste"/>
        <w:numPr>
          <w:ilvl w:val="0"/>
          <w:numId w:val="12"/>
        </w:numPr>
        <w:jc w:val="both"/>
        <w:rPr>
          <w:sz w:val="18"/>
          <w:szCs w:val="20"/>
        </w:rPr>
      </w:pPr>
      <w:r w:rsidRPr="002D2FE0">
        <w:rPr>
          <w:sz w:val="18"/>
          <w:szCs w:val="20"/>
        </w:rPr>
        <w:t xml:space="preserve">Fourniture et pose de menuiseries aluminium conformément au DTU 36.5 – pose en </w:t>
      </w:r>
      <w:r w:rsidR="003F243C" w:rsidRPr="002D2FE0">
        <w:rPr>
          <w:sz w:val="18"/>
          <w:szCs w:val="20"/>
        </w:rPr>
        <w:t>applique</w:t>
      </w:r>
    </w:p>
    <w:p w:rsidR="009C0860" w:rsidRPr="002D2FE0" w:rsidRDefault="009C0860" w:rsidP="00CC5428">
      <w:pPr>
        <w:pStyle w:val="Paragraphedeliste"/>
        <w:numPr>
          <w:ilvl w:val="0"/>
          <w:numId w:val="12"/>
        </w:numPr>
        <w:jc w:val="both"/>
        <w:rPr>
          <w:sz w:val="18"/>
          <w:szCs w:val="20"/>
        </w:rPr>
      </w:pPr>
      <w:r w:rsidRPr="002D2FE0">
        <w:rPr>
          <w:sz w:val="18"/>
          <w:szCs w:val="20"/>
        </w:rPr>
        <w:t xml:space="preserve">Réalisation des finitions extérieures par joint silicone translucide sur </w:t>
      </w:r>
      <w:proofErr w:type="spellStart"/>
      <w:r w:rsidRPr="002D2FE0">
        <w:rPr>
          <w:sz w:val="18"/>
          <w:szCs w:val="20"/>
        </w:rPr>
        <w:t>compribande</w:t>
      </w:r>
      <w:proofErr w:type="spellEnd"/>
    </w:p>
    <w:p w:rsidR="009C0860" w:rsidRPr="002D2FE0" w:rsidRDefault="009C0860" w:rsidP="009C0860">
      <w:pPr>
        <w:pStyle w:val="Paragraphedeliste"/>
        <w:numPr>
          <w:ilvl w:val="0"/>
          <w:numId w:val="12"/>
        </w:numPr>
        <w:jc w:val="both"/>
        <w:rPr>
          <w:sz w:val="18"/>
          <w:szCs w:val="20"/>
        </w:rPr>
      </w:pPr>
      <w:r w:rsidRPr="002D2FE0">
        <w:rPr>
          <w:sz w:val="18"/>
          <w:szCs w:val="20"/>
        </w:rPr>
        <w:t>Les vitrages des fenêtres de WC devront être équipés de film opaque et façon à supprimer tout vis-à-vis</w:t>
      </w:r>
    </w:p>
    <w:p w:rsidR="009C0860" w:rsidRPr="002D2FE0" w:rsidRDefault="003F243C" w:rsidP="009C0860">
      <w:pPr>
        <w:pStyle w:val="Paragraphedeliste"/>
        <w:numPr>
          <w:ilvl w:val="0"/>
          <w:numId w:val="12"/>
        </w:numPr>
        <w:jc w:val="both"/>
        <w:rPr>
          <w:sz w:val="18"/>
          <w:szCs w:val="20"/>
        </w:rPr>
      </w:pPr>
      <w:r w:rsidRPr="002D2FE0">
        <w:rPr>
          <w:sz w:val="18"/>
          <w:szCs w:val="20"/>
        </w:rPr>
        <w:t>Des volets roulants devront être prévus (voir selon plan) avec le caisson de volet intégrer dans le contre linteau</w:t>
      </w:r>
    </w:p>
    <w:p w:rsidR="009C0860" w:rsidRPr="00BF2541" w:rsidRDefault="009C0860" w:rsidP="00BF2541"/>
    <w:p w:rsidR="00BF2541" w:rsidRDefault="001B659F" w:rsidP="002D2FE0">
      <w:pPr>
        <w:pStyle w:val="Titre2"/>
        <w:numPr>
          <w:ilvl w:val="1"/>
          <w:numId w:val="13"/>
        </w:numPr>
      </w:pPr>
      <w:r>
        <w:t>Caractéristiques techniques menuiseries</w:t>
      </w:r>
    </w:p>
    <w:p w:rsidR="00636ED7" w:rsidRDefault="00636ED7" w:rsidP="009D4AD6">
      <w:pPr>
        <w:pStyle w:val="Paragraphedeliste"/>
        <w:autoSpaceDE w:val="0"/>
        <w:autoSpaceDN w:val="0"/>
        <w:adjustRightInd w:val="0"/>
        <w:spacing w:after="0" w:line="240" w:lineRule="auto"/>
        <w:ind w:left="360"/>
        <w:rPr>
          <w:rFonts w:cstheme="minorHAnsi"/>
          <w:sz w:val="20"/>
        </w:rPr>
      </w:pPr>
    </w:p>
    <w:p w:rsidR="009D4AD6" w:rsidRPr="002D2FE0" w:rsidRDefault="009C0860" w:rsidP="00636ED7">
      <w:pPr>
        <w:pStyle w:val="Paragraphedeliste"/>
        <w:autoSpaceDE w:val="0"/>
        <w:autoSpaceDN w:val="0"/>
        <w:adjustRightInd w:val="0"/>
        <w:spacing w:after="0" w:line="240" w:lineRule="auto"/>
        <w:ind w:left="0"/>
        <w:rPr>
          <w:rFonts w:cstheme="minorHAnsi"/>
          <w:sz w:val="18"/>
        </w:rPr>
      </w:pPr>
      <w:r w:rsidRPr="002D2FE0">
        <w:rPr>
          <w:rFonts w:cstheme="minorHAnsi"/>
          <w:sz w:val="18"/>
        </w:rPr>
        <w:t>Les menuiseries devront présenter les caractéristiques suivantes :</w:t>
      </w:r>
    </w:p>
    <w:p w:rsidR="009C0860" w:rsidRDefault="009C0860" w:rsidP="009C0860">
      <w:pPr>
        <w:pStyle w:val="Paragraphedeliste"/>
        <w:numPr>
          <w:ilvl w:val="0"/>
          <w:numId w:val="12"/>
        </w:numPr>
        <w:jc w:val="both"/>
        <w:rPr>
          <w:sz w:val="18"/>
          <w:szCs w:val="20"/>
        </w:rPr>
      </w:pPr>
      <w:r w:rsidRPr="002D2FE0">
        <w:rPr>
          <w:sz w:val="18"/>
          <w:szCs w:val="20"/>
        </w:rPr>
        <w:t>Aluminium à rupture de pont thermique</w:t>
      </w:r>
    </w:p>
    <w:p w:rsidR="00476635" w:rsidRDefault="00476635" w:rsidP="009C0860">
      <w:pPr>
        <w:pStyle w:val="Paragraphedeliste"/>
        <w:numPr>
          <w:ilvl w:val="0"/>
          <w:numId w:val="12"/>
        </w:numPr>
        <w:jc w:val="both"/>
        <w:rPr>
          <w:sz w:val="18"/>
          <w:szCs w:val="20"/>
        </w:rPr>
      </w:pPr>
      <w:r>
        <w:rPr>
          <w:sz w:val="18"/>
          <w:szCs w:val="20"/>
        </w:rPr>
        <w:t>Pose en applique</w:t>
      </w:r>
    </w:p>
    <w:p w:rsidR="00476635" w:rsidRPr="002D2FE0" w:rsidRDefault="00476635" w:rsidP="009C0860">
      <w:pPr>
        <w:pStyle w:val="Paragraphedeliste"/>
        <w:numPr>
          <w:ilvl w:val="0"/>
          <w:numId w:val="12"/>
        </w:numPr>
        <w:jc w:val="both"/>
        <w:rPr>
          <w:sz w:val="18"/>
          <w:szCs w:val="20"/>
        </w:rPr>
      </w:pPr>
      <w:r>
        <w:rPr>
          <w:sz w:val="18"/>
          <w:szCs w:val="20"/>
        </w:rPr>
        <w:t>Châssis avec grille d’entrée d’air</w:t>
      </w:r>
    </w:p>
    <w:p w:rsidR="009C0860" w:rsidRPr="002D2FE0" w:rsidRDefault="009C0860" w:rsidP="009C0860">
      <w:pPr>
        <w:pStyle w:val="Paragraphedeliste"/>
        <w:numPr>
          <w:ilvl w:val="0"/>
          <w:numId w:val="12"/>
        </w:numPr>
        <w:jc w:val="both"/>
        <w:rPr>
          <w:sz w:val="18"/>
          <w:szCs w:val="20"/>
        </w:rPr>
      </w:pPr>
      <w:r w:rsidRPr="002D2FE0">
        <w:rPr>
          <w:sz w:val="18"/>
          <w:szCs w:val="20"/>
        </w:rPr>
        <w:t>Profils extrudés en alliage aluminium</w:t>
      </w:r>
    </w:p>
    <w:p w:rsidR="009C0860" w:rsidRPr="002D2FE0" w:rsidRDefault="009C0860" w:rsidP="009C0860">
      <w:pPr>
        <w:pStyle w:val="Paragraphedeliste"/>
        <w:numPr>
          <w:ilvl w:val="0"/>
          <w:numId w:val="12"/>
        </w:numPr>
        <w:jc w:val="both"/>
        <w:rPr>
          <w:sz w:val="18"/>
          <w:szCs w:val="20"/>
        </w:rPr>
      </w:pPr>
      <w:r w:rsidRPr="002D2FE0">
        <w:rPr>
          <w:sz w:val="18"/>
          <w:szCs w:val="20"/>
        </w:rPr>
        <w:t xml:space="preserve">Thermo-laquage sous label </w:t>
      </w:r>
      <w:proofErr w:type="spellStart"/>
      <w:r w:rsidRPr="002D2FE0">
        <w:rPr>
          <w:sz w:val="18"/>
          <w:szCs w:val="20"/>
        </w:rPr>
        <w:t>qualicoat</w:t>
      </w:r>
      <w:proofErr w:type="spellEnd"/>
      <w:r w:rsidRPr="002D2FE0">
        <w:rPr>
          <w:sz w:val="18"/>
          <w:szCs w:val="20"/>
        </w:rPr>
        <w:t> ; revêtement en poudre polyester polymérisée</w:t>
      </w:r>
    </w:p>
    <w:p w:rsidR="009C0860" w:rsidRPr="002D2FE0" w:rsidRDefault="003F243C" w:rsidP="009C0860">
      <w:pPr>
        <w:pStyle w:val="Paragraphedeliste"/>
        <w:numPr>
          <w:ilvl w:val="0"/>
          <w:numId w:val="12"/>
        </w:numPr>
        <w:jc w:val="both"/>
        <w:rPr>
          <w:sz w:val="18"/>
          <w:szCs w:val="20"/>
        </w:rPr>
      </w:pPr>
      <w:r w:rsidRPr="002D2FE0">
        <w:rPr>
          <w:sz w:val="18"/>
          <w:szCs w:val="20"/>
        </w:rPr>
        <w:t>Coloris RAL 1015</w:t>
      </w:r>
      <w:r w:rsidR="009C0860" w:rsidRPr="002D2FE0">
        <w:rPr>
          <w:sz w:val="18"/>
          <w:szCs w:val="20"/>
        </w:rPr>
        <w:t xml:space="preserve"> intérieur extérieur </w:t>
      </w:r>
    </w:p>
    <w:p w:rsidR="009C0860" w:rsidRPr="002D2FE0" w:rsidRDefault="009C0860" w:rsidP="009C0860">
      <w:pPr>
        <w:pStyle w:val="Paragraphedeliste"/>
        <w:numPr>
          <w:ilvl w:val="0"/>
          <w:numId w:val="12"/>
        </w:numPr>
        <w:jc w:val="both"/>
        <w:rPr>
          <w:sz w:val="18"/>
          <w:szCs w:val="20"/>
        </w:rPr>
      </w:pPr>
      <w:r w:rsidRPr="002D2FE0">
        <w:rPr>
          <w:sz w:val="18"/>
          <w:szCs w:val="20"/>
        </w:rPr>
        <w:t xml:space="preserve">Système de manœuvre laqué RAL </w:t>
      </w:r>
      <w:r w:rsidR="00476635">
        <w:rPr>
          <w:sz w:val="18"/>
          <w:szCs w:val="20"/>
        </w:rPr>
        <w:t>1015</w:t>
      </w:r>
    </w:p>
    <w:p w:rsidR="009C0860" w:rsidRDefault="009C0860" w:rsidP="009C0860">
      <w:pPr>
        <w:pStyle w:val="Paragraphedeliste"/>
        <w:numPr>
          <w:ilvl w:val="0"/>
          <w:numId w:val="12"/>
        </w:numPr>
        <w:jc w:val="both"/>
        <w:rPr>
          <w:sz w:val="18"/>
          <w:szCs w:val="20"/>
        </w:rPr>
      </w:pPr>
      <w:r w:rsidRPr="002D2FE0">
        <w:rPr>
          <w:sz w:val="18"/>
          <w:szCs w:val="20"/>
        </w:rPr>
        <w:t>2 vantaux à ouverture intérieure + imposte fixe vitrée,</w:t>
      </w:r>
    </w:p>
    <w:p w:rsidR="0086419E" w:rsidRPr="002D2FE0" w:rsidRDefault="0086419E" w:rsidP="009C0860">
      <w:pPr>
        <w:pStyle w:val="Paragraphedeliste"/>
        <w:numPr>
          <w:ilvl w:val="0"/>
          <w:numId w:val="12"/>
        </w:numPr>
        <w:jc w:val="both"/>
        <w:rPr>
          <w:sz w:val="18"/>
          <w:szCs w:val="20"/>
        </w:rPr>
      </w:pPr>
      <w:r>
        <w:rPr>
          <w:sz w:val="18"/>
          <w:szCs w:val="20"/>
        </w:rPr>
        <w:t xml:space="preserve">Ouvrant minimal à chant </w:t>
      </w:r>
      <w:proofErr w:type="spellStart"/>
      <w:r>
        <w:rPr>
          <w:sz w:val="18"/>
          <w:szCs w:val="20"/>
        </w:rPr>
        <w:t>clippé</w:t>
      </w:r>
      <w:proofErr w:type="spellEnd"/>
    </w:p>
    <w:p w:rsidR="009C0860" w:rsidRPr="002D2FE0" w:rsidRDefault="009C0860" w:rsidP="009C0860">
      <w:pPr>
        <w:pStyle w:val="Paragraphedeliste"/>
        <w:numPr>
          <w:ilvl w:val="0"/>
          <w:numId w:val="12"/>
        </w:numPr>
        <w:jc w:val="both"/>
        <w:rPr>
          <w:sz w:val="18"/>
          <w:szCs w:val="20"/>
        </w:rPr>
      </w:pPr>
      <w:r w:rsidRPr="002D2FE0">
        <w:rPr>
          <w:sz w:val="18"/>
          <w:szCs w:val="20"/>
        </w:rPr>
        <w:t>Ferrage par 4 paumelles, ouverture de type oscillo-battante</w:t>
      </w:r>
      <w:r w:rsidR="00636ED7" w:rsidRPr="002D2FE0">
        <w:rPr>
          <w:sz w:val="18"/>
          <w:szCs w:val="20"/>
        </w:rPr>
        <w:t xml:space="preserve"> ou coulissant suivant le type</w:t>
      </w:r>
    </w:p>
    <w:p w:rsidR="00636ED7" w:rsidRPr="002D2FE0" w:rsidRDefault="009C0860" w:rsidP="00B01199">
      <w:pPr>
        <w:pStyle w:val="Paragraphedeliste"/>
        <w:numPr>
          <w:ilvl w:val="0"/>
          <w:numId w:val="12"/>
        </w:numPr>
        <w:jc w:val="both"/>
        <w:rPr>
          <w:sz w:val="18"/>
          <w:szCs w:val="20"/>
        </w:rPr>
      </w:pPr>
      <w:r w:rsidRPr="002D2FE0">
        <w:rPr>
          <w:sz w:val="18"/>
          <w:szCs w:val="20"/>
        </w:rPr>
        <w:t xml:space="preserve">Vitrage de type feuilleté </w:t>
      </w:r>
      <w:proofErr w:type="spellStart"/>
      <w:r w:rsidRPr="002D2FE0">
        <w:rPr>
          <w:sz w:val="18"/>
          <w:szCs w:val="20"/>
        </w:rPr>
        <w:t>stadip</w:t>
      </w:r>
      <w:proofErr w:type="spellEnd"/>
      <w:r w:rsidRPr="002D2FE0">
        <w:rPr>
          <w:sz w:val="18"/>
          <w:szCs w:val="20"/>
        </w:rPr>
        <w:t xml:space="preserve"> 4/16/44.2 avec remplissage argon ; </w:t>
      </w:r>
    </w:p>
    <w:p w:rsidR="009C0860" w:rsidRDefault="009C0860" w:rsidP="00B01199">
      <w:pPr>
        <w:pStyle w:val="Paragraphedeliste"/>
        <w:numPr>
          <w:ilvl w:val="0"/>
          <w:numId w:val="12"/>
        </w:numPr>
        <w:jc w:val="both"/>
        <w:rPr>
          <w:sz w:val="18"/>
          <w:szCs w:val="20"/>
        </w:rPr>
      </w:pPr>
      <w:r w:rsidRPr="002D2FE0">
        <w:rPr>
          <w:sz w:val="18"/>
          <w:szCs w:val="20"/>
        </w:rPr>
        <w:t xml:space="preserve">Performance </w:t>
      </w:r>
      <w:r w:rsidR="00636ED7" w:rsidRPr="002D2FE0">
        <w:rPr>
          <w:sz w:val="18"/>
          <w:szCs w:val="20"/>
        </w:rPr>
        <w:t xml:space="preserve">globale des menuiseries : facteur solaire </w:t>
      </w:r>
      <w:proofErr w:type="spellStart"/>
      <w:r w:rsidR="00636ED7" w:rsidRPr="002D2FE0">
        <w:rPr>
          <w:sz w:val="18"/>
          <w:szCs w:val="20"/>
        </w:rPr>
        <w:t>Sw</w:t>
      </w:r>
      <w:proofErr w:type="spellEnd"/>
      <w:r w:rsidR="00636ED7" w:rsidRPr="002D2FE0">
        <w:rPr>
          <w:sz w:val="18"/>
          <w:szCs w:val="20"/>
        </w:rPr>
        <w:t xml:space="preserve"> mini de 0.45 ; </w:t>
      </w:r>
      <w:proofErr w:type="spellStart"/>
      <w:r w:rsidR="00636ED7" w:rsidRPr="002D2FE0">
        <w:rPr>
          <w:sz w:val="18"/>
          <w:szCs w:val="20"/>
        </w:rPr>
        <w:t>Uw</w:t>
      </w:r>
      <w:proofErr w:type="spellEnd"/>
      <w:r w:rsidR="00636ED7" w:rsidRPr="002D2FE0">
        <w:rPr>
          <w:sz w:val="18"/>
          <w:szCs w:val="20"/>
        </w:rPr>
        <w:t xml:space="preserve"> maxi de 1.3 W/m</w:t>
      </w:r>
      <w:proofErr w:type="gramStart"/>
      <w:r w:rsidR="00636ED7" w:rsidRPr="002D2FE0">
        <w:rPr>
          <w:sz w:val="18"/>
          <w:szCs w:val="20"/>
        </w:rPr>
        <w:t>².K</w:t>
      </w:r>
      <w:proofErr w:type="gramEnd"/>
      <w:r w:rsidR="00636ED7" w:rsidRPr="002D2FE0">
        <w:rPr>
          <w:sz w:val="18"/>
          <w:szCs w:val="20"/>
        </w:rPr>
        <w:t> ;</w:t>
      </w:r>
      <w:r w:rsidRPr="002D2FE0">
        <w:rPr>
          <w:sz w:val="18"/>
          <w:szCs w:val="20"/>
        </w:rPr>
        <w:t xml:space="preserve"> </w:t>
      </w:r>
      <w:r w:rsidR="00636ED7" w:rsidRPr="002D2FE0">
        <w:rPr>
          <w:sz w:val="18"/>
          <w:szCs w:val="20"/>
        </w:rPr>
        <w:t xml:space="preserve">transmission lumineuse </w:t>
      </w:r>
      <w:proofErr w:type="spellStart"/>
      <w:r w:rsidR="00636ED7" w:rsidRPr="002D2FE0">
        <w:rPr>
          <w:sz w:val="18"/>
          <w:szCs w:val="20"/>
        </w:rPr>
        <w:t>TLw</w:t>
      </w:r>
      <w:proofErr w:type="spellEnd"/>
      <w:r w:rsidR="00636ED7" w:rsidRPr="002D2FE0">
        <w:rPr>
          <w:sz w:val="18"/>
          <w:szCs w:val="20"/>
        </w:rPr>
        <w:t xml:space="preserve"> de 60%</w:t>
      </w:r>
    </w:p>
    <w:p w:rsidR="0086419E" w:rsidRPr="0086419E" w:rsidRDefault="0086419E" w:rsidP="0086419E">
      <w:pPr>
        <w:pStyle w:val="Paragraphedeliste"/>
        <w:numPr>
          <w:ilvl w:val="0"/>
          <w:numId w:val="12"/>
        </w:numPr>
        <w:jc w:val="both"/>
        <w:rPr>
          <w:sz w:val="18"/>
          <w:szCs w:val="20"/>
        </w:rPr>
      </w:pPr>
      <w:r>
        <w:rPr>
          <w:sz w:val="18"/>
          <w:szCs w:val="20"/>
        </w:rPr>
        <w:t>Volets roulants à voir selon plans</w:t>
      </w:r>
    </w:p>
    <w:p w:rsidR="0086419E" w:rsidRDefault="0086419E" w:rsidP="0086419E">
      <w:pPr>
        <w:jc w:val="both"/>
        <w:rPr>
          <w:sz w:val="18"/>
          <w:szCs w:val="20"/>
        </w:rPr>
      </w:pPr>
      <w:r>
        <w:rPr>
          <w:sz w:val="18"/>
          <w:szCs w:val="20"/>
        </w:rPr>
        <w:t xml:space="preserve">Le détail des châssis est à retrouver dans les annexes jointes au présent marché. </w:t>
      </w:r>
    </w:p>
    <w:p w:rsidR="0086419E" w:rsidRPr="0086419E" w:rsidRDefault="0086419E" w:rsidP="0086419E">
      <w:pPr>
        <w:jc w:val="both"/>
        <w:rPr>
          <w:sz w:val="18"/>
          <w:szCs w:val="20"/>
        </w:rPr>
      </w:pPr>
      <w:r>
        <w:rPr>
          <w:sz w:val="18"/>
          <w:szCs w:val="20"/>
        </w:rPr>
        <w:t>Il sera demandé au titulaire de réaliser un relevé précis et ne pas se baser sur les annexes uniquement.</w:t>
      </w:r>
    </w:p>
    <w:p w:rsidR="002D2FE0" w:rsidRPr="00A3410D" w:rsidRDefault="002D2FE0" w:rsidP="002D2FE0">
      <w:pPr>
        <w:pStyle w:val="Titre1"/>
        <w:numPr>
          <w:ilvl w:val="0"/>
          <w:numId w:val="14"/>
        </w:numPr>
      </w:pPr>
      <w:bookmarkStart w:id="2" w:name="_Toc198883812"/>
      <w:bookmarkStart w:id="3" w:name="_Hlk198890064"/>
      <w:r w:rsidRPr="00A3410D">
        <w:t>Prescription maitrise d’ouvrage</w:t>
      </w:r>
      <w:bookmarkEnd w:id="2"/>
    </w:p>
    <w:p w:rsidR="002D2FE0" w:rsidRPr="00C95207" w:rsidRDefault="002D2FE0" w:rsidP="002D2FE0">
      <w:pPr>
        <w:pStyle w:val="Titre2"/>
        <w:numPr>
          <w:ilvl w:val="1"/>
          <w:numId w:val="14"/>
        </w:numPr>
      </w:pPr>
      <w:bookmarkStart w:id="4" w:name="_Toc198883813"/>
      <w:r w:rsidRPr="003673A8">
        <w:t>Protection des existants, mise en sécurité du chantier</w:t>
      </w:r>
      <w:bookmarkEnd w:id="4"/>
      <w:r w:rsidRPr="003673A8">
        <w:t xml:space="preserve">  </w:t>
      </w:r>
    </w:p>
    <w:p w:rsidR="002D2FE0" w:rsidRPr="002D2FE0" w:rsidRDefault="002D2FE0" w:rsidP="002D2FE0">
      <w:pPr>
        <w:jc w:val="both"/>
        <w:rPr>
          <w:sz w:val="18"/>
        </w:rPr>
      </w:pPr>
      <w:r w:rsidRPr="002D2FE0">
        <w:rPr>
          <w:sz w:val="18"/>
        </w:rPr>
        <w:t>La protection du chantier sera réalisée par une clôture opaque lisse et portail plein lisse séparant les zones de travaux des zones de circulations courantes. Cette clôture devra être remise en état autant de fois que nécessaire sur toute la vie du chantier. Le phasage des travaux sera à confirmer avec le maître d’ouvrage.</w:t>
      </w:r>
    </w:p>
    <w:p w:rsidR="002D2FE0" w:rsidRPr="002D2FE0" w:rsidRDefault="002D2FE0" w:rsidP="002D2FE0">
      <w:pPr>
        <w:jc w:val="both"/>
        <w:rPr>
          <w:sz w:val="18"/>
        </w:rPr>
      </w:pPr>
      <w:r w:rsidRPr="002D2FE0">
        <w:rPr>
          <w:sz w:val="18"/>
        </w:rPr>
        <w:t>Le nettoyage de fin de chantier devra permettre de retrouver toutes les parties concernées ou non par les travaux, tel qu’à l’origine avant chantier. Seront à nettoyer les abords et accès du chantier, la toiture et les menuiseries du bâtiment.</w:t>
      </w:r>
    </w:p>
    <w:p w:rsidR="002D2FE0" w:rsidRPr="002D2FE0" w:rsidRDefault="002D2FE0" w:rsidP="002D2FE0">
      <w:pPr>
        <w:jc w:val="both"/>
        <w:rPr>
          <w:sz w:val="18"/>
        </w:rPr>
      </w:pPr>
      <w:r w:rsidRPr="002D2FE0">
        <w:rPr>
          <w:sz w:val="18"/>
        </w:rPr>
        <w:t xml:space="preserve">Néanmoins, il conviendra de laisser accessibles les entrée et sorties pour le bâtiment qui restera en service durant cette prestation. </w:t>
      </w:r>
    </w:p>
    <w:p w:rsidR="002D2FE0" w:rsidRDefault="002D2FE0" w:rsidP="002D2FE0">
      <w:pPr>
        <w:pStyle w:val="Titre2"/>
        <w:numPr>
          <w:ilvl w:val="1"/>
          <w:numId w:val="14"/>
        </w:numPr>
      </w:pPr>
      <w:bookmarkStart w:id="5" w:name="_Toc198883814"/>
      <w:r>
        <w:t>Moyens techniques</w:t>
      </w:r>
      <w:bookmarkEnd w:id="5"/>
    </w:p>
    <w:p w:rsidR="002D2FE0" w:rsidRPr="002D2FE0" w:rsidRDefault="002D2FE0" w:rsidP="002D2FE0">
      <w:pPr>
        <w:spacing w:after="0"/>
        <w:ind w:firstLine="567"/>
        <w:jc w:val="both"/>
        <w:rPr>
          <w:sz w:val="18"/>
        </w:rPr>
      </w:pPr>
      <w:r w:rsidRPr="002D2FE0">
        <w:rPr>
          <w:sz w:val="18"/>
        </w:rPr>
        <w:t xml:space="preserve">Les titulaires des lots auront à leur charge les moyens de manutention nécessaires à la réalisation de ses ouvrages, mais aussi la mise en place des panneaux de signalisation, des panneaux de chantier, …. </w:t>
      </w:r>
    </w:p>
    <w:p w:rsidR="002D2FE0" w:rsidRPr="002D2FE0" w:rsidRDefault="002D2FE0" w:rsidP="002D2FE0">
      <w:pPr>
        <w:spacing w:before="240"/>
        <w:ind w:firstLine="360"/>
        <w:jc w:val="both"/>
        <w:rPr>
          <w:b/>
          <w:i/>
          <w:sz w:val="16"/>
        </w:rPr>
      </w:pPr>
      <w:r w:rsidRPr="002D2FE0">
        <w:rPr>
          <w:sz w:val="18"/>
        </w:rPr>
        <w:t xml:space="preserve">L’entrepreneur doit assurer à ses frais et pendant toute la durée du délai de garantie tous les réglages et toutes les mises au point nécessaires de façon à assurer le bon fonctionnement de l’ensemble de ses ouvrages. </w:t>
      </w:r>
    </w:p>
    <w:p w:rsidR="002D2FE0" w:rsidRDefault="002D2FE0" w:rsidP="002D2FE0">
      <w:pPr>
        <w:pStyle w:val="Titre2"/>
        <w:numPr>
          <w:ilvl w:val="1"/>
          <w:numId w:val="14"/>
        </w:numPr>
      </w:pPr>
      <w:bookmarkStart w:id="6" w:name="_Toc198883815"/>
      <w:r>
        <w:t>Gestion des déchets</w:t>
      </w:r>
      <w:bookmarkEnd w:id="6"/>
    </w:p>
    <w:p w:rsidR="002D2FE0" w:rsidRPr="002D2FE0" w:rsidRDefault="002D2FE0" w:rsidP="002D2FE0">
      <w:pPr>
        <w:pStyle w:val="Paragraphedeliste"/>
        <w:ind w:left="0" w:firstLine="360"/>
        <w:rPr>
          <w:sz w:val="18"/>
          <w:szCs w:val="20"/>
        </w:rPr>
      </w:pPr>
      <w:r w:rsidRPr="002D2FE0">
        <w:rPr>
          <w:sz w:val="18"/>
        </w:rPr>
        <w:t>Tous les déchets générés par le chantier seront évacués par le lot n°1 pendant le chantier. La mise en place de benne pourra s’effectuer sur le parking situé en face du bâtiment (voir plan joint au présent marché).</w:t>
      </w:r>
    </w:p>
    <w:p w:rsidR="002D2FE0" w:rsidRPr="002D2FE0" w:rsidRDefault="002D2FE0" w:rsidP="002D2FE0">
      <w:pPr>
        <w:pStyle w:val="Paragraphedeliste"/>
        <w:ind w:left="0"/>
        <w:rPr>
          <w:sz w:val="18"/>
          <w:szCs w:val="20"/>
        </w:rPr>
      </w:pPr>
      <w:r w:rsidRPr="002D2FE0">
        <w:rPr>
          <w:sz w:val="18"/>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rsidR="002D2FE0" w:rsidRPr="002D2FE0" w:rsidRDefault="002D2FE0" w:rsidP="002D2FE0">
      <w:pPr>
        <w:pStyle w:val="Paragraphedeliste"/>
        <w:ind w:left="0" w:firstLine="360"/>
        <w:rPr>
          <w:sz w:val="18"/>
          <w:szCs w:val="20"/>
        </w:rPr>
      </w:pPr>
      <w:r w:rsidRPr="002D2FE0">
        <w:rPr>
          <w:sz w:val="18"/>
          <w:szCs w:val="20"/>
        </w:rPr>
        <w:t xml:space="preserve">Pour les déchets autres que ceux en provenance des démolitions et dépose, chaque entreprise assurera le tri sélectif des déchets et stockage dans les bennes ou conteneurs prévus à cet effet sur les aires de stockage. Il en assurera le coût de l’élimination au travers de la gestion « prorata ». </w:t>
      </w:r>
    </w:p>
    <w:p w:rsidR="002D2FE0" w:rsidRPr="002D2FE0" w:rsidRDefault="002D2FE0" w:rsidP="002D2FE0">
      <w:pPr>
        <w:rPr>
          <w:sz w:val="18"/>
          <w:szCs w:val="20"/>
        </w:rPr>
      </w:pPr>
      <w:r w:rsidRPr="002D2FE0">
        <w:rPr>
          <w:sz w:val="18"/>
          <w:szCs w:val="20"/>
        </w:rPr>
        <w:t>Les déchets « quotidien » liées à la vie du chantier devront également être évacués selon le tri sélectif en vigueur au sein du Centre Hospitalier, communiqués en début de chantier.</w:t>
      </w:r>
    </w:p>
    <w:p w:rsidR="002D2FE0" w:rsidRPr="002D2FE0" w:rsidRDefault="002D2FE0" w:rsidP="002D2FE0">
      <w:pPr>
        <w:pStyle w:val="Paragraphedeliste"/>
        <w:ind w:left="0" w:firstLine="360"/>
        <w:rPr>
          <w:sz w:val="18"/>
          <w:szCs w:val="20"/>
        </w:rPr>
      </w:pPr>
      <w:r w:rsidRPr="002D2FE0">
        <w:rPr>
          <w:sz w:val="18"/>
          <w:szCs w:val="20"/>
        </w:rPr>
        <w:lastRenderedPageBreak/>
        <w:t>Il est à noter que brûler les déchets sur chantier est interdit (loi 61-842 du 2 août 1961 et 92-646 du 13 juillet 1992), de même qu’abandonner ou enfouir des déchets quels qu’ils soient.</w:t>
      </w:r>
    </w:p>
    <w:p w:rsidR="002D2FE0" w:rsidRPr="002D2FE0" w:rsidRDefault="002D2FE0" w:rsidP="002D2FE0">
      <w:pPr>
        <w:pStyle w:val="Paragraphedeliste"/>
        <w:ind w:left="0" w:firstLine="360"/>
        <w:rPr>
          <w:sz w:val="18"/>
          <w:szCs w:val="20"/>
        </w:rPr>
      </w:pPr>
    </w:p>
    <w:p w:rsidR="002D2FE0" w:rsidRPr="002D2FE0" w:rsidRDefault="002D2FE0" w:rsidP="002D2FE0">
      <w:pPr>
        <w:pStyle w:val="Paragraphedeliste"/>
        <w:ind w:left="0" w:firstLine="360"/>
        <w:rPr>
          <w:sz w:val="18"/>
          <w:szCs w:val="20"/>
        </w:rPr>
      </w:pPr>
      <w:r w:rsidRPr="002D2FE0">
        <w:rPr>
          <w:b/>
          <w:sz w:val="18"/>
          <w:szCs w:val="20"/>
          <w:u w:val="single"/>
        </w:rPr>
        <w:t>ATTENTION</w:t>
      </w:r>
      <w:r w:rsidRPr="002D2FE0">
        <w:rPr>
          <w:sz w:val="18"/>
          <w:szCs w:val="20"/>
        </w:rPr>
        <w:t> : Certains déchets liés au chantier seront à évacuer directement par les entreprises spécialisées, à savoir :</w:t>
      </w:r>
    </w:p>
    <w:p w:rsidR="002D2FE0" w:rsidRPr="002D2FE0" w:rsidRDefault="002D2FE0" w:rsidP="002D2FE0">
      <w:pPr>
        <w:pStyle w:val="Paragraphedeliste"/>
        <w:numPr>
          <w:ilvl w:val="0"/>
          <w:numId w:val="9"/>
        </w:numPr>
        <w:rPr>
          <w:b/>
          <w:i/>
          <w:sz w:val="18"/>
          <w:szCs w:val="20"/>
        </w:rPr>
      </w:pPr>
      <w:r w:rsidRPr="002D2FE0">
        <w:rPr>
          <w:sz w:val="18"/>
          <w:szCs w:val="20"/>
        </w:rPr>
        <w:t>Les menuiseries comportant des joints amiantés seront proprement stockées sur site pour être évacuées par l’entreprise responsable du désamiantage</w:t>
      </w:r>
    </w:p>
    <w:p w:rsidR="002D2FE0" w:rsidRPr="002D2FE0" w:rsidRDefault="002D2FE0" w:rsidP="002D2FE0">
      <w:pPr>
        <w:pStyle w:val="Paragraphedeliste"/>
        <w:numPr>
          <w:ilvl w:val="0"/>
          <w:numId w:val="9"/>
        </w:numPr>
        <w:spacing w:line="480" w:lineRule="auto"/>
        <w:rPr>
          <w:b/>
          <w:i/>
          <w:sz w:val="18"/>
          <w:szCs w:val="20"/>
        </w:rPr>
      </w:pPr>
      <w:r w:rsidRPr="002D2FE0">
        <w:rPr>
          <w:sz w:val="18"/>
          <w:szCs w:val="20"/>
        </w:rPr>
        <w:t>Les pots de peintures et colles diverses seront évacués par l’entreprise générant ces déchets</w:t>
      </w:r>
    </w:p>
    <w:p w:rsidR="002D2FE0" w:rsidRPr="002D2FE0" w:rsidRDefault="002D2FE0" w:rsidP="002D2FE0">
      <w:pPr>
        <w:spacing w:line="480" w:lineRule="auto"/>
        <w:rPr>
          <w:sz w:val="18"/>
          <w:szCs w:val="20"/>
        </w:rPr>
      </w:pPr>
      <w:r w:rsidRPr="002D2FE0">
        <w:rPr>
          <w:sz w:val="18"/>
          <w:szCs w:val="20"/>
        </w:rPr>
        <w:t>Il est demandé de reconditionner l’ensemble des châssis non amianté par le titulaire du présent lot</w:t>
      </w:r>
      <w:r>
        <w:rPr>
          <w:sz w:val="18"/>
          <w:szCs w:val="20"/>
        </w:rPr>
        <w:t>.</w:t>
      </w:r>
    </w:p>
    <w:p w:rsidR="002D2FE0" w:rsidRPr="003673A8" w:rsidRDefault="002D2FE0" w:rsidP="002D2FE0">
      <w:pPr>
        <w:pStyle w:val="Titre2"/>
        <w:numPr>
          <w:ilvl w:val="1"/>
          <w:numId w:val="14"/>
        </w:numPr>
      </w:pPr>
      <w:bookmarkStart w:id="7" w:name="_Toc198883816"/>
      <w:r>
        <w:t>Base vie</w:t>
      </w:r>
      <w:bookmarkEnd w:id="7"/>
    </w:p>
    <w:p w:rsidR="002D2FE0" w:rsidRPr="002D2FE0" w:rsidRDefault="002D2FE0" w:rsidP="002D2FE0">
      <w:pPr>
        <w:spacing w:after="0"/>
        <w:ind w:firstLine="360"/>
        <w:jc w:val="both"/>
        <w:rPr>
          <w:sz w:val="18"/>
          <w:szCs w:val="18"/>
        </w:rPr>
      </w:pPr>
      <w:r w:rsidRPr="002D2FE0">
        <w:rPr>
          <w:sz w:val="18"/>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p>
    <w:p w:rsidR="002D2FE0" w:rsidRPr="002D2FE0" w:rsidRDefault="002D2FE0" w:rsidP="002D2FE0">
      <w:pPr>
        <w:spacing w:after="0"/>
        <w:ind w:firstLine="360"/>
        <w:jc w:val="both"/>
        <w:rPr>
          <w:sz w:val="18"/>
          <w:szCs w:val="18"/>
        </w:rPr>
      </w:pPr>
    </w:p>
    <w:p w:rsidR="002D2FE0" w:rsidRPr="002D2FE0" w:rsidRDefault="002D2FE0" w:rsidP="002D2FE0">
      <w:pPr>
        <w:spacing w:after="0"/>
        <w:ind w:firstLine="360"/>
        <w:jc w:val="both"/>
        <w:rPr>
          <w:sz w:val="18"/>
          <w:szCs w:val="18"/>
        </w:rPr>
      </w:pPr>
      <w:r w:rsidRPr="002D2FE0">
        <w:rPr>
          <w:sz w:val="18"/>
          <w:szCs w:val="18"/>
        </w:rPr>
        <w:t>Le Centre Hospitalier de Valenciennes mettra à disposition une zone située au RDJ du bâtiment, des locaux pour l’installation de la base vie. (Voir plan joint)</w:t>
      </w:r>
    </w:p>
    <w:p w:rsidR="002D2FE0" w:rsidRPr="002D2FE0" w:rsidRDefault="002D2FE0" w:rsidP="002D2FE0">
      <w:pPr>
        <w:spacing w:after="0"/>
        <w:ind w:firstLine="360"/>
        <w:jc w:val="both"/>
        <w:rPr>
          <w:sz w:val="18"/>
          <w:szCs w:val="18"/>
        </w:rPr>
      </w:pPr>
    </w:p>
    <w:p w:rsidR="002D2FE0" w:rsidRPr="002D2FE0" w:rsidRDefault="002D2FE0" w:rsidP="002D2FE0">
      <w:pPr>
        <w:spacing w:after="0"/>
        <w:jc w:val="both"/>
        <w:rPr>
          <w:sz w:val="18"/>
          <w:szCs w:val="18"/>
        </w:rPr>
      </w:pPr>
      <w:r w:rsidRPr="002D2FE0">
        <w:rPr>
          <w:sz w:val="18"/>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rsidR="002D2FE0" w:rsidRDefault="002D2FE0" w:rsidP="002D2FE0">
      <w:pPr>
        <w:spacing w:after="0"/>
        <w:jc w:val="both"/>
        <w:rPr>
          <w:sz w:val="20"/>
          <w:szCs w:val="20"/>
        </w:rPr>
      </w:pPr>
    </w:p>
    <w:tbl>
      <w:tblPr>
        <w:tblStyle w:val="Grilledutableau"/>
        <w:tblW w:w="0" w:type="auto"/>
        <w:tblLook w:val="04A0" w:firstRow="1" w:lastRow="0" w:firstColumn="1" w:lastColumn="0" w:noHBand="0" w:noVBand="1"/>
      </w:tblPr>
      <w:tblGrid>
        <w:gridCol w:w="5275"/>
        <w:gridCol w:w="1478"/>
        <w:gridCol w:w="1342"/>
        <w:gridCol w:w="967"/>
      </w:tblGrid>
      <w:tr w:rsidR="002D2FE0" w:rsidRPr="00AA1AD4" w:rsidTr="005E5CE4">
        <w:tc>
          <w:tcPr>
            <w:tcW w:w="5705" w:type="dxa"/>
          </w:tcPr>
          <w:p w:rsidR="002D2FE0" w:rsidRPr="00FE3B43" w:rsidRDefault="002D2FE0" w:rsidP="005E5CE4">
            <w:pPr>
              <w:jc w:val="center"/>
              <w:rPr>
                <w:b/>
                <w:szCs w:val="20"/>
              </w:rPr>
            </w:pPr>
            <w:r w:rsidRPr="00FE3B43">
              <w:rPr>
                <w:b/>
                <w:sz w:val="20"/>
                <w:szCs w:val="20"/>
              </w:rPr>
              <w:t>Nature de la prestation</w:t>
            </w:r>
          </w:p>
        </w:tc>
        <w:tc>
          <w:tcPr>
            <w:tcW w:w="1248" w:type="dxa"/>
          </w:tcPr>
          <w:p w:rsidR="002D2FE0" w:rsidRPr="00AA1AD4" w:rsidRDefault="002D2FE0" w:rsidP="005E5CE4">
            <w:pPr>
              <w:jc w:val="center"/>
              <w:rPr>
                <w:szCs w:val="20"/>
              </w:rPr>
            </w:pPr>
            <w:r>
              <w:rPr>
                <w:szCs w:val="20"/>
              </w:rPr>
              <w:t>Lot GO</w:t>
            </w:r>
          </w:p>
        </w:tc>
        <w:tc>
          <w:tcPr>
            <w:tcW w:w="1137" w:type="dxa"/>
          </w:tcPr>
          <w:p w:rsidR="002D2FE0" w:rsidRPr="00AA1AD4" w:rsidRDefault="002D2FE0" w:rsidP="005E5CE4">
            <w:pPr>
              <w:jc w:val="center"/>
              <w:rPr>
                <w:szCs w:val="20"/>
              </w:rPr>
            </w:pPr>
            <w:r>
              <w:rPr>
                <w:szCs w:val="20"/>
              </w:rPr>
              <w:t>Autre lot</w:t>
            </w:r>
          </w:p>
        </w:tc>
        <w:tc>
          <w:tcPr>
            <w:tcW w:w="972" w:type="dxa"/>
          </w:tcPr>
          <w:p w:rsidR="002D2FE0" w:rsidRPr="00AA1AD4" w:rsidRDefault="002D2FE0" w:rsidP="005E5CE4">
            <w:pPr>
              <w:jc w:val="center"/>
              <w:rPr>
                <w:szCs w:val="20"/>
              </w:rPr>
            </w:pPr>
            <w:r>
              <w:rPr>
                <w:szCs w:val="20"/>
              </w:rPr>
              <w:t>Compte Prorata</w:t>
            </w:r>
          </w:p>
        </w:tc>
      </w:tr>
      <w:tr w:rsidR="002D2FE0" w:rsidRPr="00AA1AD4" w:rsidTr="005E5CE4">
        <w:tc>
          <w:tcPr>
            <w:tcW w:w="5705" w:type="dxa"/>
          </w:tcPr>
          <w:p w:rsidR="002D2FE0" w:rsidRPr="00AA1AD4" w:rsidRDefault="002D2FE0" w:rsidP="005E5CE4">
            <w:pPr>
              <w:jc w:val="both"/>
              <w:rPr>
                <w:szCs w:val="18"/>
              </w:rPr>
            </w:pPr>
            <w:r w:rsidRPr="00AA1AD4">
              <w:rPr>
                <w:szCs w:val="18"/>
              </w:rPr>
              <w:t>Constat d’huissier</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Panneau de chantier et Signalétique de chantier (compris intérieur)</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Clôture</w:t>
            </w:r>
            <w:r>
              <w:rPr>
                <w:szCs w:val="18"/>
              </w:rPr>
              <w:t xml:space="preserve"> opaque</w:t>
            </w:r>
            <w:r w:rsidRPr="00AA1AD4">
              <w:rPr>
                <w:szCs w:val="18"/>
              </w:rPr>
              <w:t xml:space="preserve"> périmètre chantier et zones de stockage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Branchement électrique de la base vie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Branchement en eau de la base vie depuis réseau existant en VS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Branchement au réseau d’évacuation EU/EV des sanitaires et points d’eau intérieurs en VS (base vie)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Fourniture et pose d’armoires électriques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Mise en place d’un compteur élec</w:t>
            </w:r>
            <w:r>
              <w:rPr>
                <w:szCs w:val="18"/>
              </w:rPr>
              <w:t>trique (compris relevé mensuel) *</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Mise en place d’un compteur eau (compris relevé mensuel)</w:t>
            </w:r>
            <w:r>
              <w:rPr>
                <w:szCs w:val="18"/>
              </w:rPr>
              <w:t>*</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Exécution des plateformes pour les installations extérieures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Installation mobilier et équipements réfectoire (compris repli)</w:t>
            </w:r>
            <w:r>
              <w:rPr>
                <w:szCs w:val="18"/>
              </w:rPr>
              <w:t> : comprenant tables, chaises, vestiaires, meubles évier…</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In</w:t>
            </w:r>
            <w:r>
              <w:rPr>
                <w:szCs w:val="18"/>
              </w:rPr>
              <w:t xml:space="preserve">stallation sanitaires (compris </w:t>
            </w:r>
            <w:r w:rsidRPr="00AA1AD4">
              <w:rPr>
                <w:szCs w:val="18"/>
              </w:rPr>
              <w:t>repli)</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Installation mobilier et équipements vestiaires (compris repli)</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Installation mobilier salle de réunion (compris repli)</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lastRenderedPageBreak/>
              <w:t xml:space="preserve">Fourniture des moyens d’alerte, de sécurité, d’une pharmacie et du balisage d’accès </w:t>
            </w:r>
            <w:r>
              <w:rPr>
                <w:szCs w:val="18"/>
              </w:rPr>
              <w:t>à la base vie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ind w:right="-108"/>
              <w:rPr>
                <w:szCs w:val="18"/>
              </w:rPr>
            </w:pPr>
            <w:r w:rsidRPr="00AA1AD4">
              <w:rPr>
                <w:szCs w:val="18"/>
              </w:rPr>
              <w:t xml:space="preserve">Nettoyage hebdomadaire </w:t>
            </w:r>
            <w:r>
              <w:rPr>
                <w:szCs w:val="18"/>
              </w:rPr>
              <w:t>de la base vie, sanitaires et salle de réunion</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ind w:right="-108"/>
              <w:rPr>
                <w:szCs w:val="18"/>
              </w:rPr>
            </w:pPr>
            <w:r w:rsidRPr="00AA1AD4">
              <w:rPr>
                <w:szCs w:val="18"/>
              </w:rPr>
              <w:t>Maintenance des installations de la base vie</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ind w:right="-108"/>
              <w:rPr>
                <w:szCs w:val="18"/>
              </w:rPr>
            </w:pPr>
            <w:r w:rsidRPr="00AA1AD4">
              <w:rPr>
                <w:szCs w:val="18"/>
              </w:rPr>
              <w:t>Consommations eau, électricité</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jc w:val="both"/>
              <w:rPr>
                <w:szCs w:val="18"/>
              </w:rPr>
            </w:pPr>
            <w:r w:rsidRPr="00AA1AD4">
              <w:rPr>
                <w:szCs w:val="18"/>
              </w:rPr>
              <w:t>Entretien ou nettoyage voierie si besoin et si auteur inconnu</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jc w:val="both"/>
              <w:rPr>
                <w:szCs w:val="18"/>
              </w:rPr>
            </w:pPr>
            <w:r w:rsidRPr="00AA1AD4">
              <w:rPr>
                <w:szCs w:val="18"/>
              </w:rPr>
              <w:t>Bennes pour tri des déchets compris remplacement (hors amiante et démolitions)</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jc w:val="both"/>
              <w:rPr>
                <w:szCs w:val="18"/>
              </w:rPr>
            </w:pPr>
            <w:r>
              <w:rPr>
                <w:szCs w:val="18"/>
              </w:rPr>
              <w:t xml:space="preserve">Mise en place de moquette de protection sol RDC </w:t>
            </w:r>
          </w:p>
        </w:tc>
        <w:tc>
          <w:tcPr>
            <w:tcW w:w="1248" w:type="dxa"/>
          </w:tcPr>
          <w:p w:rsidR="002D2FE0"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Mise en place signalétique d’information</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Mise en place et entretien de protections collectives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Eclairage de chantier</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Chauffage éventuel de chantier</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c>
          <w:tcPr>
            <w:tcW w:w="5705" w:type="dxa"/>
          </w:tcPr>
          <w:p w:rsidR="002D2FE0" w:rsidRPr="00AA1AD4" w:rsidRDefault="002D2FE0" w:rsidP="005E5CE4">
            <w:pPr>
              <w:ind w:right="-108"/>
              <w:rPr>
                <w:szCs w:val="18"/>
              </w:rPr>
            </w:pPr>
            <w:r w:rsidRPr="00AA1AD4">
              <w:rPr>
                <w:szCs w:val="18"/>
              </w:rPr>
              <w:t>Percement diamètre &gt; 100 cm dans les planchers, voiles et maçonneries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Percements de façade pour CVC</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Résas toutes sections dans les constructions neuves</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Percements de section &lt; 10x10 cm dans l’existant</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Lots demandeurs</w:t>
            </w:r>
          </w:p>
        </w:tc>
        <w:tc>
          <w:tcPr>
            <w:tcW w:w="972" w:type="dxa"/>
          </w:tcPr>
          <w:p w:rsidR="002D2FE0" w:rsidRPr="00AA1AD4" w:rsidRDefault="002D2FE0" w:rsidP="005E5CE4">
            <w:pPr>
              <w:jc w:val="center"/>
              <w:rPr>
                <w:szCs w:val="20"/>
              </w:rPr>
            </w:pPr>
          </w:p>
        </w:tc>
      </w:tr>
      <w:tr w:rsidR="002D2FE0" w:rsidRPr="00AA1AD4" w:rsidTr="005E5CE4">
        <w:tc>
          <w:tcPr>
            <w:tcW w:w="5705" w:type="dxa"/>
          </w:tcPr>
          <w:p w:rsidR="002D2FE0" w:rsidRPr="00AA1AD4" w:rsidRDefault="002D2FE0" w:rsidP="005E5CE4">
            <w:pPr>
              <w:jc w:val="both"/>
              <w:rPr>
                <w:szCs w:val="18"/>
              </w:rPr>
            </w:pPr>
            <w:r w:rsidRPr="00AA1AD4">
              <w:rPr>
                <w:szCs w:val="18"/>
              </w:rPr>
              <w:t>Percements de section &gt; 10x10 cm dans l’existant</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Bouchements calfeutrements des réservations</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Lots demandeurs</w:t>
            </w: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Traçage et entretien des traits de niveau</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TCE</w:t>
            </w: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Nettoyage journalier des postes de travail.</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TCE</w:t>
            </w: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 xml:space="preserve">En cas de manquement </w:t>
            </w:r>
            <w:r>
              <w:rPr>
                <w:szCs w:val="18"/>
              </w:rPr>
              <w:t>ci-dessus, sur simple constat MOA</w:t>
            </w:r>
            <w:r w:rsidRPr="00AA1AD4">
              <w:rPr>
                <w:szCs w:val="18"/>
              </w:rPr>
              <w:t xml:space="preserve"> et si auteur des faits inconnu</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Nettoyage hebdomadaire de la base vie</w:t>
            </w:r>
          </w:p>
        </w:tc>
        <w:tc>
          <w:tcPr>
            <w:tcW w:w="1248" w:type="dxa"/>
          </w:tcPr>
          <w:p w:rsidR="002D2FE0" w:rsidRPr="00AA1AD4" w:rsidRDefault="002D2FE0" w:rsidP="005E5CE4">
            <w:pPr>
              <w:jc w:val="center"/>
              <w:rPr>
                <w:szCs w:val="20"/>
              </w:rPr>
            </w:pPr>
            <w:r>
              <w:rPr>
                <w:szCs w:val="20"/>
              </w:rPr>
              <w:t>Sous responsabilité</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r>
              <w:rPr>
                <w:szCs w:val="20"/>
              </w:rPr>
              <w:t>X</w:t>
            </w: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Nettoyage de réception</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Peinture / sol</w:t>
            </w: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Nettoyage de restitution des locaux</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Peinture / sol</w:t>
            </w: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Remise en état des lieux après repli base vie</w:t>
            </w:r>
          </w:p>
        </w:tc>
        <w:tc>
          <w:tcPr>
            <w:tcW w:w="1248" w:type="dxa"/>
          </w:tcPr>
          <w:p w:rsidR="002D2FE0" w:rsidRPr="00AA1AD4" w:rsidRDefault="002D2FE0" w:rsidP="005E5CE4">
            <w:pPr>
              <w:jc w:val="center"/>
              <w:rPr>
                <w:szCs w:val="20"/>
              </w:rPr>
            </w:pPr>
            <w:r>
              <w:rPr>
                <w:szCs w:val="20"/>
              </w:rPr>
              <w:t>X</w:t>
            </w:r>
          </w:p>
        </w:tc>
        <w:tc>
          <w:tcPr>
            <w:tcW w:w="1137" w:type="dxa"/>
          </w:tcPr>
          <w:p w:rsidR="002D2FE0" w:rsidRPr="00AA1AD4" w:rsidRDefault="002D2FE0" w:rsidP="005E5CE4">
            <w:pPr>
              <w:jc w:val="center"/>
              <w:rPr>
                <w:szCs w:val="20"/>
              </w:rPr>
            </w:pPr>
          </w:p>
        </w:tc>
        <w:tc>
          <w:tcPr>
            <w:tcW w:w="972" w:type="dxa"/>
          </w:tcPr>
          <w:p w:rsidR="002D2FE0" w:rsidRPr="00AA1AD4" w:rsidRDefault="002D2FE0" w:rsidP="005E5CE4">
            <w:pPr>
              <w:jc w:val="center"/>
              <w:rPr>
                <w:szCs w:val="20"/>
              </w:rPr>
            </w:pPr>
          </w:p>
        </w:tc>
      </w:tr>
      <w:tr w:rsidR="002D2FE0" w:rsidRPr="00AA1AD4" w:rsidTr="005E5CE4">
        <w:trPr>
          <w:trHeight w:val="58"/>
        </w:trPr>
        <w:tc>
          <w:tcPr>
            <w:tcW w:w="5705" w:type="dxa"/>
          </w:tcPr>
          <w:p w:rsidR="002D2FE0" w:rsidRPr="00AA1AD4" w:rsidRDefault="002D2FE0" w:rsidP="005E5CE4">
            <w:pPr>
              <w:ind w:right="-108"/>
              <w:rPr>
                <w:szCs w:val="18"/>
              </w:rPr>
            </w:pPr>
            <w:r w:rsidRPr="00AA1AD4">
              <w:rPr>
                <w:szCs w:val="18"/>
              </w:rPr>
              <w:t>Moyens de levage, d’accès ou de manutention</w:t>
            </w:r>
          </w:p>
        </w:tc>
        <w:tc>
          <w:tcPr>
            <w:tcW w:w="1248" w:type="dxa"/>
          </w:tcPr>
          <w:p w:rsidR="002D2FE0" w:rsidRPr="00AA1AD4" w:rsidRDefault="002D2FE0" w:rsidP="005E5CE4">
            <w:pPr>
              <w:jc w:val="center"/>
              <w:rPr>
                <w:szCs w:val="20"/>
              </w:rPr>
            </w:pPr>
          </w:p>
        </w:tc>
        <w:tc>
          <w:tcPr>
            <w:tcW w:w="1137" w:type="dxa"/>
          </w:tcPr>
          <w:p w:rsidR="002D2FE0" w:rsidRPr="00AA1AD4" w:rsidRDefault="002D2FE0" w:rsidP="005E5CE4">
            <w:pPr>
              <w:jc w:val="center"/>
              <w:rPr>
                <w:szCs w:val="20"/>
              </w:rPr>
            </w:pPr>
            <w:r>
              <w:rPr>
                <w:szCs w:val="20"/>
              </w:rPr>
              <w:t>TCE</w:t>
            </w:r>
          </w:p>
        </w:tc>
        <w:tc>
          <w:tcPr>
            <w:tcW w:w="972" w:type="dxa"/>
          </w:tcPr>
          <w:p w:rsidR="002D2FE0" w:rsidRPr="00AA1AD4" w:rsidRDefault="002D2FE0" w:rsidP="005E5CE4">
            <w:pPr>
              <w:jc w:val="center"/>
              <w:rPr>
                <w:szCs w:val="20"/>
              </w:rPr>
            </w:pPr>
          </w:p>
        </w:tc>
      </w:tr>
    </w:tbl>
    <w:p w:rsidR="002D2FE0" w:rsidRPr="00A728E6" w:rsidRDefault="002D2FE0" w:rsidP="002D2FE0">
      <w:pPr>
        <w:spacing w:after="0"/>
        <w:jc w:val="both"/>
        <w:rPr>
          <w:szCs w:val="20"/>
        </w:rPr>
      </w:pPr>
      <w:r>
        <w:rPr>
          <w:szCs w:val="20"/>
        </w:rPr>
        <w:t xml:space="preserve">(*) </w:t>
      </w:r>
      <w:r w:rsidRPr="002D2FE0">
        <w:rPr>
          <w:sz w:val="18"/>
          <w:szCs w:val="20"/>
        </w:rPr>
        <w:t xml:space="preserve">suivants les relevés qui seront effectués sur les compteurs, si les consommations sont jugées excessives, les surconsommations seront refacturés à l’entreprise GO qui sera en charge de l’intégrer dans le compte prorata.  </w:t>
      </w:r>
    </w:p>
    <w:p w:rsidR="002D2FE0" w:rsidRPr="0039571A" w:rsidRDefault="002D2FE0" w:rsidP="002D2FE0">
      <w:pPr>
        <w:spacing w:after="0"/>
        <w:jc w:val="both"/>
        <w:rPr>
          <w:sz w:val="20"/>
          <w:szCs w:val="20"/>
        </w:rPr>
      </w:pPr>
    </w:p>
    <w:p w:rsidR="002D2FE0" w:rsidRPr="003673A8" w:rsidRDefault="002D2FE0" w:rsidP="002D2FE0">
      <w:pPr>
        <w:pStyle w:val="Titre2"/>
        <w:numPr>
          <w:ilvl w:val="1"/>
          <w:numId w:val="14"/>
        </w:numPr>
      </w:pPr>
      <w:bookmarkStart w:id="8" w:name="_Toc198883817"/>
      <w:r w:rsidRPr="003673A8">
        <w:lastRenderedPageBreak/>
        <w:t>Précisions particulières</w:t>
      </w:r>
      <w:bookmarkEnd w:id="8"/>
    </w:p>
    <w:p w:rsidR="002D2FE0" w:rsidRPr="002D2FE0" w:rsidRDefault="002D2FE0" w:rsidP="002D2FE0">
      <w:pPr>
        <w:jc w:val="both"/>
        <w:rPr>
          <w:sz w:val="18"/>
        </w:rPr>
      </w:pPr>
      <w:r w:rsidRPr="00C0752B">
        <w:rPr>
          <w:sz w:val="20"/>
        </w:rPr>
        <w:tab/>
      </w:r>
      <w:r w:rsidRPr="002D2FE0">
        <w:rPr>
          <w:sz w:val="18"/>
        </w:rPr>
        <w:t>Les prix du marché sont déterminés en tenant compte de toutes sujétions et notamment :</w:t>
      </w:r>
    </w:p>
    <w:p w:rsidR="002D2FE0" w:rsidRPr="002D2FE0" w:rsidRDefault="002D2FE0" w:rsidP="002D2FE0">
      <w:pPr>
        <w:pStyle w:val="Paragraphedeliste"/>
        <w:numPr>
          <w:ilvl w:val="0"/>
          <w:numId w:val="2"/>
        </w:numPr>
        <w:jc w:val="both"/>
        <w:rPr>
          <w:sz w:val="18"/>
        </w:rPr>
      </w:pPr>
      <w:r w:rsidRPr="002D2FE0">
        <w:rPr>
          <w:sz w:val="18"/>
        </w:rPr>
        <w:t>L’obligation rigoureuse d’employer une main d’œuvre qualifiée et des matériaux de choix.</w:t>
      </w:r>
    </w:p>
    <w:p w:rsidR="002D2FE0" w:rsidRPr="002D2FE0" w:rsidRDefault="002D2FE0" w:rsidP="002D2FE0">
      <w:pPr>
        <w:pStyle w:val="Paragraphedeliste"/>
        <w:numPr>
          <w:ilvl w:val="0"/>
          <w:numId w:val="2"/>
        </w:numPr>
        <w:jc w:val="both"/>
        <w:rPr>
          <w:sz w:val="18"/>
        </w:rPr>
      </w:pPr>
      <w:r w:rsidRPr="002D2FE0">
        <w:rPr>
          <w:sz w:val="18"/>
        </w:rPr>
        <w:t>Le respect des instructions du maître d’ouvrage sur les heures d’entrée et de sortie des ouvriers, l’emplacement et le stockage des matériaux et matériels.</w:t>
      </w:r>
    </w:p>
    <w:p w:rsidR="002D2FE0" w:rsidRPr="002D2FE0" w:rsidRDefault="002D2FE0" w:rsidP="002D2FE0">
      <w:pPr>
        <w:pStyle w:val="Paragraphedeliste"/>
        <w:numPr>
          <w:ilvl w:val="0"/>
          <w:numId w:val="2"/>
        </w:numPr>
        <w:jc w:val="both"/>
        <w:rPr>
          <w:sz w:val="18"/>
        </w:rPr>
      </w:pPr>
      <w:r w:rsidRPr="002D2FE0">
        <w:rPr>
          <w:sz w:val="18"/>
        </w:rPr>
        <w:t>L’interruption de travail consécutive au fonctionnement ou à l’exploitation de l’édifice avec, pour corollaire, le respect des mesures prescrites pour ne pas gêner le service (les travaux bruyants restreints en journée).</w:t>
      </w:r>
    </w:p>
    <w:p w:rsidR="002D2FE0" w:rsidRPr="002D2FE0" w:rsidRDefault="002D2FE0" w:rsidP="002D2FE0">
      <w:pPr>
        <w:pStyle w:val="Paragraphedeliste"/>
        <w:numPr>
          <w:ilvl w:val="0"/>
          <w:numId w:val="2"/>
        </w:numPr>
        <w:jc w:val="both"/>
        <w:rPr>
          <w:sz w:val="18"/>
        </w:rPr>
      </w:pPr>
      <w:r w:rsidRPr="002D2FE0">
        <w:rPr>
          <w:sz w:val="18"/>
        </w:rPr>
        <w:t>Des protections de toutes natures contre les émanations de gaz/vapeurs et poussière.</w:t>
      </w:r>
    </w:p>
    <w:p w:rsidR="002D2FE0" w:rsidRPr="002D2FE0" w:rsidRDefault="002D2FE0" w:rsidP="002D2FE0">
      <w:pPr>
        <w:pStyle w:val="Paragraphedeliste"/>
        <w:numPr>
          <w:ilvl w:val="0"/>
          <w:numId w:val="2"/>
        </w:numPr>
        <w:jc w:val="both"/>
        <w:rPr>
          <w:sz w:val="18"/>
        </w:rPr>
      </w:pPr>
      <w:r w:rsidRPr="002D2FE0">
        <w:rPr>
          <w:sz w:val="18"/>
        </w:rPr>
        <w:t>La mise en œuvre des moyens nécessaires pour le maintien du planning</w:t>
      </w:r>
    </w:p>
    <w:p w:rsidR="002D2FE0" w:rsidRPr="00952630" w:rsidRDefault="002D2FE0" w:rsidP="002D2FE0">
      <w:pPr>
        <w:pStyle w:val="Titre1"/>
        <w:numPr>
          <w:ilvl w:val="0"/>
          <w:numId w:val="14"/>
        </w:numPr>
      </w:pPr>
      <w:bookmarkStart w:id="9" w:name="_Toc198883818"/>
      <w:r w:rsidRPr="00952630">
        <w:t>Moyens mis à disposition :</w:t>
      </w:r>
      <w:bookmarkEnd w:id="9"/>
      <w:r w:rsidRPr="00952630">
        <w:t xml:space="preserve"> </w:t>
      </w:r>
    </w:p>
    <w:p w:rsidR="002D2FE0" w:rsidRPr="00AA1F13" w:rsidRDefault="002D2FE0" w:rsidP="002D2FE0">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Pr="00B80A42">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w:t>
      </w:r>
      <w:r>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bookmarkEnd w:id="3"/>
    <w:p w:rsidR="002D2FE0" w:rsidRPr="00AA1F13" w:rsidRDefault="002D2FE0" w:rsidP="002D2FE0">
      <w:pPr>
        <w:pStyle w:val="Paragraphedeliste"/>
        <w:numPr>
          <w:ilvl w:val="0"/>
          <w:numId w:val="4"/>
        </w:numPr>
        <w:spacing w:after="0" w:line="240" w:lineRule="auto"/>
        <w:contextualSpacing w:val="0"/>
        <w:jc w:val="both"/>
        <w:rPr>
          <w:vanish/>
          <w:u w:val="single"/>
        </w:rPr>
      </w:pPr>
    </w:p>
    <w:p w:rsidR="002D2FE0" w:rsidRPr="00AA1F13" w:rsidRDefault="002D2FE0" w:rsidP="002D2FE0">
      <w:pPr>
        <w:pStyle w:val="Paragraphedeliste"/>
        <w:numPr>
          <w:ilvl w:val="0"/>
          <w:numId w:val="4"/>
        </w:numPr>
        <w:spacing w:after="0" w:line="240" w:lineRule="auto"/>
        <w:contextualSpacing w:val="0"/>
        <w:jc w:val="both"/>
        <w:rPr>
          <w:vanish/>
          <w:u w:val="single"/>
        </w:rPr>
      </w:pPr>
    </w:p>
    <w:p w:rsidR="002D2FE0" w:rsidRPr="00AA1F13" w:rsidRDefault="002D2FE0" w:rsidP="002D2FE0">
      <w:pPr>
        <w:pStyle w:val="Paragraphedeliste"/>
        <w:numPr>
          <w:ilvl w:val="1"/>
          <w:numId w:val="4"/>
        </w:numPr>
        <w:spacing w:after="0" w:line="240" w:lineRule="auto"/>
        <w:contextualSpacing w:val="0"/>
        <w:jc w:val="both"/>
        <w:rPr>
          <w:vanish/>
          <w:u w:val="single"/>
        </w:rPr>
      </w:pPr>
    </w:p>
    <w:p w:rsidR="002D2FE0" w:rsidRPr="00AA1F13" w:rsidRDefault="002D2FE0" w:rsidP="002D2FE0">
      <w:pPr>
        <w:pStyle w:val="Paragraphedeliste"/>
        <w:numPr>
          <w:ilvl w:val="1"/>
          <w:numId w:val="4"/>
        </w:numPr>
        <w:spacing w:after="0" w:line="240" w:lineRule="auto"/>
        <w:contextualSpacing w:val="0"/>
        <w:jc w:val="both"/>
        <w:rPr>
          <w:vanish/>
          <w:u w:val="single"/>
        </w:rPr>
      </w:pPr>
    </w:p>
    <w:p w:rsidR="002D2FE0" w:rsidRPr="00AA1F13" w:rsidRDefault="002D2FE0" w:rsidP="002D2FE0">
      <w:pPr>
        <w:pStyle w:val="Paragraphedeliste"/>
        <w:numPr>
          <w:ilvl w:val="1"/>
          <w:numId w:val="4"/>
        </w:numPr>
        <w:spacing w:after="0" w:line="240" w:lineRule="auto"/>
        <w:contextualSpacing w:val="0"/>
        <w:jc w:val="both"/>
        <w:rPr>
          <w:vanish/>
          <w:u w:val="single"/>
        </w:rPr>
      </w:pPr>
    </w:p>
    <w:p w:rsidR="002D2FE0" w:rsidRPr="00AA1F13" w:rsidRDefault="002D2FE0" w:rsidP="002D2FE0">
      <w:pPr>
        <w:pStyle w:val="Paragraphedeliste"/>
        <w:numPr>
          <w:ilvl w:val="1"/>
          <w:numId w:val="4"/>
        </w:numPr>
        <w:spacing w:after="0" w:line="240" w:lineRule="auto"/>
        <w:contextualSpacing w:val="0"/>
        <w:jc w:val="both"/>
        <w:rPr>
          <w:vanish/>
          <w:u w:val="single"/>
        </w:rPr>
      </w:pPr>
    </w:p>
    <w:p w:rsidR="002D2FE0" w:rsidRPr="00AA1F13" w:rsidRDefault="002D2FE0" w:rsidP="002D2FE0">
      <w:pPr>
        <w:pStyle w:val="Paragraphedeliste"/>
        <w:spacing w:after="0" w:line="240" w:lineRule="auto"/>
        <w:ind w:left="792"/>
        <w:contextualSpacing w:val="0"/>
        <w:jc w:val="both"/>
      </w:pPr>
    </w:p>
    <w:sectPr w:rsidR="002D2FE0" w:rsidRPr="00AA1F1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58E" w:rsidRDefault="0059058E" w:rsidP="001B4177">
      <w:pPr>
        <w:spacing w:after="0" w:line="240" w:lineRule="auto"/>
      </w:pPr>
      <w:r>
        <w:separator/>
      </w:r>
    </w:p>
  </w:endnote>
  <w:endnote w:type="continuationSeparator" w:id="0">
    <w:p w:rsidR="0059058E" w:rsidRDefault="0059058E"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rsidR="007619E3" w:rsidRDefault="007619E3">
        <w:pPr>
          <w:pStyle w:val="Pieddepage"/>
          <w:jc w:val="right"/>
        </w:pPr>
        <w:r>
          <w:fldChar w:fldCharType="begin"/>
        </w:r>
        <w:r>
          <w:instrText>PAGE   \* MERGEFORMAT</w:instrText>
        </w:r>
        <w:r>
          <w:fldChar w:fldCharType="separate"/>
        </w:r>
        <w:r w:rsidR="00950776">
          <w:rPr>
            <w:noProof/>
          </w:rPr>
          <w:t>6</w:t>
        </w:r>
        <w:r>
          <w:fldChar w:fldCharType="end"/>
        </w:r>
      </w:p>
    </w:sdtContent>
  </w:sdt>
  <w:p w:rsidR="007619E3" w:rsidRDefault="007619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58E" w:rsidRDefault="0059058E" w:rsidP="001B4177">
      <w:pPr>
        <w:spacing w:after="0" w:line="240" w:lineRule="auto"/>
      </w:pPr>
      <w:r>
        <w:separator/>
      </w:r>
    </w:p>
  </w:footnote>
  <w:footnote w:type="continuationSeparator" w:id="0">
    <w:p w:rsidR="0059058E" w:rsidRDefault="0059058E"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B6" w:rsidRDefault="00A90DB6"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4837A743" wp14:editId="1A18A283">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DB6" w:rsidRDefault="00A90DB6" w:rsidP="00A90DB6">
                          <w:pPr>
                            <w:jc w:val="center"/>
                            <w:rPr>
                              <w:b/>
                              <w:bCs/>
                              <w:color w:val="C0C0C0"/>
                              <w:sz w:val="18"/>
                            </w:rPr>
                          </w:pPr>
                          <w:r>
                            <w:rPr>
                              <w:b/>
                              <w:bCs/>
                              <w:color w:val="C0C0C0"/>
                              <w:sz w:val="18"/>
                            </w:rPr>
                            <w:t>CENTRE HOSPITALIER DE VALENCIENNES</w:t>
                          </w:r>
                        </w:p>
                        <w:p w:rsidR="00A90DB6" w:rsidRDefault="00A90DB6" w:rsidP="00A90DB6">
                          <w:pPr>
                            <w:jc w:val="center"/>
                            <w:rPr>
                              <w:b/>
                              <w:bCs/>
                              <w:color w:val="C0C0C0"/>
                              <w:sz w:val="18"/>
                            </w:rPr>
                          </w:pPr>
                          <w:r>
                            <w:rPr>
                              <w:b/>
                              <w:bCs/>
                              <w:color w:val="C0C0C0"/>
                              <w:sz w:val="18"/>
                            </w:rPr>
                            <w:t>CCTP</w:t>
                          </w:r>
                          <w:r w:rsidR="00262476">
                            <w:rPr>
                              <w:b/>
                              <w:bCs/>
                              <w:color w:val="C0C0C0"/>
                              <w:sz w:val="18"/>
                            </w:rPr>
                            <w:t xml:space="preserve"> </w:t>
                          </w:r>
                          <w:r w:rsidR="00405ADA">
                            <w:rPr>
                              <w:b/>
                              <w:bCs/>
                              <w:color w:val="C0C0C0"/>
                              <w:sz w:val="18"/>
                            </w:rPr>
                            <w:t xml:space="preserve">Lot </w:t>
                          </w:r>
                          <w:r w:rsidR="001B659F">
                            <w:rPr>
                              <w:b/>
                              <w:bCs/>
                              <w:color w:val="C0C0C0"/>
                              <w:sz w:val="18"/>
                            </w:rPr>
                            <w:t xml:space="preserve">3 Menuiseries Extérieures </w:t>
                          </w:r>
                          <w:r w:rsidR="00405ADA">
                            <w:rPr>
                              <w:b/>
                              <w:bCs/>
                              <w:color w:val="C0C0C0"/>
                              <w:sz w:val="18"/>
                            </w:rPr>
                            <w:t>-</w:t>
                          </w:r>
                          <w:r w:rsidR="009D4AD6">
                            <w:rPr>
                              <w:b/>
                              <w:bCs/>
                              <w:color w:val="C0C0C0"/>
                              <w:sz w:val="18"/>
                            </w:rPr>
                            <w:t xml:space="preserve"> </w:t>
                          </w:r>
                          <w:r w:rsidR="00405ADA">
                            <w:rPr>
                              <w:b/>
                              <w:bCs/>
                              <w:color w:val="C0C0C0"/>
                              <w:sz w:val="18"/>
                            </w:rPr>
                            <w:t>Rénovation thermique du</w:t>
                          </w:r>
                          <w:r w:rsidR="00AF5C40">
                            <w:rPr>
                              <w:b/>
                              <w:bCs/>
                              <w:color w:val="C0C0C0"/>
                              <w:sz w:val="18"/>
                            </w:rPr>
                            <w:t xml:space="preserve"> Bâtiment </w:t>
                          </w:r>
                          <w:proofErr w:type="spellStart"/>
                          <w:r w:rsidR="00AF5C40">
                            <w:rPr>
                              <w:b/>
                              <w:bCs/>
                              <w:color w:val="C0C0C0"/>
                              <w:sz w:val="18"/>
                            </w:rPr>
                            <w:t>Désandrouin</w:t>
                          </w:r>
                          <w:proofErr w:type="spellEnd"/>
                        </w:p>
                        <w:p w:rsidR="00A90DB6" w:rsidRDefault="00A90DB6" w:rsidP="00A90DB6">
                          <w:pPr>
                            <w:jc w:val="center"/>
                            <w:rPr>
                              <w:b/>
                              <w:bCs/>
                              <w:color w:val="C0C0C0"/>
                              <w:sz w:val="18"/>
                            </w:rPr>
                          </w:pPr>
                        </w:p>
                        <w:p w:rsidR="00A90DB6" w:rsidRDefault="00A90DB6"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837A743"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rsidR="00A90DB6" w:rsidRDefault="00A90DB6" w:rsidP="00A90DB6">
                    <w:pPr>
                      <w:jc w:val="center"/>
                      <w:rPr>
                        <w:b/>
                        <w:bCs/>
                        <w:color w:val="C0C0C0"/>
                        <w:sz w:val="18"/>
                      </w:rPr>
                    </w:pPr>
                    <w:r>
                      <w:rPr>
                        <w:b/>
                        <w:bCs/>
                        <w:color w:val="C0C0C0"/>
                        <w:sz w:val="18"/>
                      </w:rPr>
                      <w:t>CENTRE HOSPITALIER DE VALENCIENNES</w:t>
                    </w:r>
                  </w:p>
                  <w:p w:rsidR="00A90DB6" w:rsidRDefault="00A90DB6" w:rsidP="00A90DB6">
                    <w:pPr>
                      <w:jc w:val="center"/>
                      <w:rPr>
                        <w:b/>
                        <w:bCs/>
                        <w:color w:val="C0C0C0"/>
                        <w:sz w:val="18"/>
                      </w:rPr>
                    </w:pPr>
                    <w:r>
                      <w:rPr>
                        <w:b/>
                        <w:bCs/>
                        <w:color w:val="C0C0C0"/>
                        <w:sz w:val="18"/>
                      </w:rPr>
                      <w:t>CCTP</w:t>
                    </w:r>
                    <w:r w:rsidR="00262476">
                      <w:rPr>
                        <w:b/>
                        <w:bCs/>
                        <w:color w:val="C0C0C0"/>
                        <w:sz w:val="18"/>
                      </w:rPr>
                      <w:t xml:space="preserve"> </w:t>
                    </w:r>
                    <w:r w:rsidR="00405ADA">
                      <w:rPr>
                        <w:b/>
                        <w:bCs/>
                        <w:color w:val="C0C0C0"/>
                        <w:sz w:val="18"/>
                      </w:rPr>
                      <w:t xml:space="preserve">Lot </w:t>
                    </w:r>
                    <w:r w:rsidR="001B659F">
                      <w:rPr>
                        <w:b/>
                        <w:bCs/>
                        <w:color w:val="C0C0C0"/>
                        <w:sz w:val="18"/>
                      </w:rPr>
                      <w:t xml:space="preserve">3 Menuiseries Extérieures </w:t>
                    </w:r>
                    <w:r w:rsidR="00405ADA">
                      <w:rPr>
                        <w:b/>
                        <w:bCs/>
                        <w:color w:val="C0C0C0"/>
                        <w:sz w:val="18"/>
                      </w:rPr>
                      <w:t>-</w:t>
                    </w:r>
                    <w:r w:rsidR="009D4AD6">
                      <w:rPr>
                        <w:b/>
                        <w:bCs/>
                        <w:color w:val="C0C0C0"/>
                        <w:sz w:val="18"/>
                      </w:rPr>
                      <w:t xml:space="preserve"> </w:t>
                    </w:r>
                    <w:r w:rsidR="00405ADA">
                      <w:rPr>
                        <w:b/>
                        <w:bCs/>
                        <w:color w:val="C0C0C0"/>
                        <w:sz w:val="18"/>
                      </w:rPr>
                      <w:t>Rénovation thermique du</w:t>
                    </w:r>
                    <w:r w:rsidR="00AF5C40">
                      <w:rPr>
                        <w:b/>
                        <w:bCs/>
                        <w:color w:val="C0C0C0"/>
                        <w:sz w:val="18"/>
                      </w:rPr>
                      <w:t xml:space="preserve"> Bâtiment </w:t>
                    </w:r>
                    <w:proofErr w:type="spellStart"/>
                    <w:r w:rsidR="00AF5C40">
                      <w:rPr>
                        <w:b/>
                        <w:bCs/>
                        <w:color w:val="C0C0C0"/>
                        <w:sz w:val="18"/>
                      </w:rPr>
                      <w:t>Désandrouin</w:t>
                    </w:r>
                    <w:proofErr w:type="spellEnd"/>
                  </w:p>
                  <w:p w:rsidR="00A90DB6" w:rsidRDefault="00A90DB6" w:rsidP="00A90DB6">
                    <w:pPr>
                      <w:jc w:val="center"/>
                      <w:rPr>
                        <w:b/>
                        <w:bCs/>
                        <w:color w:val="C0C0C0"/>
                        <w:sz w:val="18"/>
                      </w:rPr>
                    </w:pPr>
                  </w:p>
                  <w:p w:rsidR="00A90DB6" w:rsidRDefault="00A90DB6"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3E1F4804" wp14:editId="511AA5C8">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rsidR="001B4177" w:rsidRPr="00A90DB6" w:rsidRDefault="001B4177"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1EE7"/>
    <w:multiLevelType w:val="multilevel"/>
    <w:tmpl w:val="25F0C5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942B81"/>
    <w:multiLevelType w:val="multilevel"/>
    <w:tmpl w:val="5A8E5170"/>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15:restartNumberingAfterBreak="0">
    <w:nsid w:val="247C4F47"/>
    <w:multiLevelType w:val="hybridMultilevel"/>
    <w:tmpl w:val="77A2E874"/>
    <w:lvl w:ilvl="0" w:tplc="7322529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8" w15:restartNumberingAfterBreak="0">
    <w:nsid w:val="3A42487E"/>
    <w:multiLevelType w:val="multilevel"/>
    <w:tmpl w:val="EB8CE9B0"/>
    <w:numStyleLink w:val="Style1"/>
  </w:abstractNum>
  <w:abstractNum w:abstractNumId="9"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6A34DBD"/>
    <w:multiLevelType w:val="hybridMultilevel"/>
    <w:tmpl w:val="10BEBFB2"/>
    <w:lvl w:ilvl="0" w:tplc="2474F00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0"/>
  </w:num>
  <w:num w:numId="4">
    <w:abstractNumId w:val="8"/>
  </w:num>
  <w:num w:numId="5">
    <w:abstractNumId w:val="4"/>
  </w:num>
  <w:num w:numId="6">
    <w:abstractNumId w:val="7"/>
  </w:num>
  <w:num w:numId="7">
    <w:abstractNumId w:val="9"/>
  </w:num>
  <w:num w:numId="8">
    <w:abstractNumId w:val="12"/>
  </w:num>
  <w:num w:numId="9">
    <w:abstractNumId w:val="1"/>
  </w:num>
  <w:num w:numId="10">
    <w:abstractNumId w:val="3"/>
  </w:num>
  <w:num w:numId="11">
    <w:abstractNumId w:val="13"/>
  </w:num>
  <w:num w:numId="12">
    <w:abstractNumId w:val="6"/>
  </w:num>
  <w:num w:numId="13">
    <w:abstractNumId w:val="0"/>
  </w:num>
  <w:num w:numId="1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018D"/>
    <w:rsid w:val="00020D5B"/>
    <w:rsid w:val="00022C72"/>
    <w:rsid w:val="00044F39"/>
    <w:rsid w:val="000457CE"/>
    <w:rsid w:val="00053E4B"/>
    <w:rsid w:val="00063BD3"/>
    <w:rsid w:val="000A2336"/>
    <w:rsid w:val="000A4B1D"/>
    <w:rsid w:val="000B4949"/>
    <w:rsid w:val="000C3918"/>
    <w:rsid w:val="000D06F6"/>
    <w:rsid w:val="000D4BFB"/>
    <w:rsid w:val="000D5D64"/>
    <w:rsid w:val="001101C1"/>
    <w:rsid w:val="00132AFB"/>
    <w:rsid w:val="00152948"/>
    <w:rsid w:val="00182443"/>
    <w:rsid w:val="0018251B"/>
    <w:rsid w:val="00192E80"/>
    <w:rsid w:val="001A7319"/>
    <w:rsid w:val="001B4177"/>
    <w:rsid w:val="001B659F"/>
    <w:rsid w:val="001C0A70"/>
    <w:rsid w:val="001E177A"/>
    <w:rsid w:val="00241CFD"/>
    <w:rsid w:val="00247738"/>
    <w:rsid w:val="00262476"/>
    <w:rsid w:val="002A0AB2"/>
    <w:rsid w:val="002A566B"/>
    <w:rsid w:val="002C433E"/>
    <w:rsid w:val="002D2FE0"/>
    <w:rsid w:val="002E156A"/>
    <w:rsid w:val="00316BC6"/>
    <w:rsid w:val="0033240A"/>
    <w:rsid w:val="003673A8"/>
    <w:rsid w:val="003937CE"/>
    <w:rsid w:val="0039571A"/>
    <w:rsid w:val="003B68E7"/>
    <w:rsid w:val="003C6B87"/>
    <w:rsid w:val="003C722A"/>
    <w:rsid w:val="003D3A03"/>
    <w:rsid w:val="003F243C"/>
    <w:rsid w:val="003F6480"/>
    <w:rsid w:val="00405ADA"/>
    <w:rsid w:val="00407856"/>
    <w:rsid w:val="00407D54"/>
    <w:rsid w:val="004101AF"/>
    <w:rsid w:val="0041391A"/>
    <w:rsid w:val="00464FC2"/>
    <w:rsid w:val="00476635"/>
    <w:rsid w:val="00491E99"/>
    <w:rsid w:val="004A1E70"/>
    <w:rsid w:val="004A49C4"/>
    <w:rsid w:val="004C44BA"/>
    <w:rsid w:val="004E0680"/>
    <w:rsid w:val="004E5C3D"/>
    <w:rsid w:val="004F2633"/>
    <w:rsid w:val="004F56D2"/>
    <w:rsid w:val="00505178"/>
    <w:rsid w:val="00517D29"/>
    <w:rsid w:val="00524808"/>
    <w:rsid w:val="00577748"/>
    <w:rsid w:val="0058194A"/>
    <w:rsid w:val="00581B82"/>
    <w:rsid w:val="0059058E"/>
    <w:rsid w:val="005B45C0"/>
    <w:rsid w:val="005C7CEA"/>
    <w:rsid w:val="005E169E"/>
    <w:rsid w:val="005E4CC6"/>
    <w:rsid w:val="0060239C"/>
    <w:rsid w:val="00603BAC"/>
    <w:rsid w:val="00635707"/>
    <w:rsid w:val="00636ED7"/>
    <w:rsid w:val="006416E1"/>
    <w:rsid w:val="00660B31"/>
    <w:rsid w:val="006657C7"/>
    <w:rsid w:val="00673259"/>
    <w:rsid w:val="00694AEE"/>
    <w:rsid w:val="00697341"/>
    <w:rsid w:val="006B4798"/>
    <w:rsid w:val="006B6DC4"/>
    <w:rsid w:val="006D6768"/>
    <w:rsid w:val="006E3BDC"/>
    <w:rsid w:val="006F1F31"/>
    <w:rsid w:val="00720F89"/>
    <w:rsid w:val="007619E3"/>
    <w:rsid w:val="00772B4E"/>
    <w:rsid w:val="007B0CB1"/>
    <w:rsid w:val="007C2F99"/>
    <w:rsid w:val="00830011"/>
    <w:rsid w:val="00850EDE"/>
    <w:rsid w:val="008629C2"/>
    <w:rsid w:val="0086419E"/>
    <w:rsid w:val="008B0B3B"/>
    <w:rsid w:val="008D7852"/>
    <w:rsid w:val="008F1962"/>
    <w:rsid w:val="008F27E1"/>
    <w:rsid w:val="008F3D9B"/>
    <w:rsid w:val="008F663E"/>
    <w:rsid w:val="00902294"/>
    <w:rsid w:val="00903EE6"/>
    <w:rsid w:val="0090447D"/>
    <w:rsid w:val="00904E09"/>
    <w:rsid w:val="0091699D"/>
    <w:rsid w:val="00943D65"/>
    <w:rsid w:val="00950776"/>
    <w:rsid w:val="009513D3"/>
    <w:rsid w:val="00993EF8"/>
    <w:rsid w:val="00995F84"/>
    <w:rsid w:val="009A673C"/>
    <w:rsid w:val="009C0860"/>
    <w:rsid w:val="009C1038"/>
    <w:rsid w:val="009C36E7"/>
    <w:rsid w:val="009D4AD6"/>
    <w:rsid w:val="009F59C0"/>
    <w:rsid w:val="009F6F25"/>
    <w:rsid w:val="00A0760E"/>
    <w:rsid w:val="00A07A18"/>
    <w:rsid w:val="00A26C4C"/>
    <w:rsid w:val="00A34C59"/>
    <w:rsid w:val="00A41907"/>
    <w:rsid w:val="00A62489"/>
    <w:rsid w:val="00A90DB6"/>
    <w:rsid w:val="00AA1F13"/>
    <w:rsid w:val="00AA2578"/>
    <w:rsid w:val="00AA5E1A"/>
    <w:rsid w:val="00AC191B"/>
    <w:rsid w:val="00AC3359"/>
    <w:rsid w:val="00AF5C40"/>
    <w:rsid w:val="00B05694"/>
    <w:rsid w:val="00B12A03"/>
    <w:rsid w:val="00B16D8A"/>
    <w:rsid w:val="00B26B31"/>
    <w:rsid w:val="00B72EE6"/>
    <w:rsid w:val="00B804F6"/>
    <w:rsid w:val="00B91BE7"/>
    <w:rsid w:val="00BA0C26"/>
    <w:rsid w:val="00BF2541"/>
    <w:rsid w:val="00C0752B"/>
    <w:rsid w:val="00C527F6"/>
    <w:rsid w:val="00C556CA"/>
    <w:rsid w:val="00C6373C"/>
    <w:rsid w:val="00C63781"/>
    <w:rsid w:val="00C6532A"/>
    <w:rsid w:val="00C7328C"/>
    <w:rsid w:val="00C76CEB"/>
    <w:rsid w:val="00C94EBB"/>
    <w:rsid w:val="00C95207"/>
    <w:rsid w:val="00C96764"/>
    <w:rsid w:val="00CB158A"/>
    <w:rsid w:val="00CB3A71"/>
    <w:rsid w:val="00CC7F04"/>
    <w:rsid w:val="00CD60AC"/>
    <w:rsid w:val="00CE141A"/>
    <w:rsid w:val="00CE3E09"/>
    <w:rsid w:val="00D01F24"/>
    <w:rsid w:val="00D02997"/>
    <w:rsid w:val="00D23FE7"/>
    <w:rsid w:val="00D25672"/>
    <w:rsid w:val="00D53188"/>
    <w:rsid w:val="00D65F36"/>
    <w:rsid w:val="00D660B1"/>
    <w:rsid w:val="00D77348"/>
    <w:rsid w:val="00D866F7"/>
    <w:rsid w:val="00D87511"/>
    <w:rsid w:val="00D9086A"/>
    <w:rsid w:val="00DE6ACF"/>
    <w:rsid w:val="00E13D44"/>
    <w:rsid w:val="00E606CE"/>
    <w:rsid w:val="00E61DC4"/>
    <w:rsid w:val="00E93ABD"/>
    <w:rsid w:val="00E94F37"/>
    <w:rsid w:val="00EC60AE"/>
    <w:rsid w:val="00EC6B17"/>
    <w:rsid w:val="00ED5D8B"/>
    <w:rsid w:val="00F219AF"/>
    <w:rsid w:val="00F465CC"/>
    <w:rsid w:val="00F57AF6"/>
    <w:rsid w:val="00F605EE"/>
    <w:rsid w:val="00F6344D"/>
    <w:rsid w:val="00F63475"/>
    <w:rsid w:val="00F81BAF"/>
    <w:rsid w:val="00F93EAC"/>
    <w:rsid w:val="00F97DCB"/>
    <w:rsid w:val="00FA108B"/>
    <w:rsid w:val="00FB3A9D"/>
    <w:rsid w:val="00FC094E"/>
    <w:rsid w:val="00FD2873"/>
    <w:rsid w:val="00FD373F"/>
    <w:rsid w:val="00FD444C"/>
    <w:rsid w:val="00FD6DD2"/>
    <w:rsid w:val="00FE2490"/>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39"/>
    <w:rsid w:val="002D2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2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867E1-2E21-4CB9-BB3A-2D1E2977D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1966</Words>
  <Characters>10814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30</cp:revision>
  <cp:lastPrinted>2023-07-28T13:04:00Z</cp:lastPrinted>
  <dcterms:created xsi:type="dcterms:W3CDTF">2024-05-13T07:59:00Z</dcterms:created>
  <dcterms:modified xsi:type="dcterms:W3CDTF">2025-06-04T07:23:00Z</dcterms:modified>
</cp:coreProperties>
</file>