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56A" w:rsidRDefault="002E156A" w:rsidP="00A07A18">
      <w:bookmarkStart w:id="0" w:name="_GoBack"/>
      <w:bookmarkEnd w:id="0"/>
    </w:p>
    <w:p w:rsidR="00A90DB6" w:rsidRDefault="00A90DB6" w:rsidP="00A90DB6">
      <w:pPr>
        <w:ind w:left="708"/>
        <w:jc w:val="right"/>
        <w:rPr>
          <w:rFonts w:ascii="Arial" w:hAnsi="Arial"/>
          <w:b/>
        </w:rPr>
      </w:pPr>
    </w:p>
    <w:p w:rsidR="00A90DB6" w:rsidRDefault="009F59C0" w:rsidP="00A90DB6">
      <w:pPr>
        <w:ind w:left="708"/>
        <w:jc w:val="right"/>
        <w:rPr>
          <w:rFonts w:ascii="Arial" w:hAnsi="Arial"/>
          <w:b/>
        </w:rPr>
      </w:pPr>
      <w:r>
        <w:rPr>
          <w:rFonts w:ascii="Arial" w:hAnsi="Arial"/>
          <w:b/>
        </w:rPr>
        <w:t xml:space="preserve">Le </w:t>
      </w:r>
      <w:r w:rsidR="00B36EF1">
        <w:rPr>
          <w:rFonts w:ascii="Arial" w:hAnsi="Arial"/>
          <w:b/>
        </w:rPr>
        <w:t>23 Mai 2025</w:t>
      </w:r>
    </w:p>
    <w:p w:rsidR="00A90DB6" w:rsidRDefault="00A90DB6" w:rsidP="00A90DB6">
      <w:pPr>
        <w:ind w:left="708"/>
        <w:jc w:val="right"/>
        <w:rPr>
          <w:rFonts w:ascii="Arial" w:hAnsi="Arial"/>
          <w:b/>
        </w:rPr>
      </w:pPr>
    </w:p>
    <w:p w:rsidR="00A90DB6" w:rsidRPr="004351C9" w:rsidRDefault="00A90DB6" w:rsidP="00A90DB6">
      <w:pPr>
        <w:autoSpaceDE w:val="0"/>
        <w:autoSpaceDN w:val="0"/>
        <w:adjustRightInd w:val="0"/>
        <w:jc w:val="center"/>
        <w:rPr>
          <w:b/>
          <w:bCs/>
          <w:color w:val="000000"/>
        </w:rPr>
      </w:pPr>
    </w:p>
    <w:p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du Bâtiment </w:t>
      </w:r>
      <w:proofErr w:type="spellStart"/>
      <w:r w:rsidR="00AF5C40">
        <w:rPr>
          <w:b/>
          <w:bCs/>
          <w:color w:val="000000"/>
          <w:sz w:val="40"/>
          <w:szCs w:val="40"/>
        </w:rPr>
        <w:t>Désandrouin</w:t>
      </w:r>
      <w:proofErr w:type="spellEnd"/>
    </w:p>
    <w:p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1B659F">
        <w:rPr>
          <w:b/>
          <w:bCs/>
          <w:color w:val="000000"/>
          <w:sz w:val="40"/>
          <w:szCs w:val="40"/>
        </w:rPr>
        <w:t xml:space="preserve"> </w:t>
      </w:r>
      <w:r w:rsidR="00134C31">
        <w:rPr>
          <w:b/>
          <w:bCs/>
          <w:color w:val="000000"/>
          <w:sz w:val="40"/>
          <w:szCs w:val="40"/>
        </w:rPr>
        <w:t>4</w:t>
      </w:r>
      <w:r w:rsidR="00405ADA">
        <w:rPr>
          <w:b/>
          <w:bCs/>
          <w:color w:val="000000"/>
          <w:sz w:val="40"/>
          <w:szCs w:val="40"/>
        </w:rPr>
        <w:t xml:space="preserve"> </w:t>
      </w:r>
      <w:r w:rsidR="00134C31">
        <w:rPr>
          <w:b/>
          <w:bCs/>
          <w:color w:val="000000"/>
          <w:sz w:val="40"/>
          <w:szCs w:val="40"/>
        </w:rPr>
        <w:t>Peintures murales - Revêtements de sols</w:t>
      </w:r>
    </w:p>
    <w:p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rsidR="00A90DB6" w:rsidRPr="004351C9" w:rsidRDefault="00A90DB6" w:rsidP="00A90DB6">
      <w:pPr>
        <w:ind w:left="96"/>
        <w:jc w:val="center"/>
        <w:rPr>
          <w:b/>
          <w:bCs/>
          <w:color w:val="000000"/>
        </w:rPr>
      </w:pPr>
      <w:r w:rsidRPr="004351C9">
        <w:rPr>
          <w:b/>
          <w:bCs/>
          <w:color w:val="000000"/>
        </w:rPr>
        <w:t xml:space="preserve">Pôle </w:t>
      </w:r>
      <w:r w:rsidR="000E36A3">
        <w:rPr>
          <w:b/>
          <w:bCs/>
          <w:color w:val="000000"/>
        </w:rPr>
        <w:t>Services</w:t>
      </w:r>
    </w:p>
    <w:p w:rsidR="00A90DB6" w:rsidRPr="004351C9" w:rsidRDefault="00A90DB6" w:rsidP="00A90DB6">
      <w:pPr>
        <w:ind w:left="96"/>
        <w:jc w:val="center"/>
        <w:rPr>
          <w:b/>
          <w:bCs/>
          <w:color w:val="000000"/>
        </w:rPr>
      </w:pPr>
      <w:r w:rsidRPr="004351C9">
        <w:rPr>
          <w:b/>
          <w:bCs/>
          <w:color w:val="000000"/>
        </w:rPr>
        <w:t>Département Patrimoine</w:t>
      </w:r>
    </w:p>
    <w:p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rsidR="00A90DB6" w:rsidRPr="004351C9" w:rsidRDefault="00A90DB6" w:rsidP="00A90DB6">
      <w:pPr>
        <w:ind w:left="96"/>
        <w:jc w:val="center"/>
        <w:rPr>
          <w:b/>
          <w:bCs/>
          <w:color w:val="000000"/>
        </w:rPr>
      </w:pPr>
      <w:r w:rsidRPr="004351C9">
        <w:rPr>
          <w:b/>
          <w:bCs/>
          <w:color w:val="000000"/>
        </w:rPr>
        <w:t>59300 VALENCIENNES</w:t>
      </w:r>
    </w:p>
    <w:p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45AD5872" wp14:editId="2626F3C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rsidR="005B45C0" w:rsidRDefault="005B45C0" w:rsidP="00C6373C">
      <w:pPr>
        <w:rPr>
          <w:sz w:val="28"/>
        </w:rPr>
      </w:pPr>
    </w:p>
    <w:p w:rsidR="004A1E70" w:rsidRDefault="004A1E70" w:rsidP="00C6373C">
      <w:pPr>
        <w:rPr>
          <w:sz w:val="28"/>
        </w:rPr>
      </w:pPr>
    </w:p>
    <w:p w:rsidR="004A1E70" w:rsidRDefault="004A1E70" w:rsidP="00C6373C">
      <w:pPr>
        <w:rPr>
          <w:sz w:val="28"/>
        </w:rPr>
      </w:pPr>
    </w:p>
    <w:p w:rsidR="004A1E70" w:rsidRDefault="003B1922" w:rsidP="00C6373C">
      <w:pPr>
        <w:rPr>
          <w:sz w:val="28"/>
        </w:rPr>
      </w:pPr>
      <w:r>
        <w:rPr>
          <w:sz w:val="28"/>
        </w:rPr>
        <w:br w:type="page"/>
      </w:r>
    </w:p>
    <w:p w:rsidR="00262476" w:rsidRPr="003B1922" w:rsidRDefault="00D65F36" w:rsidP="003B1922">
      <w:pPr>
        <w:pStyle w:val="Titre1"/>
        <w:numPr>
          <w:ilvl w:val="0"/>
          <w:numId w:val="21"/>
        </w:numPr>
      </w:pPr>
      <w:r w:rsidRPr="003B1922">
        <w:lastRenderedPageBreak/>
        <w:t>Présentation du projet</w:t>
      </w:r>
    </w:p>
    <w:p w:rsidR="003B1922" w:rsidRDefault="003B1922" w:rsidP="003B1922">
      <w:pPr>
        <w:ind w:firstLine="708"/>
        <w:jc w:val="both"/>
        <w:rPr>
          <w:szCs w:val="20"/>
        </w:rPr>
      </w:pPr>
      <w:bookmarkStart w:id="1" w:name="_Hlk198888981"/>
      <w:r w:rsidRPr="00392E6F">
        <w:rPr>
          <w:szCs w:val="20"/>
        </w:rPr>
        <w:t xml:space="preserve">Le bâtiment concerné par les travaux est une construction des années 1940. Il se compose d’une partie centrale en briques orangées à laquelle ont été ajoutées les ailes annexes en matériaux divers et variés. </w:t>
      </w:r>
    </w:p>
    <w:p w:rsidR="003B1922" w:rsidRPr="00392E6F" w:rsidRDefault="003B1922" w:rsidP="003B1922">
      <w:pPr>
        <w:ind w:firstLine="708"/>
        <w:jc w:val="both"/>
        <w:rPr>
          <w:szCs w:val="20"/>
        </w:rPr>
      </w:pPr>
      <w:r>
        <w:rPr>
          <w:szCs w:val="20"/>
        </w:rPr>
        <w:t>Ce bâtiment est occupé par la Direction Générale du Centre Hospitalier, par des services de soins, ainsi que par des services publics.</w:t>
      </w:r>
    </w:p>
    <w:p w:rsidR="003B1922" w:rsidRDefault="003B1922" w:rsidP="003B1922">
      <w:pPr>
        <w:spacing w:after="0"/>
        <w:ind w:firstLine="708"/>
        <w:jc w:val="both"/>
        <w:rPr>
          <w:szCs w:val="20"/>
        </w:rPr>
      </w:pPr>
      <w:r w:rsidRPr="00392E6F">
        <w:rPr>
          <w:szCs w:val="20"/>
        </w:rPr>
        <w:t xml:space="preserve">Le </w:t>
      </w:r>
      <w:r>
        <w:rPr>
          <w:szCs w:val="20"/>
        </w:rPr>
        <w:t>C</w:t>
      </w:r>
      <w:r w:rsidRPr="00392E6F">
        <w:rPr>
          <w:szCs w:val="20"/>
        </w:rPr>
        <w:t xml:space="preserve">entre </w:t>
      </w:r>
      <w:r>
        <w:rPr>
          <w:szCs w:val="20"/>
        </w:rPr>
        <w:t>H</w:t>
      </w:r>
      <w:r w:rsidRPr="00392E6F">
        <w:rPr>
          <w:szCs w:val="20"/>
        </w:rPr>
        <w:t>ospitalier de Valenciennes, dans un souci de maintenance globale et d’amélioration des performances énergétiques, souhaite réaliser la rénovation thermique de ce bâtiment</w:t>
      </w:r>
      <w:r>
        <w:rPr>
          <w:szCs w:val="20"/>
        </w:rPr>
        <w:t xml:space="preserve">, mais aussi réaliser une restructuration des espaces de réunion, pour permettre de répondre au mieux aux besoins actuels, ces travaux sont compris dans le présent marché. </w:t>
      </w:r>
    </w:p>
    <w:p w:rsidR="003B1922" w:rsidRPr="00392E6F" w:rsidRDefault="003B1922" w:rsidP="003B1922">
      <w:pPr>
        <w:spacing w:after="0"/>
        <w:ind w:firstLine="708"/>
        <w:jc w:val="both"/>
        <w:rPr>
          <w:szCs w:val="20"/>
        </w:rPr>
      </w:pPr>
    </w:p>
    <w:p w:rsidR="003B1922" w:rsidRPr="00392E6F" w:rsidRDefault="003B1922" w:rsidP="003B1922">
      <w:pPr>
        <w:jc w:val="both"/>
        <w:rPr>
          <w:szCs w:val="20"/>
        </w:rPr>
      </w:pPr>
      <w:r w:rsidRPr="00392E6F">
        <w:rPr>
          <w:szCs w:val="20"/>
        </w:rPr>
        <w:t>Les travaux envisagés touchant à l’aspect extérieur et le bâtiment se trouvant en site patrimonial remarquable, un permis de construire est en cours d’instruction.</w:t>
      </w:r>
    </w:p>
    <w:p w:rsidR="000E36A3" w:rsidRDefault="000E36A3" w:rsidP="000E36A3">
      <w:pPr>
        <w:jc w:val="both"/>
        <w:rPr>
          <w:szCs w:val="20"/>
        </w:rPr>
      </w:pPr>
      <w:r>
        <w:rPr>
          <w:szCs w:val="20"/>
        </w:rPr>
        <w:t>Le marché de travaux est divisé en 8 lots, à savoir :</w:t>
      </w:r>
    </w:p>
    <w:p w:rsidR="000E36A3" w:rsidRDefault="000E36A3" w:rsidP="000E36A3">
      <w:pPr>
        <w:spacing w:after="0"/>
        <w:ind w:firstLine="708"/>
        <w:jc w:val="both"/>
        <w:rPr>
          <w:szCs w:val="20"/>
        </w:rPr>
      </w:pPr>
      <w:r>
        <w:rPr>
          <w:szCs w:val="20"/>
        </w:rPr>
        <w:t>- lot 0 Généralités</w:t>
      </w:r>
    </w:p>
    <w:p w:rsidR="000E36A3" w:rsidRDefault="000E36A3" w:rsidP="000E36A3">
      <w:pPr>
        <w:spacing w:after="0"/>
        <w:ind w:firstLine="708"/>
        <w:jc w:val="both"/>
        <w:rPr>
          <w:szCs w:val="20"/>
        </w:rPr>
      </w:pPr>
      <w:r>
        <w:rPr>
          <w:szCs w:val="20"/>
        </w:rPr>
        <w:t>- lot 1 Gros-Œuvre – Plâtrerie/Aménagement intérieur</w:t>
      </w:r>
    </w:p>
    <w:p w:rsidR="000E36A3" w:rsidRDefault="000E36A3" w:rsidP="000E36A3">
      <w:pPr>
        <w:spacing w:after="0"/>
        <w:ind w:firstLine="708"/>
        <w:jc w:val="both"/>
        <w:rPr>
          <w:szCs w:val="20"/>
        </w:rPr>
      </w:pPr>
      <w:r>
        <w:rPr>
          <w:szCs w:val="20"/>
        </w:rPr>
        <w:t>- lot 2 Couverture – Etanchéité</w:t>
      </w:r>
    </w:p>
    <w:p w:rsidR="000E36A3" w:rsidRDefault="000E36A3" w:rsidP="000E36A3">
      <w:pPr>
        <w:spacing w:after="0"/>
        <w:ind w:firstLine="708"/>
        <w:jc w:val="both"/>
        <w:rPr>
          <w:szCs w:val="20"/>
        </w:rPr>
      </w:pPr>
      <w:r>
        <w:rPr>
          <w:szCs w:val="20"/>
        </w:rPr>
        <w:t>- lot 3 Menuiseries extérieures</w:t>
      </w:r>
    </w:p>
    <w:p w:rsidR="000E36A3" w:rsidRDefault="000E36A3" w:rsidP="000E36A3">
      <w:pPr>
        <w:spacing w:after="0"/>
        <w:ind w:firstLine="708"/>
        <w:jc w:val="both"/>
        <w:rPr>
          <w:szCs w:val="20"/>
        </w:rPr>
      </w:pPr>
      <w:r>
        <w:rPr>
          <w:szCs w:val="20"/>
        </w:rPr>
        <w:t>- lot 4 Peintures murales et revêtements de sol</w:t>
      </w:r>
    </w:p>
    <w:p w:rsidR="000E36A3" w:rsidRDefault="000E36A3" w:rsidP="000E36A3">
      <w:pPr>
        <w:spacing w:after="0"/>
        <w:ind w:firstLine="708"/>
        <w:jc w:val="both"/>
        <w:rPr>
          <w:szCs w:val="20"/>
        </w:rPr>
      </w:pPr>
      <w:r>
        <w:rPr>
          <w:szCs w:val="20"/>
        </w:rPr>
        <w:t>- lot 5 Courant fort – Courant faible</w:t>
      </w:r>
    </w:p>
    <w:p w:rsidR="000E36A3" w:rsidRDefault="000E36A3" w:rsidP="000E36A3">
      <w:pPr>
        <w:spacing w:after="0"/>
        <w:ind w:firstLine="708"/>
        <w:jc w:val="both"/>
        <w:rPr>
          <w:szCs w:val="20"/>
        </w:rPr>
      </w:pPr>
      <w:r>
        <w:rPr>
          <w:szCs w:val="20"/>
        </w:rPr>
        <w:t>- lot 6 Plomberie – Chauffage – Ventilation</w:t>
      </w:r>
    </w:p>
    <w:p w:rsidR="000E36A3" w:rsidRDefault="000E36A3" w:rsidP="000E36A3">
      <w:pPr>
        <w:spacing w:after="0"/>
        <w:ind w:firstLine="708"/>
        <w:jc w:val="both"/>
        <w:rPr>
          <w:szCs w:val="20"/>
        </w:rPr>
      </w:pPr>
      <w:r>
        <w:rPr>
          <w:szCs w:val="20"/>
        </w:rPr>
        <w:t>- lot 7 Désamiantage</w:t>
      </w:r>
    </w:p>
    <w:p w:rsidR="000E36A3" w:rsidRDefault="000E36A3" w:rsidP="000E36A3">
      <w:pPr>
        <w:spacing w:after="0"/>
        <w:ind w:firstLine="708"/>
        <w:jc w:val="both"/>
        <w:rPr>
          <w:szCs w:val="20"/>
        </w:rPr>
      </w:pPr>
      <w:r>
        <w:rPr>
          <w:szCs w:val="20"/>
        </w:rPr>
        <w:t>- lot 8 Agencement (lancé via une autre procédure)</w:t>
      </w:r>
    </w:p>
    <w:p w:rsidR="003B1922" w:rsidRPr="00392E6F" w:rsidRDefault="003B1922" w:rsidP="003B1922">
      <w:pPr>
        <w:spacing w:after="0"/>
        <w:ind w:firstLine="708"/>
        <w:jc w:val="both"/>
        <w:rPr>
          <w:szCs w:val="20"/>
        </w:rPr>
      </w:pPr>
    </w:p>
    <w:p w:rsidR="00FE62BC" w:rsidRPr="003B1922" w:rsidRDefault="003B1922" w:rsidP="003B1922">
      <w:pPr>
        <w:ind w:firstLine="708"/>
        <w:jc w:val="both"/>
        <w:rPr>
          <w:szCs w:val="20"/>
        </w:rPr>
      </w:pPr>
      <w:r w:rsidRPr="00392E6F">
        <w:rPr>
          <w:szCs w:val="20"/>
        </w:rPr>
        <w:t xml:space="preserve">Le bâtiment aujourd’hui majoritairement occupé sera en service pendant toute la durée des travaux. </w:t>
      </w:r>
      <w:r w:rsidRPr="00392E6F">
        <w:rPr>
          <w:b/>
          <w:szCs w:val="20"/>
        </w:rPr>
        <w:t>Seules des portions seront libérées de façon à réali</w:t>
      </w:r>
      <w:r>
        <w:rPr>
          <w:b/>
          <w:szCs w:val="20"/>
        </w:rPr>
        <w:t>ser l’ensemble du chantier en 16</w:t>
      </w:r>
      <w:r w:rsidRPr="00392E6F">
        <w:rPr>
          <w:b/>
          <w:szCs w:val="20"/>
        </w:rPr>
        <w:t xml:space="preserve"> phases. </w:t>
      </w:r>
      <w:r w:rsidRPr="00392E6F">
        <w:rPr>
          <w:szCs w:val="20"/>
        </w:rPr>
        <w:t>Les locaux sont occupés en partie par des bureaux administratifs</w:t>
      </w:r>
      <w:r>
        <w:rPr>
          <w:szCs w:val="20"/>
        </w:rPr>
        <w:t xml:space="preserve">, mais aussi par des services d’accueil de patient à la journée. </w:t>
      </w:r>
      <w:bookmarkEnd w:id="1"/>
    </w:p>
    <w:p w:rsidR="00BF2541" w:rsidRPr="003B1922" w:rsidRDefault="00BF2541" w:rsidP="003B1922">
      <w:pPr>
        <w:pStyle w:val="Titre1"/>
        <w:numPr>
          <w:ilvl w:val="0"/>
          <w:numId w:val="21"/>
        </w:numPr>
      </w:pPr>
      <w:r w:rsidRPr="003B1922">
        <w:t>Description des travaux</w:t>
      </w:r>
    </w:p>
    <w:p w:rsidR="002F00A4" w:rsidRDefault="002F00A4" w:rsidP="003B1922">
      <w:pPr>
        <w:pStyle w:val="Titre2"/>
        <w:numPr>
          <w:ilvl w:val="1"/>
          <w:numId w:val="21"/>
        </w:numPr>
      </w:pPr>
      <w:r>
        <w:t>Produits utilisés </w:t>
      </w:r>
    </w:p>
    <w:p w:rsidR="002F00A4" w:rsidRPr="002F00A4" w:rsidRDefault="002F00A4" w:rsidP="002F00A4">
      <w:pPr>
        <w:spacing w:after="0"/>
        <w:jc w:val="both"/>
      </w:pPr>
      <w:r w:rsidRPr="002F00A4">
        <w:t xml:space="preserve">Le titulaire du présent lot devra : </w:t>
      </w:r>
    </w:p>
    <w:p w:rsidR="002F00A4" w:rsidRPr="002F00A4" w:rsidRDefault="002F00A4" w:rsidP="002F00A4">
      <w:pPr>
        <w:pStyle w:val="Paragraphedeliste"/>
        <w:numPr>
          <w:ilvl w:val="0"/>
          <w:numId w:val="19"/>
        </w:numPr>
        <w:spacing w:after="0"/>
        <w:jc w:val="both"/>
      </w:pPr>
      <w:r w:rsidRPr="002F00A4">
        <w:t>Respecter la Directive 99/13 du 11 Mars 1999 relative aux émissions de COV due à l’utilisation des solvants, qui impose des valeurs limites pour les émissions canalisées et diffuses de COV et des obligations particulières concernant les solvants les plus toxiques.</w:t>
      </w:r>
    </w:p>
    <w:p w:rsidR="002F00A4" w:rsidRDefault="002F00A4" w:rsidP="002F00A4">
      <w:pPr>
        <w:pStyle w:val="Paragraphedeliste"/>
        <w:numPr>
          <w:ilvl w:val="0"/>
          <w:numId w:val="19"/>
        </w:numPr>
        <w:spacing w:after="0"/>
        <w:jc w:val="both"/>
      </w:pPr>
      <w:r w:rsidRPr="002F00A4">
        <w:t>Interdire les produits contenant plus de 2,5% de solvant organique ou une concentration en COV supérieure à 1,5g/l.</w:t>
      </w:r>
    </w:p>
    <w:p w:rsidR="002F00A4" w:rsidRPr="002F00A4" w:rsidRDefault="002F00A4" w:rsidP="002F00A4">
      <w:pPr>
        <w:spacing w:after="0"/>
        <w:jc w:val="both"/>
      </w:pPr>
    </w:p>
    <w:p w:rsidR="00BF2541" w:rsidRDefault="00856ACF" w:rsidP="00856ACF">
      <w:pPr>
        <w:pStyle w:val="Titre2"/>
        <w:ind w:left="360"/>
      </w:pPr>
      <w:r>
        <w:t xml:space="preserve">2.2. </w:t>
      </w:r>
      <w:r w:rsidR="00C63AE4">
        <w:t xml:space="preserve">Enduits </w:t>
      </w:r>
      <w:r w:rsidR="00D170E6">
        <w:t>–</w:t>
      </w:r>
      <w:r w:rsidR="00C63AE4">
        <w:t xml:space="preserve"> </w:t>
      </w:r>
      <w:r w:rsidR="00134C31">
        <w:t>Peintures</w:t>
      </w:r>
    </w:p>
    <w:p w:rsidR="00D170E6" w:rsidRPr="00D170E6" w:rsidRDefault="00D170E6" w:rsidP="00856ACF">
      <w:pPr>
        <w:pStyle w:val="Titre3"/>
        <w:ind w:left="708"/>
      </w:pPr>
      <w:r w:rsidRPr="00D170E6">
        <w:t>2.</w:t>
      </w:r>
      <w:r w:rsidR="00856ACF">
        <w:t>2.1.</w:t>
      </w:r>
      <w:r w:rsidRPr="00D170E6">
        <w:t xml:space="preserve"> Dépose de revêtements</w:t>
      </w:r>
      <w:r w:rsidR="002066B2">
        <w:t xml:space="preserve"> et divers</w:t>
      </w:r>
    </w:p>
    <w:p w:rsidR="00D170E6" w:rsidRPr="00856ACF" w:rsidRDefault="00D170E6" w:rsidP="00E92D2A">
      <w:pPr>
        <w:spacing w:after="0"/>
        <w:jc w:val="both"/>
        <w:rPr>
          <w:szCs w:val="18"/>
        </w:rPr>
      </w:pPr>
      <w:r w:rsidRPr="00856ACF">
        <w:rPr>
          <w:szCs w:val="18"/>
        </w:rPr>
        <w:t xml:space="preserve">Il doit être prévu la dépose des revêtements des cloisons et murs conservés comprenant la remise en état des supports par application des couches d’enduit nécessaires à l’obtention d’un résultat de qualité. </w:t>
      </w:r>
    </w:p>
    <w:p w:rsidR="002E116E" w:rsidRPr="00856ACF" w:rsidRDefault="002E116E" w:rsidP="00E92D2A">
      <w:pPr>
        <w:spacing w:after="0"/>
        <w:jc w:val="both"/>
        <w:rPr>
          <w:szCs w:val="18"/>
        </w:rPr>
      </w:pPr>
    </w:p>
    <w:p w:rsidR="002E116E" w:rsidRPr="00856ACF" w:rsidRDefault="002E116E" w:rsidP="00E92D2A">
      <w:pPr>
        <w:spacing w:after="0"/>
        <w:jc w:val="both"/>
        <w:rPr>
          <w:szCs w:val="18"/>
        </w:rPr>
      </w:pPr>
      <w:r w:rsidRPr="00856ACF">
        <w:rPr>
          <w:szCs w:val="18"/>
        </w:rPr>
        <w:t xml:space="preserve">Il doit également être prévu la dépose de l’ensemble des éléments de fixation qui ne sont plus utile (exemple : main courante dans les couloirs …) comprenant le rebouchage des fixations. </w:t>
      </w:r>
    </w:p>
    <w:p w:rsidR="002E116E" w:rsidRPr="00856ACF" w:rsidRDefault="002E116E" w:rsidP="00E92D2A">
      <w:pPr>
        <w:spacing w:after="0"/>
        <w:jc w:val="both"/>
        <w:rPr>
          <w:szCs w:val="18"/>
        </w:rPr>
      </w:pPr>
    </w:p>
    <w:p w:rsidR="002E116E" w:rsidRPr="00856ACF" w:rsidRDefault="002E116E" w:rsidP="00E92D2A">
      <w:pPr>
        <w:spacing w:after="0"/>
        <w:jc w:val="both"/>
        <w:rPr>
          <w:szCs w:val="18"/>
        </w:rPr>
      </w:pPr>
      <w:r w:rsidRPr="00856ACF">
        <w:rPr>
          <w:szCs w:val="18"/>
        </w:rPr>
        <w:t>Pour la bonne réalisation des peintures, l’ensemble des éléments fixé au murs devront être déposé et reposé par la suite (exemple : signalisation, supports extincteurs, poignées de porte, décoration, étagère…)</w:t>
      </w:r>
    </w:p>
    <w:p w:rsidR="002066B2" w:rsidRDefault="002066B2" w:rsidP="00D170E6">
      <w:pPr>
        <w:spacing w:after="0"/>
      </w:pPr>
    </w:p>
    <w:p w:rsidR="00D170E6" w:rsidRPr="00D170E6" w:rsidRDefault="00856ACF" w:rsidP="00856ACF">
      <w:pPr>
        <w:pStyle w:val="Titre3"/>
        <w:ind w:left="708"/>
      </w:pPr>
      <w:r>
        <w:t xml:space="preserve">2.2.2. </w:t>
      </w:r>
      <w:r w:rsidR="00D170E6" w:rsidRPr="00D170E6">
        <w:t>Travaux préparatoires sur supports anciens</w:t>
      </w:r>
    </w:p>
    <w:p w:rsidR="00D170E6" w:rsidRPr="00856ACF" w:rsidRDefault="00D170E6" w:rsidP="00E92D2A">
      <w:pPr>
        <w:jc w:val="both"/>
      </w:pPr>
      <w:r w:rsidRPr="00856ACF">
        <w:t xml:space="preserve">Sur l’ensemble des anciennes peintures sur cloisons et murs conservés, il doit être réalisé un lessivage préalable aux travaux de peintures. </w:t>
      </w:r>
    </w:p>
    <w:p w:rsidR="00D170E6" w:rsidRPr="00856ACF" w:rsidRDefault="00D170E6" w:rsidP="00E92D2A">
      <w:pPr>
        <w:jc w:val="both"/>
      </w:pPr>
      <w:r w:rsidRPr="00856ACF">
        <w:lastRenderedPageBreak/>
        <w:t>Il doit être prévu également, la réalisation des réparations de fissures de plâtrerie et ratissage divers.</w:t>
      </w:r>
    </w:p>
    <w:p w:rsidR="0017123D" w:rsidRDefault="0017123D" w:rsidP="00856ACF">
      <w:pPr>
        <w:pStyle w:val="Titre3"/>
        <w:ind w:left="708"/>
      </w:pPr>
      <w:r w:rsidRPr="0017123D">
        <w:t>2.</w:t>
      </w:r>
      <w:r w:rsidR="00856ACF">
        <w:t>2.3</w:t>
      </w:r>
      <w:r w:rsidRPr="0017123D">
        <w:t>. Peintures sur boiseries</w:t>
      </w:r>
    </w:p>
    <w:p w:rsidR="0017123D" w:rsidRPr="00856ACF" w:rsidRDefault="0017123D" w:rsidP="0017123D">
      <w:r w:rsidRPr="00856ACF">
        <w:t xml:space="preserve">Application de peinture sur menuiseries bois comprenant : </w:t>
      </w:r>
    </w:p>
    <w:p w:rsidR="0017123D" w:rsidRPr="00856ACF" w:rsidRDefault="0017123D" w:rsidP="0017123D">
      <w:pPr>
        <w:pStyle w:val="Paragraphedeliste"/>
        <w:numPr>
          <w:ilvl w:val="0"/>
          <w:numId w:val="14"/>
        </w:numPr>
      </w:pPr>
      <w:r w:rsidRPr="00856ACF">
        <w:t>L’application d’une couche primaire</w:t>
      </w:r>
    </w:p>
    <w:p w:rsidR="0017123D" w:rsidRPr="00856ACF" w:rsidRDefault="0017123D" w:rsidP="0017123D">
      <w:pPr>
        <w:pStyle w:val="Paragraphedeliste"/>
        <w:numPr>
          <w:ilvl w:val="0"/>
          <w:numId w:val="14"/>
        </w:numPr>
      </w:pPr>
      <w:r w:rsidRPr="00856ACF">
        <w:t>Les reprises d’enduit</w:t>
      </w:r>
    </w:p>
    <w:p w:rsidR="0017123D" w:rsidRPr="00856ACF" w:rsidRDefault="0017123D" w:rsidP="0017123D">
      <w:pPr>
        <w:pStyle w:val="Paragraphedeliste"/>
        <w:numPr>
          <w:ilvl w:val="0"/>
          <w:numId w:val="14"/>
        </w:numPr>
      </w:pPr>
      <w:r w:rsidRPr="00856ACF">
        <w:t>Le ponçage</w:t>
      </w:r>
    </w:p>
    <w:p w:rsidR="0017123D" w:rsidRPr="00856ACF" w:rsidRDefault="0017123D" w:rsidP="0017123D">
      <w:pPr>
        <w:pStyle w:val="Paragraphedeliste"/>
        <w:numPr>
          <w:ilvl w:val="0"/>
          <w:numId w:val="14"/>
        </w:numPr>
      </w:pPr>
      <w:r w:rsidRPr="00856ACF">
        <w:t>L’application de deux couches de peinture acrylique après égrenage et lessivage des supports anciens. Teintes et finitions au choix du maitre d’ouvrage</w:t>
      </w:r>
    </w:p>
    <w:p w:rsidR="0017123D" w:rsidRPr="0017123D" w:rsidRDefault="0017123D" w:rsidP="00856ACF">
      <w:pPr>
        <w:pStyle w:val="Titre3"/>
        <w:ind w:left="708"/>
      </w:pPr>
      <w:r w:rsidRPr="0017123D">
        <w:t>2.</w:t>
      </w:r>
      <w:r w:rsidR="00856ACF">
        <w:t>2</w:t>
      </w:r>
      <w:r w:rsidRPr="0017123D">
        <w:t>.4. Peinture sur retombées et divers</w:t>
      </w:r>
    </w:p>
    <w:p w:rsidR="0017123D" w:rsidRPr="00856ACF" w:rsidRDefault="0017123D" w:rsidP="0017123D">
      <w:r w:rsidRPr="00856ACF">
        <w:t xml:space="preserve">Application de peinture comprenant : </w:t>
      </w:r>
    </w:p>
    <w:p w:rsidR="0017123D" w:rsidRPr="00856ACF" w:rsidRDefault="0017123D" w:rsidP="0017123D">
      <w:pPr>
        <w:pStyle w:val="Paragraphedeliste"/>
        <w:numPr>
          <w:ilvl w:val="0"/>
          <w:numId w:val="14"/>
        </w:numPr>
      </w:pPr>
      <w:r w:rsidRPr="00856ACF">
        <w:t>L’application d’une couche de primaire</w:t>
      </w:r>
    </w:p>
    <w:p w:rsidR="0017123D" w:rsidRPr="00856ACF" w:rsidRDefault="0017123D" w:rsidP="0017123D">
      <w:pPr>
        <w:pStyle w:val="Paragraphedeliste"/>
        <w:numPr>
          <w:ilvl w:val="0"/>
          <w:numId w:val="14"/>
        </w:numPr>
      </w:pPr>
      <w:r w:rsidRPr="00856ACF">
        <w:t>Les reprises d’enduit</w:t>
      </w:r>
    </w:p>
    <w:p w:rsidR="0017123D" w:rsidRPr="00856ACF" w:rsidRDefault="0017123D" w:rsidP="0017123D">
      <w:pPr>
        <w:pStyle w:val="Paragraphedeliste"/>
        <w:numPr>
          <w:ilvl w:val="0"/>
          <w:numId w:val="14"/>
        </w:numPr>
      </w:pPr>
      <w:r w:rsidRPr="00856ACF">
        <w:t xml:space="preserve">Le ponçage </w:t>
      </w:r>
    </w:p>
    <w:p w:rsidR="0017123D" w:rsidRPr="00856ACF" w:rsidRDefault="0017123D" w:rsidP="0017123D">
      <w:pPr>
        <w:pStyle w:val="Paragraphedeliste"/>
        <w:numPr>
          <w:ilvl w:val="0"/>
          <w:numId w:val="14"/>
        </w:numPr>
      </w:pPr>
      <w:r w:rsidRPr="00856ACF">
        <w:t>L’application de deux couches de peinture acrylique après égrenage et lessivage des supports anciens. Teintes et finitions au choix du maître d’ouvrage</w:t>
      </w:r>
    </w:p>
    <w:p w:rsidR="002066B2" w:rsidRPr="00856ACF" w:rsidRDefault="002066B2" w:rsidP="0017123D">
      <w:pPr>
        <w:pStyle w:val="Paragraphedeliste"/>
        <w:numPr>
          <w:ilvl w:val="0"/>
          <w:numId w:val="14"/>
        </w:numPr>
      </w:pPr>
      <w:r w:rsidRPr="00856ACF">
        <w:t>A tous les angles saillants, mise en place de protections spéciales préconisés par le fabricant</w:t>
      </w:r>
    </w:p>
    <w:p w:rsidR="002066B2" w:rsidRPr="002066B2" w:rsidRDefault="002066B2" w:rsidP="00856ACF">
      <w:pPr>
        <w:pStyle w:val="Titre3"/>
        <w:ind w:left="708"/>
      </w:pPr>
      <w:r w:rsidRPr="002066B2">
        <w:t>2.</w:t>
      </w:r>
      <w:r w:rsidR="00856ACF">
        <w:t>2</w:t>
      </w:r>
      <w:r w:rsidRPr="002066B2">
        <w:t xml:space="preserve">.5. Peinture sur supports métalliques et divers </w:t>
      </w:r>
    </w:p>
    <w:p w:rsidR="002066B2" w:rsidRPr="00856ACF" w:rsidRDefault="002066B2" w:rsidP="002066B2">
      <w:r w:rsidRPr="00856ACF">
        <w:t xml:space="preserve">Peinture des parties métalliques apparentes (tuyauteries) et divers (PVC) comprenant : </w:t>
      </w:r>
    </w:p>
    <w:p w:rsidR="002066B2" w:rsidRPr="00856ACF" w:rsidRDefault="002066B2" w:rsidP="002066B2">
      <w:pPr>
        <w:pStyle w:val="Paragraphedeliste"/>
        <w:numPr>
          <w:ilvl w:val="0"/>
          <w:numId w:val="14"/>
        </w:numPr>
      </w:pPr>
      <w:r w:rsidRPr="00856ACF">
        <w:t>Nettoyage et dépoussiérage</w:t>
      </w:r>
    </w:p>
    <w:p w:rsidR="002066B2" w:rsidRPr="00856ACF" w:rsidRDefault="002066B2" w:rsidP="002066B2">
      <w:pPr>
        <w:pStyle w:val="Paragraphedeliste"/>
        <w:numPr>
          <w:ilvl w:val="0"/>
          <w:numId w:val="14"/>
        </w:numPr>
      </w:pPr>
      <w:r w:rsidRPr="00856ACF">
        <w:t>1 couche d’accrochage</w:t>
      </w:r>
    </w:p>
    <w:p w:rsidR="002066B2" w:rsidRPr="00856ACF" w:rsidRDefault="002066B2" w:rsidP="002066B2">
      <w:pPr>
        <w:pStyle w:val="Paragraphedeliste"/>
        <w:numPr>
          <w:ilvl w:val="0"/>
          <w:numId w:val="14"/>
        </w:numPr>
      </w:pPr>
      <w:r w:rsidRPr="00856ACF">
        <w:t>2 couches de finition, teintes et finition au choix du maître d’ouvrage</w:t>
      </w:r>
    </w:p>
    <w:p w:rsidR="002066B2" w:rsidRPr="002066B2" w:rsidRDefault="002066B2" w:rsidP="00856ACF">
      <w:pPr>
        <w:pStyle w:val="Titre3"/>
        <w:ind w:left="708"/>
      </w:pPr>
      <w:r w:rsidRPr="002066B2">
        <w:t>2.</w:t>
      </w:r>
      <w:r w:rsidR="00856ACF">
        <w:t>2</w:t>
      </w:r>
      <w:r w:rsidRPr="002066B2">
        <w:t xml:space="preserve">.6. Toiles de verre et peintures : </w:t>
      </w:r>
    </w:p>
    <w:p w:rsidR="002066B2" w:rsidRPr="00856ACF" w:rsidRDefault="002066B2" w:rsidP="002066B2">
      <w:r w:rsidRPr="00856ACF">
        <w:t xml:space="preserve">Mise en œuvre de toile de verre peinte suivant plans de finition comprenant : </w:t>
      </w:r>
    </w:p>
    <w:p w:rsidR="002066B2" w:rsidRPr="00856ACF" w:rsidRDefault="002066B2" w:rsidP="002066B2">
      <w:pPr>
        <w:pStyle w:val="Paragraphedeliste"/>
        <w:numPr>
          <w:ilvl w:val="0"/>
          <w:numId w:val="14"/>
        </w:numPr>
      </w:pPr>
      <w:r w:rsidRPr="00856ACF">
        <w:t xml:space="preserve">La dépose des revêtements existants le cas échéant. </w:t>
      </w:r>
    </w:p>
    <w:p w:rsidR="002066B2" w:rsidRPr="00856ACF" w:rsidRDefault="002066B2" w:rsidP="002066B2">
      <w:pPr>
        <w:pStyle w:val="Paragraphedeliste"/>
        <w:numPr>
          <w:ilvl w:val="0"/>
          <w:numId w:val="14"/>
        </w:numPr>
      </w:pPr>
      <w:r w:rsidRPr="00856ACF">
        <w:t xml:space="preserve">Les bouchements et reprises d’enduit (notamment passe d’enduit sur les voiles béton). </w:t>
      </w:r>
    </w:p>
    <w:p w:rsidR="002066B2" w:rsidRPr="00856ACF" w:rsidRDefault="002066B2" w:rsidP="002066B2">
      <w:pPr>
        <w:pStyle w:val="Paragraphedeliste"/>
        <w:numPr>
          <w:ilvl w:val="0"/>
          <w:numId w:val="14"/>
        </w:numPr>
      </w:pPr>
      <w:r w:rsidRPr="00856ACF">
        <w:t xml:space="preserve">Les travaux d’enduits de finition. </w:t>
      </w:r>
    </w:p>
    <w:p w:rsidR="002066B2" w:rsidRPr="00856ACF" w:rsidRDefault="002066B2" w:rsidP="002066B2">
      <w:pPr>
        <w:pStyle w:val="Paragraphedeliste"/>
        <w:numPr>
          <w:ilvl w:val="0"/>
          <w:numId w:val="14"/>
        </w:numPr>
      </w:pPr>
      <w:r w:rsidRPr="00856ACF">
        <w:t xml:space="preserve">Le ponçage. </w:t>
      </w:r>
    </w:p>
    <w:p w:rsidR="002066B2" w:rsidRPr="00856ACF" w:rsidRDefault="002066B2" w:rsidP="002066B2">
      <w:pPr>
        <w:pStyle w:val="Paragraphedeliste"/>
        <w:numPr>
          <w:ilvl w:val="0"/>
          <w:numId w:val="14"/>
        </w:numPr>
      </w:pPr>
      <w:r w:rsidRPr="00856ACF">
        <w:t xml:space="preserve">L’application d’une couche d’impression. </w:t>
      </w:r>
    </w:p>
    <w:p w:rsidR="002066B2" w:rsidRPr="00856ACF" w:rsidRDefault="002066B2" w:rsidP="002066B2">
      <w:pPr>
        <w:pStyle w:val="Paragraphedeliste"/>
        <w:numPr>
          <w:ilvl w:val="0"/>
          <w:numId w:val="14"/>
        </w:numPr>
      </w:pPr>
      <w:r w:rsidRPr="00856ACF">
        <w:t xml:space="preserve">La fourniture et la pose de toile de verre de marque très lisse </w:t>
      </w:r>
      <w:proofErr w:type="spellStart"/>
      <w:r w:rsidRPr="00856ACF">
        <w:t>Skinglass</w:t>
      </w:r>
      <w:proofErr w:type="spellEnd"/>
      <w:r w:rsidRPr="00856ACF">
        <w:t xml:space="preserve"> de chez Gauthier ou équivalent. Gamme comprise entre 120 et 180Grs/m² au choix de l’exploitant. </w:t>
      </w:r>
    </w:p>
    <w:p w:rsidR="002066B2" w:rsidRPr="00856ACF" w:rsidRDefault="002066B2" w:rsidP="002066B2">
      <w:pPr>
        <w:pStyle w:val="Paragraphedeliste"/>
        <w:numPr>
          <w:ilvl w:val="0"/>
          <w:numId w:val="14"/>
        </w:numPr>
      </w:pPr>
      <w:r w:rsidRPr="00856ACF">
        <w:t xml:space="preserve">L’application de deux couches de peinture acrylique satin. Teintes et finitions au choix du maître d’ouvrage. </w:t>
      </w:r>
    </w:p>
    <w:p w:rsidR="00CB6B54" w:rsidRDefault="00B10E6A" w:rsidP="00B10E6A">
      <w:r w:rsidRPr="00856ACF">
        <w:rPr>
          <w:u w:val="single"/>
        </w:rPr>
        <w:t>Localisation :</w:t>
      </w:r>
      <w:r w:rsidRPr="00856ACF">
        <w:t xml:space="preserve"> voir selon détail plans projet (si toile de verre (TDV) ou murs lisses (ML))</w:t>
      </w:r>
    </w:p>
    <w:p w:rsidR="00E552C5" w:rsidRDefault="00E552C5" w:rsidP="00E552C5">
      <w:pPr>
        <w:pStyle w:val="Titre3"/>
        <w:ind w:left="708"/>
      </w:pPr>
      <w:r>
        <w:t xml:space="preserve">2.2.8. Revêtements muraux : </w:t>
      </w:r>
    </w:p>
    <w:p w:rsidR="00E552C5" w:rsidRDefault="00E552C5" w:rsidP="00E552C5">
      <w:r>
        <w:t>Selon les secteurs, le titulaire du présent lot devra la fourniture et pose de revêtements muraux selon les prescriptions données dans les visuels de l’architecte</w:t>
      </w:r>
    </w:p>
    <w:p w:rsidR="00E552C5" w:rsidRPr="00E552C5" w:rsidRDefault="00E552C5" w:rsidP="00E552C5">
      <w:r>
        <w:t>Localisation : entrées des services</w:t>
      </w:r>
    </w:p>
    <w:p w:rsidR="002066B2" w:rsidRPr="002066B2" w:rsidRDefault="002066B2" w:rsidP="00856ACF">
      <w:pPr>
        <w:pStyle w:val="Titre3"/>
        <w:ind w:left="708"/>
      </w:pPr>
      <w:r w:rsidRPr="002066B2">
        <w:t>2.</w:t>
      </w:r>
      <w:r w:rsidR="00856ACF">
        <w:t>2</w:t>
      </w:r>
      <w:r w:rsidRPr="002066B2">
        <w:t>.</w:t>
      </w:r>
      <w:r w:rsidR="00E552C5">
        <w:t>9</w:t>
      </w:r>
      <w:r w:rsidRPr="002066B2">
        <w:t xml:space="preserve">. Nettoyage : </w:t>
      </w:r>
    </w:p>
    <w:p w:rsidR="002066B2" w:rsidRPr="00856ACF" w:rsidRDefault="002066B2" w:rsidP="002066B2">
      <w:r w:rsidRPr="00856ACF">
        <w:t xml:space="preserve">Nettoyage soigné de fin de chantier dû au présent lot comprenant : </w:t>
      </w:r>
    </w:p>
    <w:p w:rsidR="002066B2" w:rsidRPr="00856ACF" w:rsidRDefault="002066B2" w:rsidP="002066B2">
      <w:pPr>
        <w:pStyle w:val="Paragraphedeliste"/>
        <w:numPr>
          <w:ilvl w:val="0"/>
          <w:numId w:val="14"/>
        </w:numPr>
      </w:pPr>
      <w:r w:rsidRPr="00856ACF">
        <w:t xml:space="preserve">Le lessivage des portes, châssis et vitrages, sols. </w:t>
      </w:r>
    </w:p>
    <w:p w:rsidR="002066B2" w:rsidRPr="00856ACF" w:rsidRDefault="002066B2" w:rsidP="002066B2">
      <w:pPr>
        <w:pStyle w:val="Paragraphedeliste"/>
        <w:numPr>
          <w:ilvl w:val="0"/>
          <w:numId w:val="14"/>
        </w:numPr>
      </w:pPr>
      <w:r w:rsidRPr="00856ACF">
        <w:t xml:space="preserve">Le dépoussiérage des plafonds. </w:t>
      </w:r>
    </w:p>
    <w:p w:rsidR="002066B2" w:rsidRPr="00856ACF" w:rsidRDefault="002066B2" w:rsidP="002066B2">
      <w:pPr>
        <w:pStyle w:val="Paragraphedeliste"/>
        <w:numPr>
          <w:ilvl w:val="0"/>
          <w:numId w:val="14"/>
        </w:numPr>
      </w:pPr>
      <w:r w:rsidRPr="00856ACF">
        <w:t xml:space="preserve">Le nettoyage des appareils sanitaires. </w:t>
      </w:r>
    </w:p>
    <w:p w:rsidR="009C0860" w:rsidRPr="00856ACF" w:rsidRDefault="002066B2" w:rsidP="00BF2541">
      <w:r w:rsidRPr="00856ACF">
        <w:rPr>
          <w:u w:val="single"/>
        </w:rPr>
        <w:t>Localisation :</w:t>
      </w:r>
      <w:r w:rsidRPr="00856ACF">
        <w:t xml:space="preserve"> sur l’emprise du projet et des zones transitoires de chantier</w:t>
      </w:r>
    </w:p>
    <w:p w:rsidR="00BF2541" w:rsidRDefault="00856ACF" w:rsidP="00856ACF">
      <w:pPr>
        <w:pStyle w:val="Titre2"/>
        <w:ind w:left="708"/>
      </w:pPr>
      <w:r>
        <w:lastRenderedPageBreak/>
        <w:t xml:space="preserve">2.3. </w:t>
      </w:r>
      <w:r w:rsidR="00134C31">
        <w:t>Revêtements de sols</w:t>
      </w:r>
    </w:p>
    <w:p w:rsidR="00076EDD" w:rsidRPr="00076EDD" w:rsidRDefault="00076EDD" w:rsidP="00856ACF">
      <w:pPr>
        <w:pStyle w:val="Titre3"/>
        <w:ind w:left="708"/>
      </w:pPr>
      <w:r>
        <w:t>2.</w:t>
      </w:r>
      <w:r w:rsidR="00856ACF">
        <w:t>3</w:t>
      </w:r>
      <w:r>
        <w:t>.1</w:t>
      </w:r>
      <w:r w:rsidR="00856ACF">
        <w:t>.</w:t>
      </w:r>
      <w:r w:rsidRPr="00076EDD">
        <w:t xml:space="preserve"> Préparation des supports – ragréage</w:t>
      </w:r>
    </w:p>
    <w:p w:rsidR="00076EDD" w:rsidRPr="00856ACF" w:rsidRDefault="00076EDD" w:rsidP="00076EDD">
      <w:r w:rsidRPr="00856ACF">
        <w:t xml:space="preserve">L’entreprise doit la réalisation de la forme générale du sol comprenant : </w:t>
      </w:r>
    </w:p>
    <w:p w:rsidR="00076EDD" w:rsidRPr="00856ACF" w:rsidRDefault="00076EDD" w:rsidP="00076EDD">
      <w:pPr>
        <w:pStyle w:val="Paragraphedeliste"/>
        <w:numPr>
          <w:ilvl w:val="0"/>
          <w:numId w:val="14"/>
        </w:numPr>
      </w:pPr>
      <w:r w:rsidRPr="00856ACF">
        <w:t>Le surfaçage des anciens ragréages comprenant le grignotage des zones non adhérentes et en surépaisseur</w:t>
      </w:r>
    </w:p>
    <w:p w:rsidR="00076EDD" w:rsidRPr="00856ACF" w:rsidRDefault="00076EDD" w:rsidP="00076EDD">
      <w:pPr>
        <w:pStyle w:val="Paragraphedeliste"/>
        <w:numPr>
          <w:ilvl w:val="0"/>
          <w:numId w:val="14"/>
        </w:numPr>
      </w:pPr>
      <w:r w:rsidRPr="00856ACF">
        <w:t>La réalisation des ragréages de fortes épaisseur pour rattrapage du niveau global compris primaire d’accrochage</w:t>
      </w:r>
    </w:p>
    <w:p w:rsidR="00076EDD" w:rsidRPr="00856ACF" w:rsidRDefault="00076EDD" w:rsidP="00076EDD">
      <w:pPr>
        <w:pStyle w:val="Paragraphedeliste"/>
        <w:numPr>
          <w:ilvl w:val="0"/>
          <w:numId w:val="14"/>
        </w:numPr>
      </w:pPr>
      <w:r w:rsidRPr="00856ACF">
        <w:t>D’une manière générale, tous les travaux nécessaires à une bonne planéité générale.</w:t>
      </w:r>
    </w:p>
    <w:p w:rsidR="00076EDD" w:rsidRPr="00856ACF" w:rsidRDefault="00076EDD" w:rsidP="00076EDD">
      <w:r w:rsidRPr="00856ACF">
        <w:t xml:space="preserve">Il conviendra au préalable, d’effectuer les bouchements des spectres des cloisons démolies et divers trous. </w:t>
      </w:r>
    </w:p>
    <w:p w:rsidR="00076EDD" w:rsidRPr="00856ACF" w:rsidRDefault="00076EDD" w:rsidP="00076EDD">
      <w:r w:rsidRPr="00856ACF">
        <w:t>L’entreprise pourra être amenée à effectuer plusieurs passes afin d’obtenir la meilleure planéité possible</w:t>
      </w:r>
    </w:p>
    <w:p w:rsidR="00076EDD" w:rsidRPr="00856ACF" w:rsidRDefault="00076EDD" w:rsidP="00076EDD">
      <w:r w:rsidRPr="00856ACF">
        <w:t>La dépose des revêtements existants dans les pièces concernées devra être effectué</w:t>
      </w:r>
      <w:r w:rsidR="00B10E6A" w:rsidRPr="00856ACF">
        <w:t>e</w:t>
      </w:r>
      <w:r w:rsidRPr="00856ACF">
        <w:t xml:space="preserve"> avant la réalisation d’un premier ponçage</w:t>
      </w:r>
    </w:p>
    <w:p w:rsidR="00076EDD" w:rsidRDefault="00856ACF" w:rsidP="00856ACF">
      <w:pPr>
        <w:pStyle w:val="Titre3"/>
        <w:ind w:left="708"/>
      </w:pPr>
      <w:r>
        <w:t>2.3.2.</w:t>
      </w:r>
      <w:r w:rsidR="00076EDD">
        <w:t xml:space="preserve"> Sols souples – moquettes </w:t>
      </w:r>
      <w:r w:rsidR="008D2F35">
        <w:t xml:space="preserve">– Lames </w:t>
      </w:r>
      <w:r w:rsidR="007E0D67">
        <w:t>vinyles</w:t>
      </w:r>
      <w:r w:rsidR="008D2F35">
        <w:t xml:space="preserve"> décoratives</w:t>
      </w:r>
      <w:r w:rsidR="00076EDD">
        <w:t xml:space="preserve">– divers : </w:t>
      </w:r>
    </w:p>
    <w:p w:rsidR="00076EDD" w:rsidRPr="00856ACF" w:rsidRDefault="00076EDD" w:rsidP="00076EDD">
      <w:r w:rsidRPr="00856ACF">
        <w:t>Dans certaine zone,</w:t>
      </w:r>
      <w:r w:rsidR="00B10E6A" w:rsidRPr="00856ACF">
        <w:t xml:space="preserve"> des travaux de sols souples et/</w:t>
      </w:r>
      <w:r w:rsidRPr="00856ACF">
        <w:t>ou moquettes devront être réalisés (</w:t>
      </w:r>
      <w:proofErr w:type="spellStart"/>
      <w:r w:rsidRPr="00856ACF">
        <w:t>cf</w:t>
      </w:r>
      <w:proofErr w:type="spellEnd"/>
      <w:r w:rsidRPr="00856ACF">
        <w:t xml:space="preserve"> localisation sur les plans) et devront respecter les caractéristiques suivantes : </w:t>
      </w:r>
    </w:p>
    <w:p w:rsidR="00076EDD" w:rsidRPr="00856ACF" w:rsidRDefault="00B10E6A" w:rsidP="008D2F35">
      <w:pPr>
        <w:spacing w:after="0"/>
      </w:pPr>
      <w:r w:rsidRPr="00856ACF">
        <w:rPr>
          <w:u w:val="single"/>
        </w:rPr>
        <w:t>Revêtement Repère 1 :</w:t>
      </w:r>
      <w:r w:rsidRPr="00856ACF">
        <w:t xml:space="preserve"> </w:t>
      </w:r>
      <w:r w:rsidR="008D2F35" w:rsidRPr="00856ACF">
        <w:t xml:space="preserve">Lames vinyles (Revêtement de sols </w:t>
      </w:r>
      <w:r w:rsidR="007E0D67" w:rsidRPr="00856ACF">
        <w:t>PVC</w:t>
      </w:r>
      <w:r w:rsidR="008D2F35" w:rsidRPr="00856ACF">
        <w:t xml:space="preserve"> hétérogène compact)</w:t>
      </w:r>
    </w:p>
    <w:p w:rsidR="008D2F35" w:rsidRPr="00856ACF" w:rsidRDefault="008D2F35" w:rsidP="008D2F35">
      <w:pPr>
        <w:pStyle w:val="Paragraphedeliste"/>
        <w:numPr>
          <w:ilvl w:val="0"/>
          <w:numId w:val="14"/>
        </w:numPr>
        <w:spacing w:after="0"/>
      </w:pPr>
      <w:r w:rsidRPr="00856ACF">
        <w:t>ID INSPIRATION</w:t>
      </w:r>
      <w:r w:rsidR="007E0D67" w:rsidRPr="00856ACF">
        <w:t xml:space="preserve"> </w:t>
      </w:r>
      <w:r w:rsidR="0076073C" w:rsidRPr="00856ACF">
        <w:t xml:space="preserve">« ANTIK OAK – Natural » </w:t>
      </w:r>
      <w:r w:rsidR="007E0D67" w:rsidRPr="00856ACF">
        <w:t>(TARKETT)</w:t>
      </w:r>
      <w:r w:rsidRPr="00856ACF">
        <w:t xml:space="preserve"> ou équivalent</w:t>
      </w:r>
    </w:p>
    <w:p w:rsidR="008D2F35" w:rsidRPr="00856ACF" w:rsidRDefault="008D2F35" w:rsidP="008D2F35">
      <w:pPr>
        <w:pStyle w:val="Paragraphedeliste"/>
        <w:numPr>
          <w:ilvl w:val="0"/>
          <w:numId w:val="14"/>
        </w:numPr>
        <w:spacing w:after="0"/>
      </w:pPr>
      <w:r w:rsidRPr="00856ACF">
        <w:t>Lames au format 20*120 cm</w:t>
      </w:r>
    </w:p>
    <w:p w:rsidR="008D2F35" w:rsidRPr="00856ACF" w:rsidRDefault="008D2F35" w:rsidP="008D2F35">
      <w:pPr>
        <w:pStyle w:val="Paragraphedeliste"/>
        <w:numPr>
          <w:ilvl w:val="0"/>
          <w:numId w:val="14"/>
        </w:numPr>
        <w:spacing w:after="0"/>
      </w:pPr>
      <w:r w:rsidRPr="00856ACF">
        <w:t>En pose collé sur su</w:t>
      </w:r>
      <w:r w:rsidR="007E0D67" w:rsidRPr="00856ACF">
        <w:t>pport béton</w:t>
      </w:r>
      <w:r w:rsidR="00B10E6A" w:rsidRPr="00856ACF">
        <w:t xml:space="preserve"> ou carrelage</w:t>
      </w:r>
      <w:r w:rsidR="007E0D67" w:rsidRPr="00856ACF">
        <w:t xml:space="preserve"> ragréé</w:t>
      </w:r>
    </w:p>
    <w:p w:rsidR="008D2F35" w:rsidRPr="00856ACF" w:rsidRDefault="008D2F35" w:rsidP="008D2F35">
      <w:pPr>
        <w:pStyle w:val="Paragraphedeliste"/>
        <w:numPr>
          <w:ilvl w:val="0"/>
          <w:numId w:val="14"/>
        </w:numPr>
        <w:spacing w:after="0"/>
      </w:pPr>
      <w:r w:rsidRPr="00856ACF">
        <w:t>Epaisseur 2.5 mm</w:t>
      </w:r>
    </w:p>
    <w:p w:rsidR="007E0D67" w:rsidRPr="00856ACF" w:rsidRDefault="008D2F35" w:rsidP="007E0D67">
      <w:pPr>
        <w:pStyle w:val="Paragraphedeliste"/>
        <w:numPr>
          <w:ilvl w:val="0"/>
          <w:numId w:val="14"/>
        </w:numPr>
        <w:spacing w:after="0"/>
      </w:pPr>
      <w:r w:rsidRPr="00856ACF">
        <w:t>Barre de seuil en raccord avec les autres revêtements</w:t>
      </w:r>
    </w:p>
    <w:p w:rsidR="0076073C" w:rsidRPr="00856ACF" w:rsidRDefault="0076073C" w:rsidP="0076073C">
      <w:pPr>
        <w:spacing w:after="0"/>
      </w:pPr>
    </w:p>
    <w:p w:rsidR="0076073C" w:rsidRPr="00856ACF" w:rsidRDefault="0076073C" w:rsidP="0076073C">
      <w:pPr>
        <w:spacing w:after="0"/>
      </w:pPr>
      <w:r w:rsidRPr="00856ACF">
        <w:rPr>
          <w:u w:val="single"/>
        </w:rPr>
        <w:t>Revêtement Repère 2</w:t>
      </w:r>
      <w:r w:rsidRPr="00856ACF">
        <w:t> : Dalles vinyles (Revêtement de sols PVC hétérogène compact)</w:t>
      </w:r>
    </w:p>
    <w:p w:rsidR="0076073C" w:rsidRPr="00856ACF" w:rsidRDefault="0076073C" w:rsidP="0076073C">
      <w:pPr>
        <w:pStyle w:val="Paragraphedeliste"/>
        <w:numPr>
          <w:ilvl w:val="0"/>
          <w:numId w:val="14"/>
        </w:numPr>
        <w:spacing w:after="0"/>
      </w:pPr>
      <w:r w:rsidRPr="00856ACF">
        <w:t xml:space="preserve">ID INSPIRATION </w:t>
      </w:r>
      <w:r w:rsidR="00D93481" w:rsidRPr="00856ACF">
        <w:t xml:space="preserve">« CENTURY – Dawn » </w:t>
      </w:r>
      <w:r w:rsidRPr="00856ACF">
        <w:t xml:space="preserve">(TARKETT) </w:t>
      </w:r>
      <w:r w:rsidR="00D93481" w:rsidRPr="00856ACF">
        <w:t>ou équivalent</w:t>
      </w:r>
    </w:p>
    <w:p w:rsidR="00D93481" w:rsidRPr="00856ACF" w:rsidRDefault="00D93481" w:rsidP="0076073C">
      <w:pPr>
        <w:pStyle w:val="Paragraphedeliste"/>
        <w:numPr>
          <w:ilvl w:val="0"/>
          <w:numId w:val="14"/>
        </w:numPr>
        <w:spacing w:after="0"/>
      </w:pPr>
      <w:r w:rsidRPr="00856ACF">
        <w:t>Dalles au format 66.6*66.6 cm</w:t>
      </w:r>
    </w:p>
    <w:p w:rsidR="00D93481" w:rsidRPr="00856ACF" w:rsidRDefault="00D93481" w:rsidP="0076073C">
      <w:pPr>
        <w:pStyle w:val="Paragraphedeliste"/>
        <w:numPr>
          <w:ilvl w:val="0"/>
          <w:numId w:val="14"/>
        </w:numPr>
        <w:spacing w:after="0"/>
      </w:pPr>
      <w:r w:rsidRPr="00856ACF">
        <w:t>En pose collé sur béton ou carrelage ragrée</w:t>
      </w:r>
    </w:p>
    <w:p w:rsidR="00D93481" w:rsidRPr="00856ACF" w:rsidRDefault="00D93481" w:rsidP="00D93481">
      <w:pPr>
        <w:pStyle w:val="Paragraphedeliste"/>
        <w:numPr>
          <w:ilvl w:val="0"/>
          <w:numId w:val="14"/>
        </w:numPr>
        <w:spacing w:after="0"/>
      </w:pPr>
      <w:r w:rsidRPr="00856ACF">
        <w:t>Epaisseur 2.5 mm</w:t>
      </w:r>
    </w:p>
    <w:p w:rsidR="00D93481" w:rsidRPr="00856ACF" w:rsidRDefault="00D93481" w:rsidP="00D93481">
      <w:pPr>
        <w:pStyle w:val="Paragraphedeliste"/>
        <w:numPr>
          <w:ilvl w:val="0"/>
          <w:numId w:val="14"/>
        </w:numPr>
        <w:spacing w:after="0"/>
      </w:pPr>
      <w:r w:rsidRPr="00856ACF">
        <w:t>Barre de seuil en raccord avec les autres revêtements</w:t>
      </w:r>
    </w:p>
    <w:p w:rsidR="00D93481" w:rsidRPr="00856ACF" w:rsidRDefault="00D93481" w:rsidP="00D93481">
      <w:pPr>
        <w:spacing w:after="0"/>
      </w:pPr>
    </w:p>
    <w:p w:rsidR="00D93481" w:rsidRPr="00856ACF" w:rsidRDefault="00111EFE" w:rsidP="00D93481">
      <w:pPr>
        <w:spacing w:after="0"/>
      </w:pPr>
      <w:r w:rsidRPr="00856ACF">
        <w:rPr>
          <w:u w:val="single"/>
        </w:rPr>
        <w:t>Revêtement Repère 3 :</w:t>
      </w:r>
      <w:r w:rsidRPr="00856ACF">
        <w:t xml:space="preserve"> Dalles moquettes </w:t>
      </w:r>
    </w:p>
    <w:p w:rsidR="00111EFE" w:rsidRPr="00856ACF" w:rsidRDefault="00111EFE" w:rsidP="00111EFE">
      <w:pPr>
        <w:pStyle w:val="Paragraphedeliste"/>
        <w:numPr>
          <w:ilvl w:val="0"/>
          <w:numId w:val="14"/>
        </w:numPr>
        <w:spacing w:after="0"/>
      </w:pPr>
      <w:r w:rsidRPr="00856ACF">
        <w:t>CE 100 « 4314006 » (INTERFACE) ou équivalent</w:t>
      </w:r>
    </w:p>
    <w:p w:rsidR="00111EFE" w:rsidRPr="00856ACF" w:rsidRDefault="00111EFE" w:rsidP="00111EFE">
      <w:pPr>
        <w:pStyle w:val="Paragraphedeliste"/>
        <w:numPr>
          <w:ilvl w:val="0"/>
          <w:numId w:val="14"/>
        </w:numPr>
        <w:spacing w:after="0"/>
      </w:pPr>
      <w:r w:rsidRPr="00856ACF">
        <w:t>Dalles au format 50*50 cm</w:t>
      </w:r>
    </w:p>
    <w:p w:rsidR="00111EFE" w:rsidRPr="00856ACF" w:rsidRDefault="00111EFE" w:rsidP="00111EFE">
      <w:pPr>
        <w:pStyle w:val="Paragraphedeliste"/>
        <w:numPr>
          <w:ilvl w:val="0"/>
          <w:numId w:val="14"/>
        </w:numPr>
        <w:spacing w:after="0"/>
      </w:pPr>
      <w:r w:rsidRPr="00856ACF">
        <w:t>En pose collé sur support béton ou carrelage ragréé</w:t>
      </w:r>
    </w:p>
    <w:p w:rsidR="00111EFE" w:rsidRPr="00856ACF" w:rsidRDefault="00111EFE" w:rsidP="00111EFE">
      <w:pPr>
        <w:pStyle w:val="Paragraphedeliste"/>
        <w:numPr>
          <w:ilvl w:val="0"/>
          <w:numId w:val="14"/>
        </w:numPr>
        <w:spacing w:after="0"/>
      </w:pPr>
      <w:r w:rsidRPr="00856ACF">
        <w:t>Epaisseur 6.4 mm</w:t>
      </w:r>
    </w:p>
    <w:p w:rsidR="00111EFE" w:rsidRPr="00856ACF" w:rsidRDefault="00111EFE" w:rsidP="00111EFE">
      <w:pPr>
        <w:pStyle w:val="Paragraphedeliste"/>
        <w:numPr>
          <w:ilvl w:val="0"/>
          <w:numId w:val="14"/>
        </w:numPr>
        <w:spacing w:after="0"/>
      </w:pPr>
      <w:r w:rsidRPr="00856ACF">
        <w:t>Barre de seuil en raccord avec les autres revêtements</w:t>
      </w:r>
    </w:p>
    <w:p w:rsidR="00D93481" w:rsidRPr="00856ACF" w:rsidRDefault="00D93481" w:rsidP="00D93481">
      <w:pPr>
        <w:spacing w:after="0"/>
      </w:pPr>
    </w:p>
    <w:p w:rsidR="007E0D67" w:rsidRDefault="007E0D67" w:rsidP="007E0D67">
      <w:pPr>
        <w:spacing w:after="0"/>
      </w:pPr>
    </w:p>
    <w:p w:rsidR="00076EDD" w:rsidRDefault="00856ACF" w:rsidP="00856ACF">
      <w:pPr>
        <w:pStyle w:val="Titre3"/>
        <w:ind w:left="708"/>
      </w:pPr>
      <w:r>
        <w:t>2.3.3.</w:t>
      </w:r>
      <w:r w:rsidR="00076EDD">
        <w:t xml:space="preserve"> Plinthes </w:t>
      </w:r>
    </w:p>
    <w:p w:rsidR="00C3085E" w:rsidRDefault="00C3085E" w:rsidP="00C3085E">
      <w:r>
        <w:t>A voir selon localisation</w:t>
      </w:r>
    </w:p>
    <w:p w:rsidR="00C3085E" w:rsidRDefault="00C3085E" w:rsidP="00C3085E">
      <w:r>
        <w:t xml:space="preserve">Dans les zones concernées par la rénovation thermique uniquement, des plinthes bois similaires aux existantes des pièces devront être installées. </w:t>
      </w:r>
    </w:p>
    <w:p w:rsidR="00C3085E" w:rsidRDefault="00C3085E" w:rsidP="00C3085E">
      <w:r>
        <w:t xml:space="preserve">Dans les zones concernées par la réfection complète du sol, des plinthes bois hauteur 100 mm seront installées. </w:t>
      </w:r>
    </w:p>
    <w:p w:rsidR="00C3085E" w:rsidRDefault="00C3085E" w:rsidP="00C3085E">
      <w:r>
        <w:t>Dans tous les cas, cette pose devra comprendre toutes les sujétions de finitions (</w:t>
      </w:r>
      <w:proofErr w:type="spellStart"/>
      <w:r>
        <w:t>mastiquage</w:t>
      </w:r>
      <w:proofErr w:type="spellEnd"/>
      <w:r>
        <w:t xml:space="preserve"> des pointes de fixation, acrylique de finition…) et devront être peintes de la couleur du mur choisi. </w:t>
      </w:r>
    </w:p>
    <w:p w:rsidR="003937CE" w:rsidRDefault="00C3085E" w:rsidP="00C3085E">
      <w:r>
        <w:t>Si cas particulier, cela sera spécifié sur les plans ou en cours chantier</w:t>
      </w:r>
      <w:r w:rsidR="001634D8">
        <w:t xml:space="preserve"> (plinthes PVC ou remontées en plinthes</w:t>
      </w:r>
      <w:r w:rsidR="00E552C5">
        <w:t>)</w:t>
      </w:r>
    </w:p>
    <w:p w:rsidR="004764AB" w:rsidRPr="00856ACF" w:rsidRDefault="00856ACF" w:rsidP="00856ACF">
      <w:pPr>
        <w:pStyle w:val="Titre3"/>
        <w:ind w:left="708"/>
      </w:pPr>
      <w:r>
        <w:t xml:space="preserve">2.3.4. </w:t>
      </w:r>
      <w:r w:rsidR="004764AB" w:rsidRPr="00856ACF">
        <w:t>Butoir de porte</w:t>
      </w:r>
    </w:p>
    <w:p w:rsidR="004764AB" w:rsidRDefault="001634D8" w:rsidP="004764AB">
      <w:r>
        <w:t xml:space="preserve">Le titulaire du présent lot devra la dépose de tous les butoirs de portes existants. Mais aussi la mise en place de nouveau butoir après réalisation des revêtements de sol.  </w:t>
      </w:r>
    </w:p>
    <w:p w:rsidR="001634D8" w:rsidRPr="00856ACF" w:rsidRDefault="00856ACF" w:rsidP="00856ACF">
      <w:pPr>
        <w:pStyle w:val="Titre3"/>
        <w:ind w:left="708"/>
      </w:pPr>
      <w:r>
        <w:lastRenderedPageBreak/>
        <w:t xml:space="preserve">2.3.5. </w:t>
      </w:r>
      <w:r w:rsidR="001634D8" w:rsidRPr="00856ACF">
        <w:t>Réemploi </w:t>
      </w:r>
    </w:p>
    <w:p w:rsidR="001634D8" w:rsidRDefault="001634D8" w:rsidP="001634D8">
      <w:r>
        <w:t xml:space="preserve">Les revêtements de sol type PVC déposé sont 100% recyclable, l’ensemble des revêtements déposés et les chutes suite à la pose devront être collectés et recyclés au travers d’un programme « Seconde Vie ». </w:t>
      </w:r>
      <w:proofErr w:type="gramStart"/>
      <w:r>
        <w:t>il</w:t>
      </w:r>
      <w:proofErr w:type="gramEnd"/>
      <w:r>
        <w:t xml:space="preserve"> sera demandé au titulaire de fournir les bons de traitements des revêtements déposés et des chutes de pose. </w:t>
      </w:r>
    </w:p>
    <w:p w:rsidR="00856ACF" w:rsidRPr="00A3410D" w:rsidRDefault="00856ACF" w:rsidP="00856ACF">
      <w:pPr>
        <w:pStyle w:val="Titre1"/>
        <w:numPr>
          <w:ilvl w:val="0"/>
          <w:numId w:val="21"/>
        </w:numPr>
      </w:pPr>
      <w:bookmarkStart w:id="2" w:name="_Toc198883812"/>
      <w:bookmarkStart w:id="3" w:name="_Hlk198890064"/>
      <w:r w:rsidRPr="00A3410D">
        <w:t>Prescription maitrise d’ouvrage</w:t>
      </w:r>
      <w:bookmarkEnd w:id="2"/>
    </w:p>
    <w:p w:rsidR="00856ACF" w:rsidRPr="00C95207" w:rsidRDefault="00856ACF" w:rsidP="00856ACF">
      <w:pPr>
        <w:pStyle w:val="Titre2"/>
        <w:numPr>
          <w:ilvl w:val="1"/>
          <w:numId w:val="21"/>
        </w:numPr>
      </w:pPr>
      <w:bookmarkStart w:id="4" w:name="_Toc198883813"/>
      <w:r w:rsidRPr="003673A8">
        <w:t>Protection des existants, mise en sécurité du chantier</w:t>
      </w:r>
      <w:bookmarkEnd w:id="4"/>
      <w:r w:rsidRPr="003673A8">
        <w:t xml:space="preserve">  </w:t>
      </w:r>
    </w:p>
    <w:p w:rsidR="00856ACF" w:rsidRPr="00B80A42" w:rsidRDefault="00856ACF" w:rsidP="00856ACF">
      <w:pPr>
        <w:jc w:val="both"/>
      </w:pPr>
      <w:r w:rsidRPr="00B80A42">
        <w:t xml:space="preserve">La protection du chantier sera réalisée par </w:t>
      </w:r>
      <w:r>
        <w:t>une clôture opaque lisse et portail plein lisse</w:t>
      </w:r>
      <w:r w:rsidRPr="00B80A42">
        <w:t xml:space="preserve"> séparant les zones de travaux des zones de circulations courantes. </w:t>
      </w:r>
      <w:r>
        <w:t xml:space="preserve">Cette clôture devra être remise en état autant de fois que nécessaire sur toute la vie du chantier. </w:t>
      </w:r>
      <w:r w:rsidRPr="00B80A42">
        <w:t>Le phasage des travaux sera à confirmer avec le maître d’ouvrage.</w:t>
      </w:r>
    </w:p>
    <w:p w:rsidR="00856ACF" w:rsidRPr="00B80A42" w:rsidRDefault="00856ACF" w:rsidP="00856ACF">
      <w:pPr>
        <w:jc w:val="both"/>
      </w:pPr>
      <w:r w:rsidRPr="00B80A42">
        <w:t xml:space="preserve">Le nettoyage de fin de chantier devra permettre de </w:t>
      </w:r>
      <w:r>
        <w:t>retrouver toutes les parties</w:t>
      </w:r>
      <w:r w:rsidRPr="00B80A42">
        <w:t xml:space="preserve"> concernées</w:t>
      </w:r>
      <w:r>
        <w:t xml:space="preserve"> ou non</w:t>
      </w:r>
      <w:r w:rsidRPr="00B80A42">
        <w:t xml:space="preserve"> par les travaux, tel qu’à l’</w:t>
      </w:r>
      <w:r>
        <w:t>origine avant chantier</w:t>
      </w:r>
      <w:r w:rsidRPr="00B80A42">
        <w:t>. Seront à nettoyer les abords et accès du chantier, la toiture et les menuiseries du bâtiment.</w:t>
      </w:r>
    </w:p>
    <w:p w:rsidR="00856ACF" w:rsidRPr="00B80A42" w:rsidRDefault="00856ACF" w:rsidP="00856ACF">
      <w:pPr>
        <w:jc w:val="both"/>
      </w:pPr>
      <w:r w:rsidRPr="00B80A42">
        <w:t>Néanmoins, il conviendra de laisser accessible</w:t>
      </w:r>
      <w:r>
        <w:t>s</w:t>
      </w:r>
      <w:r w:rsidRPr="00B80A42">
        <w:t xml:space="preserve"> les </w:t>
      </w:r>
      <w:r>
        <w:t>entrée et sorties pour le bâtiment</w:t>
      </w:r>
      <w:r w:rsidRPr="00B80A42">
        <w:t xml:space="preserve"> qui restera en service durant cette prestation. </w:t>
      </w:r>
    </w:p>
    <w:p w:rsidR="00856ACF" w:rsidRDefault="00856ACF" w:rsidP="00856ACF">
      <w:pPr>
        <w:pStyle w:val="Titre2"/>
        <w:numPr>
          <w:ilvl w:val="1"/>
          <w:numId w:val="21"/>
        </w:numPr>
      </w:pPr>
      <w:bookmarkStart w:id="5" w:name="_Toc198883814"/>
      <w:r>
        <w:t>Moyens techniques</w:t>
      </w:r>
      <w:bookmarkEnd w:id="5"/>
    </w:p>
    <w:p w:rsidR="00856ACF" w:rsidRDefault="00856ACF" w:rsidP="00856ACF">
      <w:pPr>
        <w:spacing w:after="0"/>
        <w:ind w:firstLine="567"/>
        <w:jc w:val="both"/>
      </w:pPr>
      <w:r>
        <w:t>Les titulaires des lots auront à leur</w:t>
      </w:r>
      <w:r w:rsidRPr="00B80A42">
        <w:t xml:space="preserve"> charge les moyens de manutention nécessaires à la réalisation de ses ouvrages, mais aussi</w:t>
      </w:r>
      <w:r>
        <w:t xml:space="preserve"> la mise en place d</w:t>
      </w:r>
      <w:r w:rsidRPr="00B80A42">
        <w:t xml:space="preserve">es panneaux de signalisation, </w:t>
      </w:r>
      <w:r>
        <w:t>d</w:t>
      </w:r>
      <w:r w:rsidRPr="00B80A42">
        <w:t>es panneaux de chantier</w:t>
      </w:r>
      <w:r>
        <w:t xml:space="preserve">, …. </w:t>
      </w:r>
    </w:p>
    <w:p w:rsidR="00856ACF" w:rsidRPr="00B80A42" w:rsidRDefault="00856ACF" w:rsidP="00856ACF">
      <w:pPr>
        <w:spacing w:before="240"/>
        <w:ind w:firstLine="360"/>
        <w:jc w:val="both"/>
        <w:rPr>
          <w:b/>
          <w:i/>
          <w:sz w:val="20"/>
        </w:rPr>
      </w:pPr>
      <w:r w:rsidRPr="00B80A42">
        <w:t xml:space="preserve">L’entrepreneur doit assurer à ses frais et pendant toute la durée du délai de garantie tous les réglages et toutes les mises au point nécessaires de façon à assurer le bon fonctionnement de l’ensemble de ses ouvrages. </w:t>
      </w:r>
    </w:p>
    <w:p w:rsidR="00856ACF" w:rsidRDefault="00856ACF" w:rsidP="00856ACF">
      <w:pPr>
        <w:pStyle w:val="Titre2"/>
        <w:numPr>
          <w:ilvl w:val="1"/>
          <w:numId w:val="21"/>
        </w:numPr>
      </w:pPr>
      <w:bookmarkStart w:id="6" w:name="_Toc198883815"/>
      <w:r>
        <w:t>Gestion des déchets</w:t>
      </w:r>
      <w:bookmarkEnd w:id="6"/>
    </w:p>
    <w:p w:rsidR="00856ACF" w:rsidRPr="00B80A42" w:rsidRDefault="00856ACF" w:rsidP="00856ACF">
      <w:pPr>
        <w:pStyle w:val="Paragraphedeliste"/>
        <w:ind w:left="0" w:firstLine="360"/>
        <w:rPr>
          <w:szCs w:val="20"/>
        </w:rPr>
      </w:pPr>
      <w:r w:rsidRPr="00B80A42">
        <w:t xml:space="preserve">Tous les déchets générés par le chantier seront évacués par le lot n°1 pendant le chantier. </w:t>
      </w:r>
      <w:r>
        <w:t>La mise en place de benne pourra s’effectuer sur le parking situé en face du bâtiment (voir plan joint au présent marché).</w:t>
      </w:r>
    </w:p>
    <w:p w:rsidR="00856ACF" w:rsidRPr="00B80A42" w:rsidRDefault="00856ACF" w:rsidP="00856ACF">
      <w:pPr>
        <w:pStyle w:val="Paragraphedeliste"/>
        <w:ind w:left="0"/>
        <w:rPr>
          <w:szCs w:val="20"/>
        </w:rPr>
      </w:pPr>
      <w:r w:rsidRPr="00B80A42">
        <w:rPr>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rsidR="00856ACF" w:rsidRDefault="00856ACF" w:rsidP="00856ACF">
      <w:pPr>
        <w:pStyle w:val="Paragraphedeliste"/>
        <w:ind w:left="0" w:firstLine="360"/>
        <w:rPr>
          <w:szCs w:val="20"/>
        </w:rPr>
      </w:pPr>
      <w:r w:rsidRPr="00B80A42">
        <w:rPr>
          <w:szCs w:val="20"/>
        </w:rPr>
        <w:t xml:space="preserve">Pour les déchets autres que ceux en provenance des démolitions et dépose, chaque entreprise assurera le tri sélectif des déchets et stockage dans les bennes ou conteneurs prévus à cet effet sur les aires de stockage. Il en assurera le coût de l’élimination au travers de la gestion « prorata ». </w:t>
      </w:r>
    </w:p>
    <w:p w:rsidR="00856ACF" w:rsidRPr="005136F2" w:rsidRDefault="00856ACF" w:rsidP="00856ACF">
      <w:pPr>
        <w:rPr>
          <w:szCs w:val="20"/>
        </w:rPr>
      </w:pPr>
      <w:r>
        <w:rPr>
          <w:szCs w:val="20"/>
        </w:rPr>
        <w:t>Les déchets « quotidien » liées à la vie du chantier devront également être évacués selon le tri sélectif en vigueur au sein du Centre Hospitalier, communiqués en début de chantier.</w:t>
      </w:r>
    </w:p>
    <w:p w:rsidR="00856ACF" w:rsidRPr="00F3077C" w:rsidRDefault="00856ACF" w:rsidP="00856ACF">
      <w:pPr>
        <w:pStyle w:val="Paragraphedeliste"/>
        <w:ind w:left="0" w:firstLine="360"/>
        <w:rPr>
          <w:szCs w:val="20"/>
        </w:rPr>
      </w:pPr>
      <w:r w:rsidRPr="00B80A42">
        <w:rPr>
          <w:szCs w:val="20"/>
        </w:rPr>
        <w:t>Il est à noter que brûler les déchets sur chantier est interdit (loi 61-842 du 2 août 1961 et 92-646 du 13 juillet 1992), de même qu’abandonner ou enf</w:t>
      </w:r>
      <w:r>
        <w:rPr>
          <w:szCs w:val="20"/>
        </w:rPr>
        <w:t>o</w:t>
      </w:r>
      <w:r w:rsidRPr="00B80A42">
        <w:rPr>
          <w:szCs w:val="20"/>
        </w:rPr>
        <w:t>uir des déchets quels qu’ils soient.</w:t>
      </w:r>
    </w:p>
    <w:p w:rsidR="00856ACF" w:rsidRPr="00B80A42" w:rsidRDefault="00856ACF" w:rsidP="00856ACF">
      <w:pPr>
        <w:pStyle w:val="Paragraphedeliste"/>
        <w:ind w:left="0" w:firstLine="360"/>
        <w:rPr>
          <w:szCs w:val="20"/>
        </w:rPr>
      </w:pPr>
    </w:p>
    <w:p w:rsidR="00856ACF" w:rsidRPr="00B80A42" w:rsidRDefault="00856ACF" w:rsidP="00856ACF">
      <w:pPr>
        <w:pStyle w:val="Paragraphedeliste"/>
        <w:ind w:left="0" w:firstLine="360"/>
        <w:rPr>
          <w:szCs w:val="20"/>
        </w:rPr>
      </w:pPr>
      <w:r w:rsidRPr="00B80A42">
        <w:rPr>
          <w:b/>
          <w:szCs w:val="20"/>
          <w:u w:val="single"/>
        </w:rPr>
        <w:t>ATTENTION</w:t>
      </w:r>
      <w:r w:rsidRPr="00B80A42">
        <w:rPr>
          <w:szCs w:val="20"/>
        </w:rPr>
        <w:t> : Certains déchets liés au chantier seront à évacuer directement par les entreprises spécialisées, à savoir :</w:t>
      </w:r>
    </w:p>
    <w:p w:rsidR="00856ACF" w:rsidRPr="00B80A42" w:rsidRDefault="00856ACF" w:rsidP="00856ACF">
      <w:pPr>
        <w:pStyle w:val="Paragraphedeliste"/>
        <w:numPr>
          <w:ilvl w:val="0"/>
          <w:numId w:val="9"/>
        </w:numPr>
        <w:rPr>
          <w:b/>
          <w:i/>
          <w:szCs w:val="20"/>
        </w:rPr>
      </w:pPr>
      <w:r w:rsidRPr="00B80A42">
        <w:rPr>
          <w:szCs w:val="20"/>
        </w:rPr>
        <w:t>Les menuiseries comportant des joints amiantés seront proprement stockées sur site pour être évacuées par l’entreprise responsable du désamiantage</w:t>
      </w:r>
    </w:p>
    <w:p w:rsidR="00856ACF" w:rsidRPr="00B80A42" w:rsidRDefault="00856ACF" w:rsidP="00856ACF">
      <w:pPr>
        <w:pStyle w:val="Paragraphedeliste"/>
        <w:numPr>
          <w:ilvl w:val="0"/>
          <w:numId w:val="9"/>
        </w:numPr>
        <w:spacing w:line="480" w:lineRule="auto"/>
        <w:rPr>
          <w:b/>
          <w:i/>
          <w:szCs w:val="20"/>
        </w:rPr>
      </w:pPr>
      <w:r w:rsidRPr="00B80A42">
        <w:rPr>
          <w:szCs w:val="20"/>
        </w:rPr>
        <w:t>Les pots de peintures et colles diverses seront évacu</w:t>
      </w:r>
      <w:r>
        <w:rPr>
          <w:szCs w:val="20"/>
        </w:rPr>
        <w:t>és par l’entreprise générant ces</w:t>
      </w:r>
      <w:r w:rsidRPr="00B80A42">
        <w:rPr>
          <w:szCs w:val="20"/>
        </w:rPr>
        <w:t xml:space="preserve"> déchets</w:t>
      </w:r>
    </w:p>
    <w:p w:rsidR="00856ACF" w:rsidRPr="003673A8" w:rsidRDefault="00856ACF" w:rsidP="00856ACF">
      <w:pPr>
        <w:pStyle w:val="Titre2"/>
        <w:numPr>
          <w:ilvl w:val="1"/>
          <w:numId w:val="21"/>
        </w:numPr>
      </w:pPr>
      <w:bookmarkStart w:id="7" w:name="_Toc198883816"/>
      <w:r>
        <w:t>Base vie</w:t>
      </w:r>
      <w:bookmarkEnd w:id="7"/>
    </w:p>
    <w:p w:rsidR="00856ACF" w:rsidRDefault="00856ACF" w:rsidP="00856ACF">
      <w:pPr>
        <w:spacing w:after="0"/>
        <w:ind w:firstLine="360"/>
        <w:jc w:val="both"/>
        <w:rPr>
          <w:szCs w:val="18"/>
        </w:rPr>
      </w:pPr>
      <w:r w:rsidRPr="00AA1AD4">
        <w:rPr>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r>
        <w:rPr>
          <w:szCs w:val="18"/>
        </w:rPr>
        <w:t>*</w:t>
      </w:r>
      <w:r w:rsidRPr="00AA1AD4">
        <w:rPr>
          <w:szCs w:val="18"/>
        </w:rPr>
        <w:t>.</w:t>
      </w:r>
    </w:p>
    <w:p w:rsidR="00856ACF" w:rsidRDefault="00856ACF" w:rsidP="00856ACF">
      <w:pPr>
        <w:spacing w:after="0"/>
        <w:ind w:firstLine="360"/>
        <w:jc w:val="both"/>
        <w:rPr>
          <w:szCs w:val="18"/>
        </w:rPr>
      </w:pPr>
    </w:p>
    <w:p w:rsidR="00856ACF" w:rsidRDefault="00856ACF" w:rsidP="00856ACF">
      <w:pPr>
        <w:spacing w:after="0"/>
        <w:ind w:firstLine="360"/>
        <w:jc w:val="both"/>
        <w:rPr>
          <w:szCs w:val="18"/>
        </w:rPr>
      </w:pPr>
      <w:r>
        <w:rPr>
          <w:szCs w:val="18"/>
        </w:rPr>
        <w:t xml:space="preserve">Le </w:t>
      </w:r>
      <w:r w:rsidRPr="00761CA7">
        <w:rPr>
          <w:szCs w:val="18"/>
        </w:rPr>
        <w:t>Centre Hospitalier de Valenciennes</w:t>
      </w:r>
      <w:r>
        <w:rPr>
          <w:szCs w:val="18"/>
        </w:rPr>
        <w:t xml:space="preserve"> mettra à disposition une zone située au RDJ du bâtiment, des locaux pour l’installation de la base vie. (Voir plan joint)</w:t>
      </w:r>
    </w:p>
    <w:p w:rsidR="00856ACF" w:rsidRPr="00AA1AD4" w:rsidRDefault="00856ACF" w:rsidP="00856ACF">
      <w:pPr>
        <w:spacing w:after="0"/>
        <w:ind w:firstLine="360"/>
        <w:jc w:val="both"/>
        <w:rPr>
          <w:szCs w:val="18"/>
        </w:rPr>
      </w:pPr>
    </w:p>
    <w:p w:rsidR="00856ACF" w:rsidRPr="00AA1AD4" w:rsidRDefault="00856ACF" w:rsidP="00856ACF">
      <w:pPr>
        <w:spacing w:after="0"/>
        <w:jc w:val="both"/>
        <w:rPr>
          <w:szCs w:val="18"/>
        </w:rPr>
      </w:pPr>
      <w:r w:rsidRPr="00AA1AD4">
        <w:rPr>
          <w:szCs w:val="18"/>
        </w:rPr>
        <w:lastRenderedPageBreak/>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rsidR="00856ACF" w:rsidRDefault="00856ACF" w:rsidP="00856ACF">
      <w:pPr>
        <w:spacing w:after="0"/>
        <w:jc w:val="both"/>
        <w:rPr>
          <w:sz w:val="20"/>
          <w:szCs w:val="20"/>
        </w:rPr>
      </w:pPr>
    </w:p>
    <w:tbl>
      <w:tblPr>
        <w:tblStyle w:val="Grilledutableau"/>
        <w:tblW w:w="0" w:type="auto"/>
        <w:tblLook w:val="04A0" w:firstRow="1" w:lastRow="0" w:firstColumn="1" w:lastColumn="0" w:noHBand="0" w:noVBand="1"/>
      </w:tblPr>
      <w:tblGrid>
        <w:gridCol w:w="5705"/>
        <w:gridCol w:w="1248"/>
        <w:gridCol w:w="1137"/>
        <w:gridCol w:w="972"/>
      </w:tblGrid>
      <w:tr w:rsidR="00856ACF" w:rsidRPr="00AA1AD4" w:rsidTr="005E5CE4">
        <w:tc>
          <w:tcPr>
            <w:tcW w:w="5705" w:type="dxa"/>
          </w:tcPr>
          <w:p w:rsidR="00856ACF" w:rsidRPr="00FE3B43" w:rsidRDefault="00856ACF" w:rsidP="005E5CE4">
            <w:pPr>
              <w:jc w:val="center"/>
              <w:rPr>
                <w:b/>
                <w:szCs w:val="20"/>
              </w:rPr>
            </w:pPr>
            <w:r w:rsidRPr="00FE3B43">
              <w:rPr>
                <w:b/>
                <w:sz w:val="20"/>
                <w:szCs w:val="20"/>
              </w:rPr>
              <w:t>Nature de la prestation</w:t>
            </w:r>
          </w:p>
        </w:tc>
        <w:tc>
          <w:tcPr>
            <w:tcW w:w="1248" w:type="dxa"/>
          </w:tcPr>
          <w:p w:rsidR="00856ACF" w:rsidRPr="00AA1AD4" w:rsidRDefault="00856ACF" w:rsidP="005E5CE4">
            <w:pPr>
              <w:jc w:val="center"/>
              <w:rPr>
                <w:szCs w:val="20"/>
              </w:rPr>
            </w:pPr>
            <w:r>
              <w:rPr>
                <w:szCs w:val="20"/>
              </w:rPr>
              <w:t>Lot GO</w:t>
            </w:r>
          </w:p>
        </w:tc>
        <w:tc>
          <w:tcPr>
            <w:tcW w:w="1137" w:type="dxa"/>
          </w:tcPr>
          <w:p w:rsidR="00856ACF" w:rsidRPr="00AA1AD4" w:rsidRDefault="00856ACF" w:rsidP="005E5CE4">
            <w:pPr>
              <w:jc w:val="center"/>
              <w:rPr>
                <w:szCs w:val="20"/>
              </w:rPr>
            </w:pPr>
            <w:r>
              <w:rPr>
                <w:szCs w:val="20"/>
              </w:rPr>
              <w:t>Autre lot</w:t>
            </w:r>
          </w:p>
        </w:tc>
        <w:tc>
          <w:tcPr>
            <w:tcW w:w="972" w:type="dxa"/>
          </w:tcPr>
          <w:p w:rsidR="00856ACF" w:rsidRPr="00AA1AD4" w:rsidRDefault="00856ACF" w:rsidP="005E5CE4">
            <w:pPr>
              <w:jc w:val="center"/>
              <w:rPr>
                <w:szCs w:val="20"/>
              </w:rPr>
            </w:pPr>
            <w:r>
              <w:rPr>
                <w:szCs w:val="20"/>
              </w:rPr>
              <w:t>Compte Prorata</w:t>
            </w:r>
          </w:p>
        </w:tc>
      </w:tr>
      <w:tr w:rsidR="00856ACF" w:rsidRPr="00AA1AD4" w:rsidTr="005E5CE4">
        <w:tc>
          <w:tcPr>
            <w:tcW w:w="5705" w:type="dxa"/>
          </w:tcPr>
          <w:p w:rsidR="00856ACF" w:rsidRPr="00AA1AD4" w:rsidRDefault="00856ACF" w:rsidP="005E5CE4">
            <w:pPr>
              <w:jc w:val="both"/>
              <w:rPr>
                <w:szCs w:val="18"/>
              </w:rPr>
            </w:pPr>
            <w:r w:rsidRPr="00AA1AD4">
              <w:rPr>
                <w:szCs w:val="18"/>
              </w:rPr>
              <w:t>Constat d’huissier</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Panneau de chantier et Signalétique de chantier (compris intérieur)</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Clôture</w:t>
            </w:r>
            <w:r>
              <w:rPr>
                <w:szCs w:val="18"/>
              </w:rPr>
              <w:t xml:space="preserve"> opaque</w:t>
            </w:r>
            <w:r w:rsidRPr="00AA1AD4">
              <w:rPr>
                <w:szCs w:val="18"/>
              </w:rPr>
              <w:t xml:space="preserve"> périmètre chantier et zones de stockage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Branchement électrique de la base vie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Branchement en eau de la base vie depuis réseau existant en VS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Branchement au réseau d’évacuation EU/EV des sanitaires et points d’eau intérieurs en VS (base vie)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Fourniture et pose d’armoires électriques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Mise en place d’un compteur élec</w:t>
            </w:r>
            <w:r>
              <w:rPr>
                <w:szCs w:val="18"/>
              </w:rPr>
              <w:t>trique (compris relevé mensuel) *</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Mise en place d’un compteur eau (compris relevé mensuel)</w:t>
            </w:r>
            <w:r>
              <w:rPr>
                <w:szCs w:val="18"/>
              </w:rPr>
              <w:t>*</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Exécution des plateformes pour les installations extérieures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Installation mobilier et équipements réfectoire (compris repli)</w:t>
            </w:r>
            <w:r>
              <w:rPr>
                <w:szCs w:val="18"/>
              </w:rPr>
              <w:t> : comprenant tables, chaises, vestiaires, meubles évier…</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In</w:t>
            </w:r>
            <w:r>
              <w:rPr>
                <w:szCs w:val="18"/>
              </w:rPr>
              <w:t xml:space="preserve">stallation sanitaires (compris </w:t>
            </w:r>
            <w:r w:rsidRPr="00AA1AD4">
              <w:rPr>
                <w:szCs w:val="18"/>
              </w:rPr>
              <w:t>repli)</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Installation mobilier et équipements vestiaires (compris repli)</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Installation mobilier salle de réunion (compris repli)</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 xml:space="preserve">Fourniture des moyens d’alerte, de sécurité, d’une pharmacie et du balisage d’accès </w:t>
            </w:r>
            <w:r>
              <w:rPr>
                <w:szCs w:val="18"/>
              </w:rPr>
              <w:t>à la base vie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ind w:right="-108"/>
              <w:rPr>
                <w:szCs w:val="18"/>
              </w:rPr>
            </w:pPr>
            <w:r w:rsidRPr="00AA1AD4">
              <w:rPr>
                <w:szCs w:val="18"/>
              </w:rPr>
              <w:t xml:space="preserve">Nettoyage hebdomadaire </w:t>
            </w:r>
            <w:r>
              <w:rPr>
                <w:szCs w:val="18"/>
              </w:rPr>
              <w:t>de la base vie, sanitaires et salle de réunion</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ind w:right="-108"/>
              <w:rPr>
                <w:szCs w:val="18"/>
              </w:rPr>
            </w:pPr>
            <w:r w:rsidRPr="00AA1AD4">
              <w:rPr>
                <w:szCs w:val="18"/>
              </w:rPr>
              <w:t>Maintenance des installations de la base vie</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ind w:right="-108"/>
              <w:rPr>
                <w:szCs w:val="18"/>
              </w:rPr>
            </w:pPr>
            <w:r w:rsidRPr="00AA1AD4">
              <w:rPr>
                <w:szCs w:val="18"/>
              </w:rPr>
              <w:t>Consommations eau, électricité</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jc w:val="both"/>
              <w:rPr>
                <w:szCs w:val="18"/>
              </w:rPr>
            </w:pPr>
            <w:r w:rsidRPr="00AA1AD4">
              <w:rPr>
                <w:szCs w:val="18"/>
              </w:rPr>
              <w:t>Entretien ou nettoyage voierie si besoin et si auteur inconnu</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jc w:val="both"/>
              <w:rPr>
                <w:szCs w:val="18"/>
              </w:rPr>
            </w:pPr>
            <w:r w:rsidRPr="00AA1AD4">
              <w:rPr>
                <w:szCs w:val="18"/>
              </w:rPr>
              <w:t>Bennes pour tri des déchets compris remplacement (hors amiante et démolitions)</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jc w:val="both"/>
              <w:rPr>
                <w:szCs w:val="18"/>
              </w:rPr>
            </w:pPr>
            <w:r>
              <w:rPr>
                <w:szCs w:val="18"/>
              </w:rPr>
              <w:t xml:space="preserve">Mise en place de moquette de protection sol RDC </w:t>
            </w:r>
          </w:p>
        </w:tc>
        <w:tc>
          <w:tcPr>
            <w:tcW w:w="1248" w:type="dxa"/>
          </w:tcPr>
          <w:p w:rsidR="00856ACF"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Mise en place signalétique d’information</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Mise en place et entretien de protections collectives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Eclairage de chantier</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Chauffage éventuel de chantier</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c>
          <w:tcPr>
            <w:tcW w:w="5705" w:type="dxa"/>
          </w:tcPr>
          <w:p w:rsidR="00856ACF" w:rsidRPr="00AA1AD4" w:rsidRDefault="00856ACF" w:rsidP="005E5CE4">
            <w:pPr>
              <w:ind w:right="-108"/>
              <w:rPr>
                <w:szCs w:val="18"/>
              </w:rPr>
            </w:pPr>
            <w:r w:rsidRPr="00AA1AD4">
              <w:rPr>
                <w:szCs w:val="18"/>
              </w:rPr>
              <w:t>Percement diamètre &gt; 100 cm dans les planchers, voiles et maçonneries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Percements de façade pour CVC</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Résas toutes sections dans les constructions neuves</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Percements de section &lt; 10x10 cm dans l’existant</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Lots demandeurs</w:t>
            </w:r>
          </w:p>
        </w:tc>
        <w:tc>
          <w:tcPr>
            <w:tcW w:w="972" w:type="dxa"/>
          </w:tcPr>
          <w:p w:rsidR="00856ACF" w:rsidRPr="00AA1AD4" w:rsidRDefault="00856ACF" w:rsidP="005E5CE4">
            <w:pPr>
              <w:jc w:val="center"/>
              <w:rPr>
                <w:szCs w:val="20"/>
              </w:rPr>
            </w:pPr>
          </w:p>
        </w:tc>
      </w:tr>
      <w:tr w:rsidR="00856ACF" w:rsidRPr="00AA1AD4" w:rsidTr="005E5CE4">
        <w:tc>
          <w:tcPr>
            <w:tcW w:w="5705" w:type="dxa"/>
          </w:tcPr>
          <w:p w:rsidR="00856ACF" w:rsidRPr="00AA1AD4" w:rsidRDefault="00856ACF" w:rsidP="005E5CE4">
            <w:pPr>
              <w:jc w:val="both"/>
              <w:rPr>
                <w:szCs w:val="18"/>
              </w:rPr>
            </w:pPr>
            <w:r w:rsidRPr="00AA1AD4">
              <w:rPr>
                <w:szCs w:val="18"/>
              </w:rPr>
              <w:t>Percements de section &gt; 10x10 cm dans l’existant</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Bouchements calfeutrements des réservations</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Lots demandeurs</w:t>
            </w: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Traçage et entretien des traits de niveau</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TCE</w:t>
            </w: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Nettoyage journalier des postes de travail.</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TCE</w:t>
            </w: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 xml:space="preserve">En cas de manquement </w:t>
            </w:r>
            <w:r>
              <w:rPr>
                <w:szCs w:val="18"/>
              </w:rPr>
              <w:t>ci-dessus, sur simple constat MOA</w:t>
            </w:r>
            <w:r w:rsidRPr="00AA1AD4">
              <w:rPr>
                <w:szCs w:val="18"/>
              </w:rPr>
              <w:t xml:space="preserve"> et si auteur des faits inconnu</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lastRenderedPageBreak/>
              <w:t>Nettoyage hebdomadaire de la base vie</w:t>
            </w:r>
          </w:p>
        </w:tc>
        <w:tc>
          <w:tcPr>
            <w:tcW w:w="1248" w:type="dxa"/>
          </w:tcPr>
          <w:p w:rsidR="00856ACF" w:rsidRPr="00AA1AD4" w:rsidRDefault="00856ACF" w:rsidP="005E5CE4">
            <w:pPr>
              <w:jc w:val="center"/>
              <w:rPr>
                <w:szCs w:val="20"/>
              </w:rPr>
            </w:pPr>
            <w:r>
              <w:rPr>
                <w:szCs w:val="20"/>
              </w:rPr>
              <w:t>Sous responsabilité</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r>
              <w:rPr>
                <w:szCs w:val="20"/>
              </w:rPr>
              <w:t>X</w:t>
            </w: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Nettoyage de réception</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Peinture / sol</w:t>
            </w: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Nettoyage de restitution des locaux</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Peinture / sol</w:t>
            </w: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Remise en état des lieux après repli base vie</w:t>
            </w:r>
          </w:p>
        </w:tc>
        <w:tc>
          <w:tcPr>
            <w:tcW w:w="1248" w:type="dxa"/>
          </w:tcPr>
          <w:p w:rsidR="00856ACF" w:rsidRPr="00AA1AD4" w:rsidRDefault="00856ACF" w:rsidP="005E5CE4">
            <w:pPr>
              <w:jc w:val="center"/>
              <w:rPr>
                <w:szCs w:val="20"/>
              </w:rPr>
            </w:pPr>
            <w:r>
              <w:rPr>
                <w:szCs w:val="20"/>
              </w:rPr>
              <w:t>X</w:t>
            </w:r>
          </w:p>
        </w:tc>
        <w:tc>
          <w:tcPr>
            <w:tcW w:w="1137" w:type="dxa"/>
          </w:tcPr>
          <w:p w:rsidR="00856ACF" w:rsidRPr="00AA1AD4" w:rsidRDefault="00856ACF" w:rsidP="005E5CE4">
            <w:pPr>
              <w:jc w:val="center"/>
              <w:rPr>
                <w:szCs w:val="20"/>
              </w:rPr>
            </w:pPr>
          </w:p>
        </w:tc>
        <w:tc>
          <w:tcPr>
            <w:tcW w:w="972" w:type="dxa"/>
          </w:tcPr>
          <w:p w:rsidR="00856ACF" w:rsidRPr="00AA1AD4" w:rsidRDefault="00856ACF" w:rsidP="005E5CE4">
            <w:pPr>
              <w:jc w:val="center"/>
              <w:rPr>
                <w:szCs w:val="20"/>
              </w:rPr>
            </w:pPr>
          </w:p>
        </w:tc>
      </w:tr>
      <w:tr w:rsidR="00856ACF" w:rsidRPr="00AA1AD4" w:rsidTr="005E5CE4">
        <w:trPr>
          <w:trHeight w:val="58"/>
        </w:trPr>
        <w:tc>
          <w:tcPr>
            <w:tcW w:w="5705" w:type="dxa"/>
          </w:tcPr>
          <w:p w:rsidR="00856ACF" w:rsidRPr="00AA1AD4" w:rsidRDefault="00856ACF" w:rsidP="005E5CE4">
            <w:pPr>
              <w:ind w:right="-108"/>
              <w:rPr>
                <w:szCs w:val="18"/>
              </w:rPr>
            </w:pPr>
            <w:r w:rsidRPr="00AA1AD4">
              <w:rPr>
                <w:szCs w:val="18"/>
              </w:rPr>
              <w:t>Moyens de levage, d’accès ou de manutention</w:t>
            </w:r>
          </w:p>
        </w:tc>
        <w:tc>
          <w:tcPr>
            <w:tcW w:w="1248" w:type="dxa"/>
          </w:tcPr>
          <w:p w:rsidR="00856ACF" w:rsidRPr="00AA1AD4" w:rsidRDefault="00856ACF" w:rsidP="005E5CE4">
            <w:pPr>
              <w:jc w:val="center"/>
              <w:rPr>
                <w:szCs w:val="20"/>
              </w:rPr>
            </w:pPr>
          </w:p>
        </w:tc>
        <w:tc>
          <w:tcPr>
            <w:tcW w:w="1137" w:type="dxa"/>
          </w:tcPr>
          <w:p w:rsidR="00856ACF" w:rsidRPr="00AA1AD4" w:rsidRDefault="00856ACF" w:rsidP="005E5CE4">
            <w:pPr>
              <w:jc w:val="center"/>
              <w:rPr>
                <w:szCs w:val="20"/>
              </w:rPr>
            </w:pPr>
            <w:r>
              <w:rPr>
                <w:szCs w:val="20"/>
              </w:rPr>
              <w:t>TCE</w:t>
            </w:r>
          </w:p>
        </w:tc>
        <w:tc>
          <w:tcPr>
            <w:tcW w:w="972" w:type="dxa"/>
          </w:tcPr>
          <w:p w:rsidR="00856ACF" w:rsidRPr="00AA1AD4" w:rsidRDefault="00856ACF" w:rsidP="005E5CE4">
            <w:pPr>
              <w:jc w:val="center"/>
              <w:rPr>
                <w:szCs w:val="20"/>
              </w:rPr>
            </w:pPr>
          </w:p>
        </w:tc>
      </w:tr>
    </w:tbl>
    <w:p w:rsidR="00856ACF" w:rsidRPr="00A728E6" w:rsidRDefault="00856ACF" w:rsidP="00856ACF">
      <w:pPr>
        <w:spacing w:after="0"/>
        <w:jc w:val="both"/>
        <w:rPr>
          <w:szCs w:val="20"/>
        </w:rPr>
      </w:pPr>
      <w:r>
        <w:rPr>
          <w:szCs w:val="20"/>
        </w:rPr>
        <w:t xml:space="preserve">(*) suivants les relevés qui seront effectués sur les compteurs, si les consommations sont jugées excessives, les surconsommations seront refacturés à l’entreprise GO qui sera en charge de l’intégrer dans le compte prorata.  </w:t>
      </w:r>
    </w:p>
    <w:p w:rsidR="00856ACF" w:rsidRPr="0039571A" w:rsidRDefault="00856ACF" w:rsidP="00856ACF">
      <w:pPr>
        <w:spacing w:after="0"/>
        <w:jc w:val="both"/>
        <w:rPr>
          <w:sz w:val="20"/>
          <w:szCs w:val="20"/>
        </w:rPr>
      </w:pPr>
    </w:p>
    <w:p w:rsidR="00856ACF" w:rsidRPr="003673A8" w:rsidRDefault="00856ACF" w:rsidP="00856ACF">
      <w:pPr>
        <w:pStyle w:val="Titre2"/>
        <w:numPr>
          <w:ilvl w:val="1"/>
          <w:numId w:val="21"/>
        </w:numPr>
      </w:pPr>
      <w:bookmarkStart w:id="8" w:name="_Toc198883817"/>
      <w:r w:rsidRPr="003673A8">
        <w:t>Précisions particulières</w:t>
      </w:r>
      <w:bookmarkEnd w:id="8"/>
    </w:p>
    <w:p w:rsidR="00856ACF" w:rsidRPr="00B80A42" w:rsidRDefault="00856ACF" w:rsidP="00856ACF">
      <w:pPr>
        <w:jc w:val="both"/>
      </w:pPr>
      <w:r w:rsidRPr="00C0752B">
        <w:rPr>
          <w:sz w:val="20"/>
        </w:rPr>
        <w:tab/>
      </w:r>
      <w:r w:rsidRPr="00B80A42">
        <w:t>Les prix du marché sont déterminés en tenant compte de toutes sujétions et notamment :</w:t>
      </w:r>
    </w:p>
    <w:p w:rsidR="00856ACF" w:rsidRPr="00B80A42" w:rsidRDefault="00856ACF" w:rsidP="00856ACF">
      <w:pPr>
        <w:pStyle w:val="Paragraphedeliste"/>
        <w:numPr>
          <w:ilvl w:val="0"/>
          <w:numId w:val="2"/>
        </w:numPr>
        <w:jc w:val="both"/>
      </w:pPr>
      <w:r w:rsidRPr="00B80A42">
        <w:t>L’obligation rigoureuse d’employer une main d’œuvre qualifiée et des matériaux de choix.</w:t>
      </w:r>
    </w:p>
    <w:p w:rsidR="00856ACF" w:rsidRPr="00B80A42" w:rsidRDefault="00856ACF" w:rsidP="00856ACF">
      <w:pPr>
        <w:pStyle w:val="Paragraphedeliste"/>
        <w:numPr>
          <w:ilvl w:val="0"/>
          <w:numId w:val="2"/>
        </w:numPr>
        <w:jc w:val="both"/>
      </w:pPr>
      <w:r w:rsidRPr="00B80A42">
        <w:t>Le respect des instructions du maître d’ouvrage sur les heures d’entrée et de sortie des ouvriers, l’emplacement et le stockage des matériaux et matériels.</w:t>
      </w:r>
    </w:p>
    <w:p w:rsidR="00856ACF" w:rsidRPr="00B80A42" w:rsidRDefault="00856ACF" w:rsidP="00856ACF">
      <w:pPr>
        <w:pStyle w:val="Paragraphedeliste"/>
        <w:numPr>
          <w:ilvl w:val="0"/>
          <w:numId w:val="2"/>
        </w:numPr>
        <w:jc w:val="both"/>
      </w:pPr>
      <w:r w:rsidRPr="00B80A42">
        <w:t>L’interruption de travail consécutive au fonctionnement ou à l’exploitation de l’édifice avec, pour corollaire, le respect des mesures prescrites pour ne pas gêner le service (les travaux bruyants restreints en journée).</w:t>
      </w:r>
    </w:p>
    <w:p w:rsidR="00856ACF" w:rsidRDefault="00856ACF" w:rsidP="00856ACF">
      <w:pPr>
        <w:pStyle w:val="Paragraphedeliste"/>
        <w:numPr>
          <w:ilvl w:val="0"/>
          <w:numId w:val="2"/>
        </w:numPr>
        <w:jc w:val="both"/>
      </w:pPr>
      <w:r w:rsidRPr="00B80A42">
        <w:t>Des protections de toutes natures contre les émanations de gaz/vapeurs et poussière.</w:t>
      </w:r>
    </w:p>
    <w:p w:rsidR="00856ACF" w:rsidRPr="006908FC" w:rsidRDefault="00856ACF" w:rsidP="00856ACF">
      <w:pPr>
        <w:pStyle w:val="Paragraphedeliste"/>
        <w:numPr>
          <w:ilvl w:val="0"/>
          <w:numId w:val="2"/>
        </w:numPr>
        <w:jc w:val="both"/>
      </w:pPr>
      <w:r>
        <w:t>La mise en œuvre des moyens nécessaires pour le maintien du planning</w:t>
      </w:r>
    </w:p>
    <w:p w:rsidR="00856ACF" w:rsidRPr="00952630" w:rsidRDefault="00856ACF" w:rsidP="00856ACF">
      <w:pPr>
        <w:pStyle w:val="Titre1"/>
        <w:numPr>
          <w:ilvl w:val="0"/>
          <w:numId w:val="21"/>
        </w:numPr>
      </w:pPr>
      <w:bookmarkStart w:id="9" w:name="_Toc198883818"/>
      <w:r w:rsidRPr="00952630">
        <w:t>Moyens mis à disposition :</w:t>
      </w:r>
      <w:bookmarkEnd w:id="9"/>
      <w:r w:rsidRPr="00952630">
        <w:t xml:space="preserve"> </w:t>
      </w:r>
    </w:p>
    <w:p w:rsidR="00856ACF" w:rsidRPr="00AA1F13" w:rsidRDefault="00856ACF" w:rsidP="00856ACF">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Pr="00B80A42">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w:t>
      </w:r>
      <w:r>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bookmarkEnd w:id="3"/>
    <w:p w:rsidR="00856ACF" w:rsidRPr="00AA1F13" w:rsidRDefault="00856ACF" w:rsidP="00856ACF">
      <w:pPr>
        <w:pStyle w:val="Paragraphedeliste"/>
        <w:numPr>
          <w:ilvl w:val="0"/>
          <w:numId w:val="4"/>
        </w:numPr>
        <w:spacing w:after="0" w:line="240" w:lineRule="auto"/>
        <w:contextualSpacing w:val="0"/>
        <w:jc w:val="both"/>
        <w:rPr>
          <w:vanish/>
          <w:u w:val="single"/>
        </w:rPr>
      </w:pPr>
    </w:p>
    <w:p w:rsidR="00856ACF" w:rsidRPr="00AA1F13" w:rsidRDefault="00856ACF" w:rsidP="00856ACF">
      <w:pPr>
        <w:pStyle w:val="Paragraphedeliste"/>
        <w:numPr>
          <w:ilvl w:val="0"/>
          <w:numId w:val="4"/>
        </w:numPr>
        <w:spacing w:after="0" w:line="240" w:lineRule="auto"/>
        <w:contextualSpacing w:val="0"/>
        <w:jc w:val="both"/>
        <w:rPr>
          <w:vanish/>
          <w:u w:val="single"/>
        </w:rPr>
      </w:pPr>
    </w:p>
    <w:p w:rsidR="00856ACF" w:rsidRPr="00AA1F13" w:rsidRDefault="00856ACF" w:rsidP="00856ACF">
      <w:pPr>
        <w:pStyle w:val="Paragraphedeliste"/>
        <w:numPr>
          <w:ilvl w:val="1"/>
          <w:numId w:val="4"/>
        </w:numPr>
        <w:spacing w:after="0" w:line="240" w:lineRule="auto"/>
        <w:contextualSpacing w:val="0"/>
        <w:jc w:val="both"/>
        <w:rPr>
          <w:vanish/>
          <w:u w:val="single"/>
        </w:rPr>
      </w:pPr>
    </w:p>
    <w:p w:rsidR="00856ACF" w:rsidRPr="00AA1F13" w:rsidRDefault="00856ACF" w:rsidP="00856ACF">
      <w:pPr>
        <w:pStyle w:val="Paragraphedeliste"/>
        <w:numPr>
          <w:ilvl w:val="1"/>
          <w:numId w:val="4"/>
        </w:numPr>
        <w:spacing w:after="0" w:line="240" w:lineRule="auto"/>
        <w:contextualSpacing w:val="0"/>
        <w:jc w:val="both"/>
        <w:rPr>
          <w:vanish/>
          <w:u w:val="single"/>
        </w:rPr>
      </w:pPr>
    </w:p>
    <w:p w:rsidR="00856ACF" w:rsidRPr="00AA1F13" w:rsidRDefault="00856ACF" w:rsidP="00856ACF">
      <w:pPr>
        <w:pStyle w:val="Paragraphedeliste"/>
        <w:numPr>
          <w:ilvl w:val="1"/>
          <w:numId w:val="4"/>
        </w:numPr>
        <w:spacing w:after="0" w:line="240" w:lineRule="auto"/>
        <w:contextualSpacing w:val="0"/>
        <w:jc w:val="both"/>
        <w:rPr>
          <w:vanish/>
          <w:u w:val="single"/>
        </w:rPr>
      </w:pPr>
    </w:p>
    <w:p w:rsidR="00856ACF" w:rsidRPr="00AA1F13" w:rsidRDefault="00856ACF" w:rsidP="00856ACF">
      <w:pPr>
        <w:pStyle w:val="Paragraphedeliste"/>
        <w:numPr>
          <w:ilvl w:val="1"/>
          <w:numId w:val="4"/>
        </w:numPr>
        <w:spacing w:after="0" w:line="240" w:lineRule="auto"/>
        <w:contextualSpacing w:val="0"/>
        <w:jc w:val="both"/>
        <w:rPr>
          <w:vanish/>
          <w:u w:val="single"/>
        </w:rPr>
      </w:pPr>
    </w:p>
    <w:p w:rsidR="00856ACF" w:rsidRPr="00AA1F13" w:rsidRDefault="00856ACF" w:rsidP="00856ACF">
      <w:pPr>
        <w:pStyle w:val="Paragraphedeliste"/>
        <w:spacing w:after="0" w:line="240" w:lineRule="auto"/>
        <w:ind w:left="792"/>
        <w:contextualSpacing w:val="0"/>
        <w:jc w:val="both"/>
      </w:pPr>
    </w:p>
    <w:p w:rsidR="00856ACF" w:rsidRDefault="00856ACF" w:rsidP="00856ACF"/>
    <w:sectPr w:rsidR="00856AC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9AE" w:rsidRDefault="00D809AE" w:rsidP="001B4177">
      <w:pPr>
        <w:spacing w:after="0" w:line="240" w:lineRule="auto"/>
      </w:pPr>
      <w:r>
        <w:separator/>
      </w:r>
    </w:p>
  </w:endnote>
  <w:endnote w:type="continuationSeparator" w:id="0">
    <w:p w:rsidR="00D809AE" w:rsidRDefault="00D809AE"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rsidR="007619E3" w:rsidRDefault="007619E3">
        <w:pPr>
          <w:pStyle w:val="Pieddepage"/>
          <w:jc w:val="right"/>
        </w:pPr>
        <w:r>
          <w:fldChar w:fldCharType="begin"/>
        </w:r>
        <w:r>
          <w:instrText>PAGE   \* MERGEFORMAT</w:instrText>
        </w:r>
        <w:r>
          <w:fldChar w:fldCharType="separate"/>
        </w:r>
        <w:r w:rsidR="00CB5683">
          <w:rPr>
            <w:noProof/>
          </w:rPr>
          <w:t>7</w:t>
        </w:r>
        <w:r>
          <w:fldChar w:fldCharType="end"/>
        </w:r>
      </w:p>
    </w:sdtContent>
  </w:sdt>
  <w:p w:rsidR="007619E3" w:rsidRDefault="007619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9AE" w:rsidRDefault="00D809AE" w:rsidP="001B4177">
      <w:pPr>
        <w:spacing w:after="0" w:line="240" w:lineRule="auto"/>
      </w:pPr>
      <w:r>
        <w:separator/>
      </w:r>
    </w:p>
  </w:footnote>
  <w:footnote w:type="continuationSeparator" w:id="0">
    <w:p w:rsidR="00D809AE" w:rsidRDefault="00D809AE"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B6" w:rsidRDefault="00A90DB6"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4837A743" wp14:editId="1A18A283">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DB6" w:rsidRDefault="00A90DB6" w:rsidP="00A90DB6">
                          <w:pPr>
                            <w:jc w:val="center"/>
                            <w:rPr>
                              <w:b/>
                              <w:bCs/>
                              <w:color w:val="C0C0C0"/>
                            </w:rPr>
                          </w:pPr>
                          <w:r>
                            <w:rPr>
                              <w:b/>
                              <w:bCs/>
                              <w:color w:val="C0C0C0"/>
                            </w:rPr>
                            <w:t>CENTRE HOSPITALIER DE VALENCIENNES</w:t>
                          </w:r>
                        </w:p>
                        <w:p w:rsidR="00A90DB6" w:rsidRDefault="00A90DB6" w:rsidP="00A90DB6">
                          <w:pPr>
                            <w:jc w:val="center"/>
                            <w:rPr>
                              <w:b/>
                              <w:bCs/>
                              <w:color w:val="C0C0C0"/>
                            </w:rPr>
                          </w:pPr>
                          <w:r>
                            <w:rPr>
                              <w:b/>
                              <w:bCs/>
                              <w:color w:val="C0C0C0"/>
                            </w:rPr>
                            <w:t>CCTP</w:t>
                          </w:r>
                          <w:r w:rsidR="00262476">
                            <w:rPr>
                              <w:b/>
                              <w:bCs/>
                              <w:color w:val="C0C0C0"/>
                            </w:rPr>
                            <w:t xml:space="preserve"> </w:t>
                          </w:r>
                          <w:r w:rsidR="00405ADA">
                            <w:rPr>
                              <w:b/>
                              <w:bCs/>
                              <w:color w:val="C0C0C0"/>
                            </w:rPr>
                            <w:t xml:space="preserve">Lot </w:t>
                          </w:r>
                          <w:r w:rsidR="00134C31">
                            <w:rPr>
                              <w:b/>
                              <w:bCs/>
                              <w:color w:val="C0C0C0"/>
                            </w:rPr>
                            <w:t>4 Peintures murales – Revêtements de sols</w:t>
                          </w:r>
                          <w:r w:rsidR="001B659F">
                            <w:rPr>
                              <w:b/>
                              <w:bCs/>
                              <w:color w:val="C0C0C0"/>
                            </w:rPr>
                            <w:t xml:space="preserve"> </w:t>
                          </w:r>
                          <w:r w:rsidR="00405ADA">
                            <w:rPr>
                              <w:b/>
                              <w:bCs/>
                              <w:color w:val="C0C0C0"/>
                            </w:rPr>
                            <w:t>-</w:t>
                          </w:r>
                          <w:r w:rsidR="009D4AD6">
                            <w:rPr>
                              <w:b/>
                              <w:bCs/>
                              <w:color w:val="C0C0C0"/>
                            </w:rPr>
                            <w:t xml:space="preserve"> </w:t>
                          </w:r>
                          <w:r w:rsidR="00405ADA">
                            <w:rPr>
                              <w:b/>
                              <w:bCs/>
                              <w:color w:val="C0C0C0"/>
                            </w:rPr>
                            <w:t>Rénovation thermique du</w:t>
                          </w:r>
                          <w:r w:rsidR="00AF5C40">
                            <w:rPr>
                              <w:b/>
                              <w:bCs/>
                              <w:color w:val="C0C0C0"/>
                            </w:rPr>
                            <w:t xml:space="preserve"> Bâtiment </w:t>
                          </w:r>
                          <w:proofErr w:type="spellStart"/>
                          <w:r w:rsidR="00AF5C40">
                            <w:rPr>
                              <w:b/>
                              <w:bCs/>
                              <w:color w:val="C0C0C0"/>
                            </w:rPr>
                            <w:t>Désandrouin</w:t>
                          </w:r>
                          <w:proofErr w:type="spellEnd"/>
                        </w:p>
                        <w:p w:rsidR="00A90DB6" w:rsidRDefault="00A90DB6" w:rsidP="00A90DB6">
                          <w:pPr>
                            <w:jc w:val="center"/>
                            <w:rPr>
                              <w:b/>
                              <w:bCs/>
                              <w:color w:val="C0C0C0"/>
                            </w:rPr>
                          </w:pPr>
                        </w:p>
                        <w:p w:rsidR="00A90DB6" w:rsidRDefault="00A90DB6" w:rsidP="00A90DB6">
                          <w:pPr>
                            <w:jc w:val="center"/>
                            <w:rPr>
                              <w:b/>
                              <w:bCs/>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837A743"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rsidR="00A90DB6" w:rsidRDefault="00A90DB6" w:rsidP="00A90DB6">
                    <w:pPr>
                      <w:jc w:val="center"/>
                      <w:rPr>
                        <w:b/>
                        <w:bCs/>
                        <w:color w:val="C0C0C0"/>
                      </w:rPr>
                    </w:pPr>
                    <w:r>
                      <w:rPr>
                        <w:b/>
                        <w:bCs/>
                        <w:color w:val="C0C0C0"/>
                      </w:rPr>
                      <w:t>CENTRE HOSPITALIER DE VALENCIENNES</w:t>
                    </w:r>
                  </w:p>
                  <w:p w:rsidR="00A90DB6" w:rsidRDefault="00A90DB6" w:rsidP="00A90DB6">
                    <w:pPr>
                      <w:jc w:val="center"/>
                      <w:rPr>
                        <w:b/>
                        <w:bCs/>
                        <w:color w:val="C0C0C0"/>
                      </w:rPr>
                    </w:pPr>
                    <w:r>
                      <w:rPr>
                        <w:b/>
                        <w:bCs/>
                        <w:color w:val="C0C0C0"/>
                      </w:rPr>
                      <w:t>CCTP</w:t>
                    </w:r>
                    <w:r w:rsidR="00262476">
                      <w:rPr>
                        <w:b/>
                        <w:bCs/>
                        <w:color w:val="C0C0C0"/>
                      </w:rPr>
                      <w:t xml:space="preserve"> </w:t>
                    </w:r>
                    <w:r w:rsidR="00405ADA">
                      <w:rPr>
                        <w:b/>
                        <w:bCs/>
                        <w:color w:val="C0C0C0"/>
                      </w:rPr>
                      <w:t xml:space="preserve">Lot </w:t>
                    </w:r>
                    <w:r w:rsidR="00134C31">
                      <w:rPr>
                        <w:b/>
                        <w:bCs/>
                        <w:color w:val="C0C0C0"/>
                      </w:rPr>
                      <w:t>4 Peintures murales – Revêtements de sols</w:t>
                    </w:r>
                    <w:r w:rsidR="001B659F">
                      <w:rPr>
                        <w:b/>
                        <w:bCs/>
                        <w:color w:val="C0C0C0"/>
                      </w:rPr>
                      <w:t xml:space="preserve"> </w:t>
                    </w:r>
                    <w:r w:rsidR="00405ADA">
                      <w:rPr>
                        <w:b/>
                        <w:bCs/>
                        <w:color w:val="C0C0C0"/>
                      </w:rPr>
                      <w:t>-</w:t>
                    </w:r>
                    <w:r w:rsidR="009D4AD6">
                      <w:rPr>
                        <w:b/>
                        <w:bCs/>
                        <w:color w:val="C0C0C0"/>
                      </w:rPr>
                      <w:t xml:space="preserve"> </w:t>
                    </w:r>
                    <w:r w:rsidR="00405ADA">
                      <w:rPr>
                        <w:b/>
                        <w:bCs/>
                        <w:color w:val="C0C0C0"/>
                      </w:rPr>
                      <w:t>Rénovation thermique du</w:t>
                    </w:r>
                    <w:r w:rsidR="00AF5C40">
                      <w:rPr>
                        <w:b/>
                        <w:bCs/>
                        <w:color w:val="C0C0C0"/>
                      </w:rPr>
                      <w:t xml:space="preserve"> Bâtiment </w:t>
                    </w:r>
                    <w:proofErr w:type="spellStart"/>
                    <w:r w:rsidR="00AF5C40">
                      <w:rPr>
                        <w:b/>
                        <w:bCs/>
                        <w:color w:val="C0C0C0"/>
                      </w:rPr>
                      <w:t>Désandrouin</w:t>
                    </w:r>
                    <w:proofErr w:type="spellEnd"/>
                  </w:p>
                  <w:p w:rsidR="00A90DB6" w:rsidRDefault="00A90DB6" w:rsidP="00A90DB6">
                    <w:pPr>
                      <w:jc w:val="center"/>
                      <w:rPr>
                        <w:b/>
                        <w:bCs/>
                        <w:color w:val="C0C0C0"/>
                      </w:rPr>
                    </w:pPr>
                  </w:p>
                  <w:p w:rsidR="00A90DB6" w:rsidRDefault="00A90DB6" w:rsidP="00A90DB6">
                    <w:pPr>
                      <w:jc w:val="center"/>
                      <w:rPr>
                        <w:b/>
                        <w:bCs/>
                        <w:color w:val="C0C0C0"/>
                      </w:rPr>
                    </w:pPr>
                  </w:p>
                </w:txbxContent>
              </v:textbox>
            </v:shape>
          </w:pict>
        </mc:Fallback>
      </mc:AlternateContent>
    </w:r>
    <w:r>
      <w:rPr>
        <w:rFonts w:ascii="Arial" w:hAnsi="Arial"/>
        <w:noProof/>
        <w:lang w:eastAsia="fr-FR"/>
      </w:rPr>
      <w:drawing>
        <wp:inline distT="0" distB="0" distL="0" distR="0" wp14:anchorId="3E1F4804" wp14:editId="511AA5C8">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rsidR="001B4177" w:rsidRPr="00A90DB6" w:rsidRDefault="001B4177"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AB74BB"/>
    <w:multiLevelType w:val="hybridMultilevel"/>
    <w:tmpl w:val="DEAB8C5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A0ECA5"/>
    <w:multiLevelType w:val="hybridMultilevel"/>
    <w:tmpl w:val="639E2F3C"/>
    <w:lvl w:ilvl="0" w:tplc="F59AB546">
      <w:start w:val="1"/>
      <w:numFmt w:val="bullet"/>
      <w:lvlText w:val="-"/>
      <w:lvlJc w:val="left"/>
      <w:rPr>
        <w:rFonts w:ascii="Calibri" w:eastAsiaTheme="minorHAnsi" w:hAnsi="Calibri" w:cs="Calibr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42B81"/>
    <w:multiLevelType w:val="multilevel"/>
    <w:tmpl w:val="5A8E5170"/>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9165D3"/>
    <w:multiLevelType w:val="multilevel"/>
    <w:tmpl w:val="43D4A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37A092"/>
    <w:multiLevelType w:val="hybridMultilevel"/>
    <w:tmpl w:val="F799587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247C4F47"/>
    <w:multiLevelType w:val="hybridMultilevel"/>
    <w:tmpl w:val="77A2E874"/>
    <w:lvl w:ilvl="0" w:tplc="7322529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11" w15:restartNumberingAfterBreak="0">
    <w:nsid w:val="352C23D6"/>
    <w:multiLevelType w:val="hybridMultilevel"/>
    <w:tmpl w:val="B4582608"/>
    <w:lvl w:ilvl="0" w:tplc="D4D6AE0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2487E"/>
    <w:multiLevelType w:val="multilevel"/>
    <w:tmpl w:val="EB8CE9B0"/>
    <w:numStyleLink w:val="Style1"/>
  </w:abstractNum>
  <w:abstractNum w:abstractNumId="13" w15:restartNumberingAfterBreak="0">
    <w:nsid w:val="3D452F17"/>
    <w:multiLevelType w:val="hybridMultilevel"/>
    <w:tmpl w:val="0E52C6A8"/>
    <w:lvl w:ilvl="0" w:tplc="05F04AF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405D03"/>
    <w:multiLevelType w:val="hybridMultilevel"/>
    <w:tmpl w:val="EBC8F2A0"/>
    <w:lvl w:ilvl="0" w:tplc="242ACEE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6A34DBD"/>
    <w:multiLevelType w:val="hybridMultilevel"/>
    <w:tmpl w:val="10BEBFB2"/>
    <w:lvl w:ilvl="0" w:tplc="2474F00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F33F85"/>
    <w:multiLevelType w:val="multilevel"/>
    <w:tmpl w:val="9B92DC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12532A"/>
    <w:multiLevelType w:val="hybridMultilevel"/>
    <w:tmpl w:val="8FAEB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6"/>
  </w:num>
  <w:num w:numId="4">
    <w:abstractNumId w:val="12"/>
  </w:num>
  <w:num w:numId="5">
    <w:abstractNumId w:val="5"/>
  </w:num>
  <w:num w:numId="6">
    <w:abstractNumId w:val="10"/>
  </w:num>
  <w:num w:numId="7">
    <w:abstractNumId w:val="15"/>
  </w:num>
  <w:num w:numId="8">
    <w:abstractNumId w:val="18"/>
  </w:num>
  <w:num w:numId="9">
    <w:abstractNumId w:val="2"/>
  </w:num>
  <w:num w:numId="10">
    <w:abstractNumId w:val="4"/>
  </w:num>
  <w:num w:numId="11">
    <w:abstractNumId w:val="19"/>
  </w:num>
  <w:num w:numId="12">
    <w:abstractNumId w:val="9"/>
  </w:num>
  <w:num w:numId="13">
    <w:abstractNumId w:val="7"/>
  </w:num>
  <w:num w:numId="14">
    <w:abstractNumId w:val="13"/>
  </w:num>
  <w:num w:numId="15">
    <w:abstractNumId w:val="1"/>
  </w:num>
  <w:num w:numId="16">
    <w:abstractNumId w:val="0"/>
  </w:num>
  <w:num w:numId="17">
    <w:abstractNumId w:val="11"/>
  </w:num>
  <w:num w:numId="18">
    <w:abstractNumId w:val="21"/>
  </w:num>
  <w:num w:numId="19">
    <w:abstractNumId w:val="14"/>
  </w:num>
  <w:num w:numId="20">
    <w:abstractNumId w:val="6"/>
  </w:num>
  <w:num w:numId="21">
    <w:abstractNumId w:val="20"/>
  </w:num>
  <w:num w:numId="2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018D"/>
    <w:rsid w:val="00020160"/>
    <w:rsid w:val="00020D5B"/>
    <w:rsid w:val="00022C72"/>
    <w:rsid w:val="00044F39"/>
    <w:rsid w:val="000457CE"/>
    <w:rsid w:val="00053E4B"/>
    <w:rsid w:val="00055D12"/>
    <w:rsid w:val="00063BD3"/>
    <w:rsid w:val="00076EDD"/>
    <w:rsid w:val="000919D1"/>
    <w:rsid w:val="000A2336"/>
    <w:rsid w:val="000A4B1D"/>
    <w:rsid w:val="000B4949"/>
    <w:rsid w:val="000C3918"/>
    <w:rsid w:val="000D06F6"/>
    <w:rsid w:val="000D4BFB"/>
    <w:rsid w:val="000D5D64"/>
    <w:rsid w:val="000E36A3"/>
    <w:rsid w:val="00107054"/>
    <w:rsid w:val="001101C1"/>
    <w:rsid w:val="00111EFE"/>
    <w:rsid w:val="00114893"/>
    <w:rsid w:val="00134C31"/>
    <w:rsid w:val="00152948"/>
    <w:rsid w:val="001634D8"/>
    <w:rsid w:val="0017123D"/>
    <w:rsid w:val="00182443"/>
    <w:rsid w:val="0018251B"/>
    <w:rsid w:val="00192E80"/>
    <w:rsid w:val="001A7319"/>
    <w:rsid w:val="001B4177"/>
    <w:rsid w:val="001B659F"/>
    <w:rsid w:val="001C0A70"/>
    <w:rsid w:val="001E177A"/>
    <w:rsid w:val="002066B2"/>
    <w:rsid w:val="00241CFD"/>
    <w:rsid w:val="00247738"/>
    <w:rsid w:val="00262476"/>
    <w:rsid w:val="002A0AB2"/>
    <w:rsid w:val="002A566B"/>
    <w:rsid w:val="002C433E"/>
    <w:rsid w:val="002E116E"/>
    <w:rsid w:val="002E156A"/>
    <w:rsid w:val="002F00A4"/>
    <w:rsid w:val="00316BC6"/>
    <w:rsid w:val="0033240A"/>
    <w:rsid w:val="003673A8"/>
    <w:rsid w:val="003937CE"/>
    <w:rsid w:val="0039571A"/>
    <w:rsid w:val="003B1922"/>
    <w:rsid w:val="003C6B87"/>
    <w:rsid w:val="003C722A"/>
    <w:rsid w:val="003D3A03"/>
    <w:rsid w:val="003F6480"/>
    <w:rsid w:val="00405ADA"/>
    <w:rsid w:val="00407856"/>
    <w:rsid w:val="00407D54"/>
    <w:rsid w:val="004101AF"/>
    <w:rsid w:val="0041391A"/>
    <w:rsid w:val="004764AB"/>
    <w:rsid w:val="00491E99"/>
    <w:rsid w:val="004A1E70"/>
    <w:rsid w:val="004A49C4"/>
    <w:rsid w:val="004C44BA"/>
    <w:rsid w:val="004E0680"/>
    <w:rsid w:val="004E5C3D"/>
    <w:rsid w:val="004F2633"/>
    <w:rsid w:val="004F56D2"/>
    <w:rsid w:val="00505178"/>
    <w:rsid w:val="00517D29"/>
    <w:rsid w:val="00577748"/>
    <w:rsid w:val="0058194A"/>
    <w:rsid w:val="00581B82"/>
    <w:rsid w:val="00585420"/>
    <w:rsid w:val="0059058E"/>
    <w:rsid w:val="005B45C0"/>
    <w:rsid w:val="005C7CEA"/>
    <w:rsid w:val="005E169E"/>
    <w:rsid w:val="005E4CC6"/>
    <w:rsid w:val="0060239C"/>
    <w:rsid w:val="00603BAC"/>
    <w:rsid w:val="00635707"/>
    <w:rsid w:val="00636ED7"/>
    <w:rsid w:val="006416E1"/>
    <w:rsid w:val="00660B31"/>
    <w:rsid w:val="006657C7"/>
    <w:rsid w:val="00673259"/>
    <w:rsid w:val="00694AEE"/>
    <w:rsid w:val="00697341"/>
    <w:rsid w:val="006B4798"/>
    <w:rsid w:val="006B6DC4"/>
    <w:rsid w:val="006D6768"/>
    <w:rsid w:val="006E3BDC"/>
    <w:rsid w:val="006F1F31"/>
    <w:rsid w:val="00720F89"/>
    <w:rsid w:val="007475DB"/>
    <w:rsid w:val="0076073C"/>
    <w:rsid w:val="007619E3"/>
    <w:rsid w:val="00793661"/>
    <w:rsid w:val="007B0CB1"/>
    <w:rsid w:val="007C2F99"/>
    <w:rsid w:val="007E0D67"/>
    <w:rsid w:val="00830011"/>
    <w:rsid w:val="00850EDE"/>
    <w:rsid w:val="00856ACF"/>
    <w:rsid w:val="008629C2"/>
    <w:rsid w:val="008B0B3B"/>
    <w:rsid w:val="008D2F35"/>
    <w:rsid w:val="008D7852"/>
    <w:rsid w:val="008F1962"/>
    <w:rsid w:val="008F27E1"/>
    <w:rsid w:val="008F3D9B"/>
    <w:rsid w:val="008F663E"/>
    <w:rsid w:val="00902294"/>
    <w:rsid w:val="00903EE6"/>
    <w:rsid w:val="0090447D"/>
    <w:rsid w:val="00904E09"/>
    <w:rsid w:val="00943D65"/>
    <w:rsid w:val="009513D3"/>
    <w:rsid w:val="00993EF8"/>
    <w:rsid w:val="00995F84"/>
    <w:rsid w:val="009A673C"/>
    <w:rsid w:val="009C0860"/>
    <w:rsid w:val="009C1038"/>
    <w:rsid w:val="009C36E7"/>
    <w:rsid w:val="009D4AD6"/>
    <w:rsid w:val="009F59C0"/>
    <w:rsid w:val="009F6F25"/>
    <w:rsid w:val="00A0760E"/>
    <w:rsid w:val="00A07A18"/>
    <w:rsid w:val="00A26C4C"/>
    <w:rsid w:val="00A34C59"/>
    <w:rsid w:val="00A41907"/>
    <w:rsid w:val="00A62489"/>
    <w:rsid w:val="00A90DB6"/>
    <w:rsid w:val="00AA1F13"/>
    <w:rsid w:val="00AA2578"/>
    <w:rsid w:val="00AC191B"/>
    <w:rsid w:val="00AC3359"/>
    <w:rsid w:val="00AF5C40"/>
    <w:rsid w:val="00B05694"/>
    <w:rsid w:val="00B10E6A"/>
    <w:rsid w:val="00B12A03"/>
    <w:rsid w:val="00B16D8A"/>
    <w:rsid w:val="00B26B31"/>
    <w:rsid w:val="00B36EF1"/>
    <w:rsid w:val="00B71B2D"/>
    <w:rsid w:val="00B72EE6"/>
    <w:rsid w:val="00B804F6"/>
    <w:rsid w:val="00BA0C26"/>
    <w:rsid w:val="00BF2541"/>
    <w:rsid w:val="00C0752B"/>
    <w:rsid w:val="00C3085E"/>
    <w:rsid w:val="00C527F6"/>
    <w:rsid w:val="00C556CA"/>
    <w:rsid w:val="00C6373C"/>
    <w:rsid w:val="00C63781"/>
    <w:rsid w:val="00C63AE4"/>
    <w:rsid w:val="00C6532A"/>
    <w:rsid w:val="00C7328C"/>
    <w:rsid w:val="00C76CEB"/>
    <w:rsid w:val="00C94EBB"/>
    <w:rsid w:val="00C95207"/>
    <w:rsid w:val="00C96764"/>
    <w:rsid w:val="00CB158A"/>
    <w:rsid w:val="00CB3A71"/>
    <w:rsid w:val="00CB5683"/>
    <w:rsid w:val="00CB6B54"/>
    <w:rsid w:val="00CC7F04"/>
    <w:rsid w:val="00CD60AC"/>
    <w:rsid w:val="00CE141A"/>
    <w:rsid w:val="00CE3E09"/>
    <w:rsid w:val="00D01F24"/>
    <w:rsid w:val="00D02997"/>
    <w:rsid w:val="00D15460"/>
    <w:rsid w:val="00D170E6"/>
    <w:rsid w:val="00D23FE7"/>
    <w:rsid w:val="00D25672"/>
    <w:rsid w:val="00D53188"/>
    <w:rsid w:val="00D65F36"/>
    <w:rsid w:val="00D660B1"/>
    <w:rsid w:val="00D77348"/>
    <w:rsid w:val="00D809AE"/>
    <w:rsid w:val="00D866F7"/>
    <w:rsid w:val="00D87511"/>
    <w:rsid w:val="00D9086A"/>
    <w:rsid w:val="00D93481"/>
    <w:rsid w:val="00DE6ACF"/>
    <w:rsid w:val="00E111D7"/>
    <w:rsid w:val="00E13D44"/>
    <w:rsid w:val="00E552C5"/>
    <w:rsid w:val="00E606CE"/>
    <w:rsid w:val="00E61DC4"/>
    <w:rsid w:val="00E92D2A"/>
    <w:rsid w:val="00E93ABD"/>
    <w:rsid w:val="00E94F37"/>
    <w:rsid w:val="00EC60AE"/>
    <w:rsid w:val="00EC6B17"/>
    <w:rsid w:val="00ED5D8B"/>
    <w:rsid w:val="00F219AF"/>
    <w:rsid w:val="00F465CC"/>
    <w:rsid w:val="00F57AF6"/>
    <w:rsid w:val="00F605EE"/>
    <w:rsid w:val="00F6344D"/>
    <w:rsid w:val="00F63475"/>
    <w:rsid w:val="00F93EAC"/>
    <w:rsid w:val="00F97DCB"/>
    <w:rsid w:val="00FA108B"/>
    <w:rsid w:val="00FB7744"/>
    <w:rsid w:val="00FC094E"/>
    <w:rsid w:val="00FD2873"/>
    <w:rsid w:val="00FD373F"/>
    <w:rsid w:val="00FD444C"/>
    <w:rsid w:val="00FD6DD2"/>
    <w:rsid w:val="00FE2490"/>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4AB"/>
    <w:rPr>
      <w:sz w:val="18"/>
    </w:rPr>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476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4764AB"/>
    <w:rPr>
      <w:rFonts w:asciiTheme="majorHAnsi" w:eastAsiaTheme="majorEastAsia" w:hAnsiTheme="majorHAnsi" w:cstheme="majorBidi"/>
      <w:color w:val="1F4D78" w:themeColor="accent1" w:themeShade="7F"/>
      <w:sz w:val="24"/>
      <w:szCs w:val="24"/>
    </w:rPr>
  </w:style>
  <w:style w:type="table" w:styleId="Grilledutableau">
    <w:name w:val="Table Grid"/>
    <w:basedOn w:val="TableauNormal"/>
    <w:uiPriority w:val="39"/>
    <w:rsid w:val="00856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98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B4857-115A-45FB-B5A3-844A7756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7</Pages>
  <Words>2565</Words>
  <Characters>14110</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39</cp:revision>
  <cp:lastPrinted>2023-07-28T13:04:00Z</cp:lastPrinted>
  <dcterms:created xsi:type="dcterms:W3CDTF">2024-05-13T07:59:00Z</dcterms:created>
  <dcterms:modified xsi:type="dcterms:W3CDTF">2025-06-04T07:22:00Z</dcterms:modified>
</cp:coreProperties>
</file>