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E1013" w14:textId="2C7ED4ED" w:rsidR="006D5E9D" w:rsidRPr="00712698" w:rsidRDefault="7A0B6D55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  <w:bookmarkStart w:id="0" w:name="AOO_MPPA"/>
      <w:bookmarkEnd w:id="0"/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63DC5974" w:rsidR="004C3F20" w:rsidRPr="00712698" w:rsidRDefault="00A05C4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Monsieur le Directeur du SID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B4ED5F8" w14:textId="77777777" w:rsidR="00A05C45" w:rsidRDefault="00A05C45" w:rsidP="00A05C45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/>
                <w:lang w:eastAsia="ar-SA"/>
              </w:rPr>
            </w:pPr>
            <w:bookmarkStart w:id="2" w:name="Moe1"/>
            <w:bookmarkEnd w:id="2"/>
          </w:p>
          <w:p w14:paraId="15A69DE2" w14:textId="5920A79F" w:rsidR="004C3F20" w:rsidRPr="00712698" w:rsidRDefault="00A05C45" w:rsidP="00A05C45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A05C45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Pr="00A05C45">
              <w:rPr>
                <w:rFonts w:ascii="Times New Roman" w:hAnsi="Times New Roman"/>
                <w:lang w:eastAsia="ar-SA"/>
              </w:rPr>
              <w:t>Unité de Soutien d’Infrastructures de la Défense USID D’ISTRES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BF3BDC7" w14:textId="4108382D" w:rsidR="00A05C45" w:rsidRDefault="00A05C45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 chef de la section Ingénierie de la Maintenance de l’antenne USID d’Orange</w:t>
            </w:r>
          </w:p>
          <w:p w14:paraId="451F6F3D" w14:textId="444B8478" w:rsidR="00A5030C" w:rsidRPr="00712698" w:rsidRDefault="7A0B6D55" w:rsidP="00A5030C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  <w:b/>
                <w:bCs/>
              </w:rPr>
            </w:pPr>
            <w:r w:rsidRPr="7A0B6D55">
              <w:rPr>
                <w:rFonts w:ascii="Times New Roman" w:hAnsi="Times New Roman"/>
              </w:rPr>
              <w:t xml:space="preserve">Tél fixe :  </w:t>
            </w:r>
            <w:r w:rsidR="00A5030C">
              <w:rPr>
                <w:rFonts w:ascii="Times New Roman" w:hAnsi="Times New Roman"/>
              </w:rPr>
              <w:t xml:space="preserve">04.13.93.95.08 </w:t>
            </w:r>
            <w:r w:rsidR="004C3F20">
              <w:br/>
            </w:r>
            <w:r w:rsidRPr="7A0B6D55">
              <w:rPr>
                <w:rFonts w:ascii="Times New Roman" w:hAnsi="Times New Roman"/>
              </w:rPr>
              <w:t>courriel :</w:t>
            </w: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="00A5030C">
              <w:rPr>
                <w:rFonts w:ascii="Times New Roman" w:hAnsi="Times New Roman"/>
              </w:rPr>
              <w:t xml:space="preserve"> </w:t>
            </w:r>
            <w:hyperlink r:id="rId11" w:history="1">
              <w:r w:rsidR="00A5030C" w:rsidRPr="00145867">
                <w:rPr>
                  <w:rStyle w:val="Lienhypertexte"/>
                  <w:rFonts w:ascii="Times New Roman" w:hAnsi="Times New Roman"/>
                </w:rPr>
                <w:t>lionel.ville@intradef.gouv.fr</w:t>
              </w:r>
            </w:hyperlink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6" w:name="Comptable"/>
            <w:bookmarkEnd w:id="6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</w:t>
            </w:r>
            <w:r w:rsidRPr="00A05C45">
              <w:rPr>
                <w:rFonts w:ascii="Times New Roman" w:hAnsi="Times New Roman"/>
                <w:i/>
              </w:rPr>
              <w:t>23</w:t>
            </w:r>
            <w:r w:rsidRPr="48EA2D1D">
              <w:rPr>
                <w:rFonts w:ascii="Times New Roman" w:hAnsi="Times New Roman"/>
              </w:rPr>
              <w:t>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05C45">
        <w:trPr>
          <w:trHeight w:val="711"/>
        </w:trPr>
        <w:tc>
          <w:tcPr>
            <w:tcW w:w="10065" w:type="dxa"/>
            <w:shd w:val="clear" w:color="auto" w:fill="auto"/>
            <w:vAlign w:val="center"/>
          </w:tcPr>
          <w:p w14:paraId="474ACADD" w14:textId="42221546" w:rsidR="00A05C45" w:rsidRDefault="00A05C45" w:rsidP="00A05C45">
            <w:pPr>
              <w:jc w:val="center"/>
              <w:rPr>
                <w:rFonts w:ascii="Times New Roman" w:hAnsi="Times New Roman"/>
                <w:bCs/>
                <w:lang w:eastAsia="ar-SA"/>
              </w:rPr>
            </w:pPr>
            <w:bookmarkStart w:id="7" w:name="Objet_marche"/>
            <w:bookmarkEnd w:id="7"/>
            <w:r w:rsidRPr="00A05C45">
              <w:rPr>
                <w:rFonts w:ascii="Times New Roman" w:hAnsi="Times New Roman"/>
                <w:lang w:eastAsia="ar-SA"/>
              </w:rPr>
              <w:t>Objet:</w:t>
            </w:r>
            <w:r>
              <w:rPr>
                <w:rFonts w:ascii="Times New Roman" w:hAnsi="Times New Roman"/>
                <w:lang w:eastAsia="ar-SA"/>
              </w:rPr>
              <w:t xml:space="preserve"> ORANGE (84) - </w:t>
            </w:r>
            <w:r w:rsidRPr="00A05C45">
              <w:rPr>
                <w:rFonts w:ascii="Times New Roman" w:hAnsi="Times New Roman"/>
                <w:bCs/>
                <w:lang w:eastAsia="ar-SA"/>
              </w:rPr>
              <w:t>BA 115 – Mise aux normes et augmentation de la capacité d’</w:t>
            </w:r>
            <w:r>
              <w:rPr>
                <w:rFonts w:ascii="Times New Roman" w:hAnsi="Times New Roman"/>
                <w:bCs/>
                <w:lang w:eastAsia="ar-SA"/>
              </w:rPr>
              <w:t>accueil du chenil.</w:t>
            </w:r>
          </w:p>
          <w:p w14:paraId="573D7D75" w14:textId="7FA1B5EF" w:rsidR="004C3F20" w:rsidRPr="00712698" w:rsidRDefault="00A05C45" w:rsidP="00A05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ar-SA"/>
              </w:rPr>
              <w:t xml:space="preserve">Lot n°1 : Terrassement – VRD – Gros œuvre – Second </w:t>
            </w:r>
            <w:proofErr w:type="spellStart"/>
            <w:r>
              <w:rPr>
                <w:rFonts w:ascii="Times New Roman" w:hAnsi="Times New Roman"/>
                <w:bCs/>
                <w:lang w:eastAsia="ar-SA"/>
              </w:rPr>
              <w:t>oeuvre</w:t>
            </w:r>
            <w:proofErr w:type="spellEnd"/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77777777" w:rsidR="004C3F20" w:rsidRPr="00712698" w:rsidRDefault="7A0B6D55" w:rsidP="7A0B6D55">
      <w:pPr>
        <w:pStyle w:val="Corpsdetexte"/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39E50169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1440" w:dyaOrig="1440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2" o:title=""/>
          </v:shape>
          <w:control r:id="rId13" w:name="OptionButton8" w:shapeid="_x0000_i1075"/>
        </w:object>
      </w:r>
    </w:p>
    <w:p w14:paraId="57283672" w14:textId="47A79A82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1440" w:dyaOrig="1440" w14:anchorId="497CF6D7">
          <v:shape id="_x0000_i1077" type="#_x0000_t75" style="width:290.25pt;height:21pt" o:ole="">
            <v:imagedata r:id="rId14" o:title=""/>
          </v:shape>
          <w:control r:id="rId15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4CD8A7F7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5A16660D">
          <v:shape id="_x0000_i1079" type="#_x0000_t75" style="width:108pt;height:21pt" o:ole="">
            <v:imagedata r:id="rId16" o:title=""/>
          </v:shape>
          <w:control r:id="rId17" w:name="OptionButton9" w:shapeid="_x0000_i1079"/>
        </w:object>
      </w:r>
    </w:p>
    <w:p w14:paraId="5B51E06D" w14:textId="563C0B73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2855F9A9">
          <v:shape id="_x0000_i1081" type="#_x0000_t75" style="width:159.75pt;height:21pt" o:ole="">
            <v:imagedata r:id="rId18" o:title=""/>
          </v:shape>
          <w:control r:id="rId19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52A08FE4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1440" w:dyaOrig="1440" w14:anchorId="05578251">
          <v:shape id="_x0000_i1083" type="#_x0000_t75" style="width:36pt;height:20.25pt" o:ole="">
            <v:imagedata r:id="rId20" o:title=""/>
          </v:shape>
          <w:control r:id="rId21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1440" w:dyaOrig="1440" w14:anchorId="092F2091">
          <v:shape id="_x0000_i1085" type="#_x0000_t75" style="width:39pt;height:20.25pt" o:ole="">
            <v:imagedata r:id="rId22" o:title=""/>
          </v:shape>
          <w:control r:id="rId23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7455A3B5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1440" w:dyaOrig="1440" w14:anchorId="7001048F">
          <v:shape id="_x0000_i1087" type="#_x0000_t75" style="width:169.5pt;height:21pt" o:ole="" o:preferrelative="f">
            <v:imagedata r:id="rId24" o:title=""/>
          </v:shape>
          <w:control r:id="rId25" w:name="OptionButton71" w:shapeid="_x0000_i1087"/>
        </w:object>
      </w:r>
    </w:p>
    <w:p w14:paraId="16AF3BA2" w14:textId="57BFD8BF" w:rsidR="00673049" w:rsidRPr="00712698" w:rsidRDefault="00673049" w:rsidP="00673049">
      <w:pPr>
        <w:spacing w:before="120"/>
        <w:ind w:left="1416" w:firstLine="708"/>
      </w:pPr>
      <w:r w:rsidRPr="00712698">
        <w:object w:dxaOrig="1440" w:dyaOrig="1440" w14:anchorId="7218D064">
          <v:shape id="_x0000_i1089" type="#_x0000_t75" style="width:60.75pt;height:15pt" o:ole="" o:preferrelative="f">
            <v:imagedata r:id="rId26" o:title=""/>
          </v:shape>
          <w:control r:id="rId27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1440" w:dyaOrig="1440" w14:anchorId="3CFF82A4">
          <v:shape id="_x0000_i1091" type="#_x0000_t75" style="width:57.75pt;height:17.25pt" o:ole="" o:preferrelative="f">
            <v:imagedata r:id="rId28" o:title=""/>
          </v:shape>
          <w:control r:id="rId29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53BE190C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1440" w:dyaOrig="1440" w14:anchorId="3143A03A">
          <v:shape id="_x0000_i1093" type="#_x0000_t75" style="width:183.75pt;height:21pt" o:ole="">
            <v:imagedata r:id="rId30" o:title=""/>
          </v:shape>
          <w:control r:id="rId31" w:name="OptionButton82" w:shapeid="_x0000_i1093"/>
        </w:object>
      </w:r>
    </w:p>
    <w:p w14:paraId="3954A87A" w14:textId="44716C80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1440" w:dyaOrig="1440" w14:anchorId="0A6691F6">
          <v:shape id="_x0000_i1095" type="#_x0000_t75" style="width:290.25pt;height:21pt" o:ole="">
            <v:imagedata r:id="rId32" o:title=""/>
          </v:shape>
          <w:control r:id="rId33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4ACAA812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1BFA4962">
          <v:shape id="_x0000_i1097" type="#_x0000_t75" style="width:108pt;height:21pt" o:ole="">
            <v:imagedata r:id="rId34" o:title=""/>
          </v:shape>
          <w:control r:id="rId35" w:name="OptionButton91" w:shapeid="_x0000_i1097"/>
        </w:object>
      </w:r>
    </w:p>
    <w:p w14:paraId="3944FA44" w14:textId="700D27E7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6BDE0539">
          <v:shape id="_x0000_i1099" type="#_x0000_t75" style="width:159.75pt;height:21pt" o:ole="">
            <v:imagedata r:id="rId36" o:title=""/>
          </v:shape>
          <w:control r:id="rId37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42C4BA17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1440" w:dyaOrig="1440" w14:anchorId="3F7B46A1">
          <v:shape id="_x0000_i1101" type="#_x0000_t75" style="width:36pt;height:20.25pt" o:ole="">
            <v:imagedata r:id="rId20" o:title=""/>
          </v:shape>
          <w:control r:id="rId38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1440" w:dyaOrig="1440" w14:anchorId="7751701E">
          <v:shape id="_x0000_i1103" type="#_x0000_t75" style="width:39pt;height:20.25pt" o:ole="">
            <v:imagedata r:id="rId22" o:title=""/>
          </v:shape>
          <w:control r:id="rId39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proofErr w:type="spellStart"/>
      <w:r w:rsidRPr="7A0B6D55">
        <w:rPr>
          <w:rFonts w:ascii="Times New Roman" w:hAnsi="Times New Roman"/>
          <w:b/>
          <w:bCs/>
          <w:lang w:eastAsia="ar-SA"/>
        </w:rPr>
        <w:t>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proofErr w:type="spellEnd"/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4D060120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1440" w:dyaOrig="1440" w14:anchorId="0A4722BE">
          <v:shape id="_x0000_i1105" type="#_x0000_t75" style="width:183.75pt;height:21pt" o:ole="">
            <v:imagedata r:id="rId40" o:title=""/>
          </v:shape>
          <w:control r:id="rId41" w:name="OptionButton821" w:shapeid="_x0000_i1105"/>
        </w:object>
      </w:r>
    </w:p>
    <w:p w14:paraId="7F7D8AA7" w14:textId="1CAD3B47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1440" w:dyaOrig="1440" w14:anchorId="660C7F9B">
          <v:shape id="_x0000_i1107" type="#_x0000_t75" style="width:290.25pt;height:21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5BB1D8D6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08883A13">
          <v:shape id="_x0000_i1109" type="#_x0000_t75" style="width:108pt;height:21pt" o:ole="">
            <v:imagedata r:id="rId44" o:title=""/>
          </v:shape>
          <w:control r:id="rId45" w:name="OptionButton92" w:shapeid="_x0000_i1109"/>
        </w:object>
      </w:r>
    </w:p>
    <w:p w14:paraId="1FA91123" w14:textId="0041206C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6D28996E">
          <v:shape id="_x0000_i1111" type="#_x0000_t75" style="width:159.75pt;height:21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772C0DFA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1440" w:dyaOrig="1440" w14:anchorId="49930972">
          <v:shape id="_x0000_i1113" type="#_x0000_t75" style="width:36pt;height:20.25pt" o:ole="">
            <v:imagedata r:id="rId20" o:title=""/>
          </v:shape>
          <w:control r:id="rId48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1440" w:dyaOrig="1440" w14:anchorId="28DE3741">
          <v:shape id="_x0000_i1115" type="#_x0000_t75" style="width:39pt;height:20.25pt" o:ole="">
            <v:imagedata r:id="rId22" o:title=""/>
          </v:shape>
          <w:control r:id="rId49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proofErr w:type="gramStart"/>
      <w:r w:rsidRPr="7A0B6D55">
        <w:rPr>
          <w:rFonts w:ascii="Times New Roman" w:hAnsi="Times New Roman"/>
          <w:b/>
          <w:bCs/>
          <w:i/>
          <w:iCs/>
          <w:lang w:eastAsia="ar-SA"/>
        </w:rPr>
        <w:t>groupement)  :</w:t>
      </w:r>
      <w:proofErr w:type="gramEnd"/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53591966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6C4A740C" w14:textId="5F7606C0" w:rsidR="00DB0D27" w:rsidRPr="00712698" w:rsidRDefault="7A0B6D55" w:rsidP="00A05C45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784780A6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1440" w:dyaOrig="1440" w14:anchorId="6FFA6E1C">
          <v:shape id="_x0000_i1117" type="#_x0000_t75" style="width:68.25pt;height:20.25pt" o:ole="">
            <v:imagedata r:id="rId50" o:title=""/>
          </v:shape>
          <w:control r:id="rId51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1440" w:dyaOrig="1440" w14:anchorId="755F1C88">
          <v:shape id="_x0000_i1119" type="#_x0000_t75" style="width:96pt;height:20.25pt" o:ole="">
            <v:imagedata r:id="rId52" o:title=""/>
          </v:shape>
          <w:control r:id="rId53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7D347E90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1440" w:dyaOrig="1440" w14:anchorId="5CD6910E">
          <v:shape id="_x0000_i1121" type="#_x0000_t75" style="width:61.5pt;height:20.25pt" o:ole="">
            <v:imagedata r:id="rId54" o:title=""/>
          </v:shape>
          <w:control r:id="rId55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1440" w:dyaOrig="1440" w14:anchorId="2E87A579">
          <v:shape id="_x0000_i1123" type="#_x0000_t75" style="width:53.25pt;height:20.25pt" o:ole="">
            <v:imagedata r:id="rId56" o:title=""/>
          </v:shape>
          <w:control r:id="rId57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4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34DFE183" w14:textId="5C5774FC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2762FEA9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1BD062FA" w14:textId="77777777" w:rsidR="005C469A" w:rsidRDefault="005C469A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12672E99" w14:textId="0D7D2BA7" w:rsidR="00A05C45" w:rsidRPr="005C469A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Cs/>
          <w:sz w:val="22"/>
          <w:szCs w:val="22"/>
          <w:lang w:val="fr-FR"/>
        </w:rPr>
      </w:pPr>
      <w:r w:rsidRPr="005C469A">
        <w:rPr>
          <w:iCs/>
          <w:sz w:val="22"/>
          <w:szCs w:val="22"/>
          <w:lang w:val="fr-FR"/>
        </w:rPr>
        <w:t>Section technique 1 –</w:t>
      </w:r>
      <w:r w:rsidR="005C469A" w:rsidRPr="005C469A">
        <w:rPr>
          <w:iCs/>
          <w:sz w:val="22"/>
          <w:szCs w:val="22"/>
          <w:lang w:val="fr-FR"/>
        </w:rPr>
        <w:t xml:space="preserve"> Terrassement (BT02)</w:t>
      </w:r>
      <w:r w:rsidRPr="005C469A">
        <w:rPr>
          <w:iCs/>
          <w:sz w:val="22"/>
          <w:szCs w:val="22"/>
          <w:lang w:val="fr-FR"/>
        </w:rPr>
        <w:t xml:space="preserve"> € HT : </w:t>
      </w:r>
    </w:p>
    <w:p w14:paraId="2B41450A" w14:textId="25829851" w:rsidR="00EF2011" w:rsidRPr="005C469A" w:rsidRDefault="005C469A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Cs/>
          <w:sz w:val="22"/>
          <w:szCs w:val="22"/>
          <w:lang w:val="fr-FR"/>
        </w:rPr>
      </w:pPr>
      <w:r w:rsidRPr="005C469A">
        <w:rPr>
          <w:iCs/>
          <w:sz w:val="22"/>
          <w:szCs w:val="22"/>
          <w:lang w:val="fr-FR"/>
        </w:rPr>
        <w:t>Section technique 1 – Index général tous travaux (TP01)</w:t>
      </w:r>
      <w:r w:rsidR="00EF2011" w:rsidRPr="005C469A">
        <w:rPr>
          <w:sz w:val="22"/>
          <w:szCs w:val="22"/>
          <w:lang w:val="fr-FR"/>
        </w:rPr>
        <w:tab/>
      </w:r>
      <w:r w:rsidRPr="005C469A">
        <w:rPr>
          <w:iCs/>
          <w:sz w:val="22"/>
          <w:szCs w:val="22"/>
          <w:lang w:val="fr-FR"/>
        </w:rPr>
        <w:t>€ HT :</w:t>
      </w:r>
    </w:p>
    <w:p w14:paraId="141BB4B7" w14:textId="3411D038" w:rsidR="00A05C45" w:rsidRPr="005C469A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Cs/>
          <w:sz w:val="22"/>
          <w:szCs w:val="22"/>
          <w:lang w:val="fr-FR"/>
        </w:rPr>
      </w:pPr>
      <w:r w:rsidRPr="005C469A">
        <w:rPr>
          <w:iCs/>
          <w:sz w:val="22"/>
          <w:szCs w:val="22"/>
          <w:lang w:val="fr-FR"/>
        </w:rPr>
        <w:t xml:space="preserve">Section technique 2 – </w:t>
      </w:r>
      <w:r w:rsidR="005C469A" w:rsidRPr="005C469A">
        <w:rPr>
          <w:iCs/>
          <w:sz w:val="22"/>
          <w:szCs w:val="22"/>
          <w:lang w:val="fr-FR"/>
        </w:rPr>
        <w:t>Clôtures (BT</w:t>
      </w:r>
      <w:proofErr w:type="gramStart"/>
      <w:r w:rsidR="005C469A" w:rsidRPr="005C469A">
        <w:rPr>
          <w:iCs/>
          <w:sz w:val="22"/>
          <w:szCs w:val="22"/>
          <w:lang w:val="fr-FR"/>
        </w:rPr>
        <w:t>01)</w:t>
      </w:r>
      <w:r w:rsidRPr="005C469A">
        <w:rPr>
          <w:iCs/>
          <w:sz w:val="22"/>
          <w:szCs w:val="22"/>
          <w:lang w:val="fr-FR"/>
        </w:rPr>
        <w:t>€</w:t>
      </w:r>
      <w:proofErr w:type="gramEnd"/>
      <w:r w:rsidRPr="005C469A">
        <w:rPr>
          <w:iCs/>
          <w:sz w:val="22"/>
          <w:szCs w:val="22"/>
          <w:lang w:val="fr-FR"/>
        </w:rPr>
        <w:t xml:space="preserve"> HT : </w:t>
      </w:r>
    </w:p>
    <w:p w14:paraId="2C97C7E7" w14:textId="476BF1A5" w:rsidR="00A05C45" w:rsidRPr="005C469A" w:rsidRDefault="00A05C4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Cs/>
          <w:sz w:val="22"/>
          <w:szCs w:val="22"/>
          <w:lang w:val="fr-FR"/>
        </w:rPr>
      </w:pPr>
      <w:r w:rsidRPr="005C469A">
        <w:rPr>
          <w:iCs/>
          <w:sz w:val="22"/>
          <w:szCs w:val="22"/>
          <w:lang w:val="fr-FR"/>
        </w:rPr>
        <w:t>Section technique 3 –</w:t>
      </w:r>
      <w:r w:rsidR="005C469A" w:rsidRPr="005C469A">
        <w:rPr>
          <w:iCs/>
          <w:sz w:val="22"/>
          <w:szCs w:val="22"/>
          <w:lang w:val="fr-FR"/>
        </w:rPr>
        <w:t xml:space="preserve"> Espaces verts (EV</w:t>
      </w:r>
      <w:r w:rsidR="00116A27">
        <w:rPr>
          <w:iCs/>
          <w:sz w:val="22"/>
          <w:szCs w:val="22"/>
          <w:lang w:val="fr-FR"/>
        </w:rPr>
        <w:t>1</w:t>
      </w:r>
      <w:r w:rsidR="005C469A" w:rsidRPr="005C469A">
        <w:rPr>
          <w:iCs/>
          <w:sz w:val="22"/>
          <w:szCs w:val="22"/>
          <w:lang w:val="fr-FR"/>
        </w:rPr>
        <w:t>)</w:t>
      </w:r>
      <w:r w:rsidR="005C469A" w:rsidRPr="005C469A">
        <w:rPr>
          <w:rFonts w:ascii="Calibri" w:eastAsia="Calibri" w:hAnsi="Calibri"/>
          <w:iCs/>
          <w:sz w:val="22"/>
          <w:szCs w:val="22"/>
          <w:lang w:val="fr-FR" w:eastAsia="en-US"/>
        </w:rPr>
        <w:t xml:space="preserve"> </w:t>
      </w:r>
      <w:r w:rsidR="005C469A" w:rsidRPr="005C469A">
        <w:rPr>
          <w:iCs/>
          <w:sz w:val="22"/>
          <w:szCs w:val="22"/>
          <w:lang w:val="fr-FR"/>
        </w:rPr>
        <w:t>€ HT :</w:t>
      </w:r>
    </w:p>
    <w:p w14:paraId="0646B70D" w14:textId="6741398C" w:rsidR="00A05C45" w:rsidRPr="005C469A" w:rsidRDefault="00A05C4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Cs/>
          <w:sz w:val="22"/>
          <w:szCs w:val="22"/>
          <w:lang w:val="fr-FR"/>
        </w:rPr>
      </w:pPr>
      <w:r w:rsidRPr="005C469A">
        <w:rPr>
          <w:iCs/>
          <w:sz w:val="22"/>
          <w:szCs w:val="22"/>
          <w:lang w:val="fr-FR"/>
        </w:rPr>
        <w:t xml:space="preserve">Section technique 4 – </w:t>
      </w:r>
      <w:r w:rsidR="005C469A" w:rsidRPr="005C469A">
        <w:rPr>
          <w:iCs/>
          <w:sz w:val="22"/>
          <w:szCs w:val="22"/>
          <w:lang w:val="fr-FR"/>
        </w:rPr>
        <w:t>Gros œuvre/Second œuvre (BT01)</w:t>
      </w:r>
      <w:r w:rsidR="005C469A" w:rsidRPr="005C469A">
        <w:rPr>
          <w:rFonts w:ascii="Calibri" w:eastAsia="Calibri" w:hAnsi="Calibri"/>
          <w:iCs/>
          <w:sz w:val="22"/>
          <w:szCs w:val="22"/>
          <w:lang w:val="fr-FR" w:eastAsia="en-US"/>
        </w:rPr>
        <w:t xml:space="preserve"> </w:t>
      </w:r>
      <w:r w:rsidR="005C469A" w:rsidRPr="005C469A">
        <w:rPr>
          <w:iCs/>
          <w:sz w:val="22"/>
          <w:szCs w:val="22"/>
          <w:lang w:val="fr-FR"/>
        </w:rPr>
        <w:t>€ HT :</w:t>
      </w:r>
    </w:p>
    <w:p w14:paraId="505FED6C" w14:textId="2B506130" w:rsidR="00A05C45" w:rsidRPr="005C469A" w:rsidRDefault="00A05C4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Cs/>
          <w:sz w:val="22"/>
          <w:szCs w:val="22"/>
          <w:lang w:val="fr-FR"/>
        </w:rPr>
      </w:pPr>
      <w:r w:rsidRPr="005C469A">
        <w:rPr>
          <w:iCs/>
          <w:sz w:val="22"/>
          <w:szCs w:val="22"/>
          <w:lang w:val="fr-FR"/>
        </w:rPr>
        <w:t xml:space="preserve">Section technique 5 – </w:t>
      </w:r>
      <w:r w:rsidR="005C469A" w:rsidRPr="005C469A">
        <w:rPr>
          <w:iCs/>
          <w:sz w:val="22"/>
          <w:szCs w:val="22"/>
          <w:lang w:val="fr-FR"/>
        </w:rPr>
        <w:t>Plomberie/Sanitaire (BT38)</w:t>
      </w:r>
      <w:r w:rsidR="005C469A" w:rsidRPr="005C469A">
        <w:rPr>
          <w:rFonts w:ascii="Calibri" w:eastAsia="Calibri" w:hAnsi="Calibri"/>
          <w:iCs/>
          <w:sz w:val="22"/>
          <w:szCs w:val="22"/>
          <w:lang w:val="fr-FR" w:eastAsia="en-US"/>
        </w:rPr>
        <w:t xml:space="preserve"> </w:t>
      </w:r>
      <w:r w:rsidR="005C469A" w:rsidRPr="005C469A">
        <w:rPr>
          <w:iCs/>
          <w:sz w:val="22"/>
          <w:szCs w:val="22"/>
          <w:lang w:val="fr-FR"/>
        </w:rPr>
        <w:t>€ HT :</w:t>
      </w:r>
    </w:p>
    <w:p w14:paraId="4E8CEA78" w14:textId="2E579E52" w:rsidR="00EF2011" w:rsidRPr="005C469A" w:rsidRDefault="00A05C4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5C469A">
        <w:rPr>
          <w:iCs/>
          <w:sz w:val="22"/>
          <w:szCs w:val="22"/>
          <w:lang w:val="fr-FR"/>
        </w:rPr>
        <w:t xml:space="preserve">Section technique 6 </w:t>
      </w:r>
      <w:r w:rsidR="005C469A" w:rsidRPr="005C469A">
        <w:rPr>
          <w:iCs/>
          <w:sz w:val="22"/>
          <w:szCs w:val="22"/>
          <w:lang w:val="fr-FR"/>
        </w:rPr>
        <w:t>–</w:t>
      </w:r>
      <w:r w:rsidRPr="005C469A">
        <w:rPr>
          <w:iCs/>
          <w:sz w:val="22"/>
          <w:szCs w:val="22"/>
          <w:lang w:val="fr-FR"/>
        </w:rPr>
        <w:t xml:space="preserve"> </w:t>
      </w:r>
      <w:r w:rsidR="005C469A" w:rsidRPr="005C469A">
        <w:rPr>
          <w:iCs/>
          <w:sz w:val="22"/>
          <w:szCs w:val="22"/>
          <w:lang w:val="fr-FR"/>
        </w:rPr>
        <w:t>Courants forts/Courants faibles (BT47)</w:t>
      </w:r>
      <w:r w:rsidR="005C469A" w:rsidRPr="005C469A">
        <w:rPr>
          <w:rFonts w:ascii="Calibri" w:eastAsia="Calibri" w:hAnsi="Calibri"/>
          <w:iCs/>
          <w:sz w:val="22"/>
          <w:szCs w:val="22"/>
          <w:lang w:val="fr-FR" w:eastAsia="en-US"/>
        </w:rPr>
        <w:t xml:space="preserve"> </w:t>
      </w:r>
      <w:r w:rsidR="005C469A" w:rsidRPr="005C469A">
        <w:rPr>
          <w:iCs/>
          <w:sz w:val="22"/>
          <w:szCs w:val="22"/>
          <w:lang w:val="fr-FR"/>
        </w:rPr>
        <w:t>€ HT :</w:t>
      </w:r>
      <w:r w:rsidR="00EF2011" w:rsidRPr="005C469A">
        <w:rPr>
          <w:sz w:val="22"/>
          <w:szCs w:val="22"/>
          <w:lang w:val="fr-FR"/>
        </w:rPr>
        <w:tab/>
      </w:r>
    </w:p>
    <w:p w14:paraId="6C952C33" w14:textId="77777777" w:rsidR="00A05C45" w:rsidRDefault="00A05C4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430E806" w14:textId="6E33343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Soit un Montant Total €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  <w:bookmarkStart w:id="15" w:name="_GoBack"/>
      <w:bookmarkEnd w:id="15"/>
    </w:p>
    <w:p w14:paraId="57237A86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07203AAE" w14:textId="77777777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2C500ED5" w14:textId="77777777" w:rsidR="00EF2011" w:rsidRPr="00D04078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 xml:space="preserve">Délai d’exécution défini à l’article 4.1. </w:t>
      </w:r>
      <w:proofErr w:type="gramStart"/>
      <w:r w:rsidRPr="7A0B6D55">
        <w:rPr>
          <w:rFonts w:ascii="Times New Roman" w:hAnsi="Times New Roman"/>
        </w:rPr>
        <w:t>du</w:t>
      </w:r>
      <w:proofErr w:type="gramEnd"/>
      <w:r w:rsidRPr="7A0B6D55">
        <w:rPr>
          <w:rFonts w:ascii="Times New Roman" w:hAnsi="Times New Roman"/>
        </w:rPr>
        <w:t xml:space="preserve">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6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7" w:name="Titre_Clause_sociale"/>
      <w:bookmarkEnd w:id="17"/>
    </w:p>
    <w:p w14:paraId="4FB48FFE" w14:textId="06329FEC" w:rsidR="00090BBC" w:rsidRPr="00090BBC" w:rsidRDefault="7A0B6D55" w:rsidP="005C469A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8" w:name="AEClause_sociale"/>
      <w:bookmarkEnd w:id="18"/>
      <w:r>
        <w:t xml:space="preserve"> </w:t>
      </w:r>
    </w:p>
    <w:p w14:paraId="08E0A006" w14:textId="1083BE09" w:rsidR="00C223A1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005C469A">
        <w:rPr>
          <w:rFonts w:ascii="Times New Roman" w:hAnsi="Times New Roman"/>
          <w:sz w:val="22"/>
          <w:szCs w:val="22"/>
        </w:rPr>
        <w:t xml:space="preserve">Les obligations du titulaire en matière d’insertion sociale sont précisées à l’article </w:t>
      </w:r>
      <w:r w:rsidR="005C469A">
        <w:rPr>
          <w:rFonts w:ascii="Times New Roman" w:hAnsi="Times New Roman"/>
          <w:sz w:val="22"/>
          <w:szCs w:val="22"/>
        </w:rPr>
        <w:t>1.9.1</w:t>
      </w:r>
      <w:r w:rsidRPr="7A0B6D55">
        <w:rPr>
          <w:rFonts w:ascii="Times New Roman" w:hAnsi="Times New Roman"/>
          <w:sz w:val="22"/>
          <w:szCs w:val="22"/>
        </w:rPr>
        <w:t xml:space="preserve"> du CCAP. </w:t>
      </w:r>
    </w:p>
    <w:p w14:paraId="792C0336" w14:textId="70EE265D" w:rsidR="0079620D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titulaire s’engage à réserver des emplois à du personnel en insertion à hauteur de : 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528"/>
      </w:tblGrid>
      <w:tr w:rsidR="0079620D" w14:paraId="18F00748" w14:textId="77777777" w:rsidTr="005C469A">
        <w:tc>
          <w:tcPr>
            <w:tcW w:w="4533" w:type="dxa"/>
          </w:tcPr>
          <w:p w14:paraId="4DABB3DD" w14:textId="40028074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désignation</w:t>
            </w:r>
          </w:p>
        </w:tc>
        <w:tc>
          <w:tcPr>
            <w:tcW w:w="4528" w:type="dxa"/>
          </w:tcPr>
          <w:p w14:paraId="4F1FFB14" w14:textId="592928CB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Nombre d’heures d’insertion minimales</w:t>
            </w:r>
          </w:p>
        </w:tc>
      </w:tr>
      <w:tr w:rsidR="0079620D" w:rsidRPr="005C469A" w14:paraId="272C09E6" w14:textId="77777777" w:rsidTr="005C469A">
        <w:tc>
          <w:tcPr>
            <w:tcW w:w="4533" w:type="dxa"/>
          </w:tcPr>
          <w:p w14:paraId="4B5426E7" w14:textId="0394AA0B" w:rsidR="0079620D" w:rsidRPr="005C469A" w:rsidRDefault="005C469A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5C469A">
              <w:rPr>
                <w:rFonts w:ascii="Times New Roman" w:hAnsi="Times New Roman"/>
              </w:rPr>
              <w:t xml:space="preserve">Lot n°1 </w:t>
            </w:r>
          </w:p>
        </w:tc>
        <w:tc>
          <w:tcPr>
            <w:tcW w:w="4528" w:type="dxa"/>
          </w:tcPr>
          <w:p w14:paraId="76654C46" w14:textId="7471D424" w:rsidR="0079620D" w:rsidRPr="005C469A" w:rsidRDefault="005C469A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5C469A">
              <w:rPr>
                <w:rFonts w:ascii="Times New Roman" w:hAnsi="Times New Roman"/>
              </w:rPr>
              <w:t>350</w:t>
            </w:r>
            <w:r w:rsidR="7A0B6D55" w:rsidRPr="005C469A">
              <w:rPr>
                <w:rFonts w:ascii="Times New Roman" w:hAnsi="Times New Roman"/>
              </w:rPr>
              <w:t xml:space="preserve"> heures</w:t>
            </w:r>
          </w:p>
        </w:tc>
      </w:tr>
    </w:tbl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470EE7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A05C45">
      <w:headerReference w:type="default" r:id="rId58"/>
      <w:footerReference w:type="default" r:id="rId59"/>
      <w:pgSz w:w="11906" w:h="16838"/>
      <w:pgMar w:top="271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116A27" w:rsidRDefault="00116A27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116A27" w:rsidRDefault="00116A27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4E6F690B" w:rsidR="00116A27" w:rsidRDefault="00116A27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2D3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2D3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116A27" w:rsidRDefault="00116A2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116A27" w:rsidRDefault="00116A27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116A27" w:rsidRDefault="00116A27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116A27" w:rsidRDefault="00116A2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116A27" w:rsidRDefault="00116A2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116A27" w:rsidRDefault="00116A2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116A27" w:rsidRDefault="00116A27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116A27" w:rsidRDefault="00116A2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116A27" w:rsidRDefault="00116A2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116A27" w:rsidRDefault="00116A2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116A27" w:rsidRDefault="00116A2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116A27" w:rsidRDefault="00116A27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116A27" w:rsidRDefault="00116A2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116A27" w:rsidRDefault="00116A27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116A27" w:rsidRDefault="00116A2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116A27" w:rsidRDefault="00116A2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116A27" w:rsidRDefault="00116A2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116A27" w:rsidRDefault="00116A27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116A27" w:rsidRPr="00D97AAC" w:rsidRDefault="00116A27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116A27" w:rsidRDefault="00116A27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03D127C3" w:rsidR="00116A27" w:rsidRPr="003957F1" w:rsidRDefault="00116A27" w:rsidP="48EA2D1D">
    <w:pPr>
      <w:pStyle w:val="En-tte"/>
      <w:jc w:val="right"/>
    </w:pPr>
    <w:r w:rsidRPr="003957F1">
      <w:t>DAF_2025_000888 / Projet ESID 25-206</w:t>
    </w:r>
  </w:p>
  <w:p w14:paraId="65ADB7BC" w14:textId="77777777" w:rsidR="00116A27" w:rsidRDefault="00116A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16A27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A1584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957F1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4482A"/>
    <w:rsid w:val="005736A9"/>
    <w:rsid w:val="00594FC6"/>
    <w:rsid w:val="005A60FB"/>
    <w:rsid w:val="005B5ED4"/>
    <w:rsid w:val="005C14CD"/>
    <w:rsid w:val="005C469A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44E3F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3100"/>
    <w:rsid w:val="00981B3A"/>
    <w:rsid w:val="009C1AFF"/>
    <w:rsid w:val="009D20C2"/>
    <w:rsid w:val="009E1A07"/>
    <w:rsid w:val="00A05C45"/>
    <w:rsid w:val="00A132C4"/>
    <w:rsid w:val="00A14085"/>
    <w:rsid w:val="00A15FD7"/>
    <w:rsid w:val="00A443F3"/>
    <w:rsid w:val="00A5030C"/>
    <w:rsid w:val="00A5177D"/>
    <w:rsid w:val="00A94139"/>
    <w:rsid w:val="00AA2D3A"/>
    <w:rsid w:val="00AA78CA"/>
    <w:rsid w:val="00AB6F65"/>
    <w:rsid w:val="00AC21DD"/>
    <w:rsid w:val="00AD3E84"/>
    <w:rsid w:val="00B00C11"/>
    <w:rsid w:val="00B27403"/>
    <w:rsid w:val="00B4401B"/>
    <w:rsid w:val="00B53878"/>
    <w:rsid w:val="00B7749F"/>
    <w:rsid w:val="00B96E2D"/>
    <w:rsid w:val="00BE1F1B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86C7E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437A7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5.xml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image" Target="media/image15.wmf"/><Relationship Id="rId47" Type="http://schemas.openxmlformats.org/officeDocument/2006/relationships/control" Target="activeX/activeX19.xml"/><Relationship Id="rId50" Type="http://schemas.openxmlformats.org/officeDocument/2006/relationships/image" Target="media/image18.wmf"/><Relationship Id="rId55" Type="http://schemas.openxmlformats.org/officeDocument/2006/relationships/control" Target="activeX/activeX24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9.xml"/><Relationship Id="rId41" Type="http://schemas.openxmlformats.org/officeDocument/2006/relationships/control" Target="activeX/activeX16.xml"/><Relationship Id="rId54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onel.ville@intradef.gouv.fr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image" Target="media/image14.wmf"/><Relationship Id="rId45" Type="http://schemas.openxmlformats.org/officeDocument/2006/relationships/control" Target="activeX/activeX18.xml"/><Relationship Id="rId53" Type="http://schemas.openxmlformats.org/officeDocument/2006/relationships/control" Target="activeX/activeX23.xml"/><Relationship Id="rId58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image" Target="media/image16.wmf"/><Relationship Id="rId52" Type="http://schemas.openxmlformats.org/officeDocument/2006/relationships/image" Target="media/image19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control" Target="activeX/activeX17.xml"/><Relationship Id="rId48" Type="http://schemas.openxmlformats.org/officeDocument/2006/relationships/control" Target="activeX/activeX20.xml"/><Relationship Id="rId56" Type="http://schemas.openxmlformats.org/officeDocument/2006/relationships/image" Target="media/image21.wmf"/><Relationship Id="rId8" Type="http://schemas.openxmlformats.org/officeDocument/2006/relationships/webSettings" Target="webSettings.xml"/><Relationship Id="rId51" Type="http://schemas.openxmlformats.org/officeDocument/2006/relationships/control" Target="activeX/activeX22.xml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control" Target="activeX/activeX14.xml"/><Relationship Id="rId46" Type="http://schemas.openxmlformats.org/officeDocument/2006/relationships/image" Target="media/image17.wmf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9136-F0E1-4E73-B75C-C23108FA0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A6A54-8F17-496F-BE77-DA0A75F4BFF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CB54A45-DA21-491D-B54A-8D7FCEE4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42</TotalTime>
  <Pages>7</Pages>
  <Words>1491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DE CROZALS Roselyne SA CL NORMALE DEF</cp:lastModifiedBy>
  <cp:revision>6</cp:revision>
  <dcterms:created xsi:type="dcterms:W3CDTF">2025-06-20T08:04:00Z</dcterms:created>
  <dcterms:modified xsi:type="dcterms:W3CDTF">2025-07-16T08:57:00Z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