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67EF1" w14:textId="77777777" w:rsidR="00D237C9" w:rsidRDefault="001106A4">
      <w:pPr>
        <w:rPr>
          <w:rFonts w:ascii="AvenirNext LT Pro LightCn" w:hAnsi="AvenirNext LT Pro LightCn"/>
        </w:rPr>
      </w:pPr>
      <w:r>
        <w:rPr>
          <w:rFonts w:ascii="AvenirNext LT Pro LightCn" w:hAnsi="AvenirNext LT Pro LightCn" w:cstheme="minorHAnsi"/>
          <w:b/>
          <w:noProof/>
          <w:color w:val="999999"/>
          <w:sz w:val="24"/>
          <w:szCs w:val="24"/>
          <w:lang w:eastAsia="fr-FR"/>
        </w:rPr>
        <mc:AlternateContent>
          <mc:Choice Requires="wpg">
            <w:drawing>
              <wp:anchor distT="0" distB="0" distL="114300" distR="114300" simplePos="0" relativeHeight="251659264" behindDoc="0" locked="0" layoutInCell="1" allowOverlap="1" wp14:anchorId="746BD837" wp14:editId="68529E81">
                <wp:simplePos x="0" y="0"/>
                <wp:positionH relativeFrom="margin">
                  <wp:align>left</wp:align>
                </wp:positionH>
                <wp:positionV relativeFrom="paragraph">
                  <wp:posOffset>85090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a:picLocks noChangeAspect="1"/>
                        </pic:cNvPicPr>
                      </pic:nvPicPr>
                      <pic:blipFill>
                        <a:blip r:embed="rId8"/>
                        <a:stretch/>
                      </pic:blipFill>
                      <pic:spPr bwMode="auto">
                        <a:xfrm>
                          <a:off x="0" y="0"/>
                          <a:ext cx="2050613" cy="54000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9264;o:allowoverlap:true;o:allowincell:true;mso-position-horizontal-relative:margin;mso-position-horizontal:left;mso-position-vertical-relative:text;margin-top:6.70pt;mso-position-vertical:absolute;width:161.47pt;height:42.52pt;mso-wrap-distance-left:9.00pt;mso-wrap-distance-top:0.00pt;mso-wrap-distance-right:9.00pt;mso-wrap-distance-bottom:0.00pt;z-index:1;" stroked="false">
                <v:imagedata r:id="rId13" o:title=""/>
                <o:lock v:ext="edit" rotation="t"/>
              </v:shape>
            </w:pict>
          </mc:Fallback>
        </mc:AlternateContent>
      </w:r>
    </w:p>
    <w:p w14:paraId="4210C21C" w14:textId="77777777" w:rsidR="00D237C9" w:rsidRDefault="00D237C9">
      <w:pPr>
        <w:rPr>
          <w:rFonts w:ascii="AvenirNext LT Pro LightCn" w:hAnsi="AvenirNext LT Pro LightCn"/>
        </w:rPr>
      </w:pPr>
    </w:p>
    <w:p w14:paraId="17F38EDB" w14:textId="77777777" w:rsidR="00D237C9" w:rsidRDefault="00D237C9">
      <w:pPr>
        <w:rPr>
          <w:rFonts w:ascii="AvenirNext LT Pro LightCn" w:hAnsi="AvenirNext LT Pro LightCn" w:cs="Arial"/>
          <w:sz w:val="36"/>
          <w:szCs w:val="36"/>
        </w:rPr>
      </w:pPr>
    </w:p>
    <w:p w14:paraId="75BC2380" w14:textId="77777777" w:rsidR="00D237C9" w:rsidRDefault="00D237C9">
      <w:pPr>
        <w:rPr>
          <w:rFonts w:ascii="AvenirNext LT Pro LightCn" w:hAnsi="AvenirNext LT Pro LightCn" w:cs="Arial"/>
          <w:sz w:val="24"/>
          <w:szCs w:val="24"/>
        </w:rPr>
      </w:pPr>
    </w:p>
    <w:p w14:paraId="4DAACB54" w14:textId="77777777" w:rsidR="00D237C9" w:rsidRDefault="001106A4">
      <w:pPr>
        <w:jc w:val="center"/>
        <w:rPr>
          <w:rFonts w:ascii="AvenirNext LT Pro LightCn" w:hAnsi="AvenirNext LT Pro LightCn"/>
          <w:sz w:val="24"/>
          <w:szCs w:val="24"/>
        </w:rPr>
      </w:pPr>
      <w:r>
        <w:rPr>
          <w:rFonts w:ascii="AvenirNext LT Pro LightCn" w:hAnsi="AvenirNext LT Pro LightCn"/>
          <w:b/>
          <w:sz w:val="24"/>
          <w:szCs w:val="24"/>
        </w:rPr>
        <w:t>Pouvoir Adjudicateur</w:t>
      </w:r>
      <w:r>
        <w:rPr>
          <w:rFonts w:ascii="AvenirNext LT Pro LightCn" w:hAnsi="AvenirNext LT Pro LightCn"/>
          <w:sz w:val="24"/>
          <w:szCs w:val="24"/>
        </w:rPr>
        <w:t xml:space="preserve"> : </w:t>
      </w:r>
    </w:p>
    <w:p w14:paraId="2C4729A9"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INRAE</w:t>
      </w:r>
      <w:r>
        <w:t xml:space="preserve"> </w:t>
      </w:r>
      <w:r>
        <w:rPr>
          <w:rFonts w:ascii="AvenirNext LT Pro LightCn" w:hAnsi="AvenirNext LT Pro LightCn"/>
          <w:sz w:val="24"/>
          <w:szCs w:val="24"/>
        </w:rPr>
        <w:t>Unité Ferments du Futur</w:t>
      </w:r>
    </w:p>
    <w:p w14:paraId="4116118F"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Parc Eiffel Paris</w:t>
      </w:r>
    </w:p>
    <w:p w14:paraId="06AC7AA3"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2 rue Jean Rostand</w:t>
      </w:r>
    </w:p>
    <w:p w14:paraId="21E970F8"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91400 ORSAY</w:t>
      </w:r>
    </w:p>
    <w:p w14:paraId="139FA4F3" w14:textId="77777777" w:rsidR="00D237C9" w:rsidRDefault="00D237C9">
      <w:pPr>
        <w:spacing w:before="0" w:after="0"/>
        <w:jc w:val="center"/>
        <w:rPr>
          <w:rFonts w:ascii="AvenirNext LT Pro LightCn" w:hAnsi="AvenirNext LT Pro LightCn"/>
          <w:sz w:val="24"/>
          <w:szCs w:val="24"/>
        </w:rPr>
      </w:pPr>
    </w:p>
    <w:p w14:paraId="6E87C35C" w14:textId="77777777" w:rsidR="00D237C9" w:rsidRDefault="00D237C9">
      <w:pPr>
        <w:rPr>
          <w:rFonts w:ascii="AvenirNext LT Pro LightCn" w:hAnsi="AvenirNext LT Pro LightCn" w:cs="Arial"/>
          <w:sz w:val="36"/>
          <w:szCs w:val="36"/>
        </w:rPr>
      </w:pPr>
    </w:p>
    <w:p w14:paraId="695E8C64" w14:textId="77777777" w:rsidR="00D237C9" w:rsidRDefault="00D237C9">
      <w:pPr>
        <w:rPr>
          <w:rFonts w:ascii="AvenirNext LT Pro LightCn" w:hAnsi="AvenirNext LT Pro LightCn" w:cs="Arial"/>
          <w:sz w:val="36"/>
          <w:szCs w:val="36"/>
        </w:rPr>
      </w:pPr>
    </w:p>
    <w:p w14:paraId="6B3CCECA" w14:textId="77777777" w:rsidR="00D237C9" w:rsidRDefault="00D237C9">
      <w:pPr>
        <w:pBdr>
          <w:top w:val="single" w:sz="18" w:space="0" w:color="000000"/>
          <w:left w:val="single" w:sz="18" w:space="4" w:color="000000"/>
          <w:bottom w:val="single" w:sz="18" w:space="1" w:color="000000"/>
          <w:right w:val="single" w:sz="18" w:space="4" w:color="000000"/>
        </w:pBdr>
        <w:jc w:val="center"/>
        <w:rPr>
          <w:rFonts w:ascii="AvenirNext LT Pro LightCn" w:hAnsi="AvenirNext LT Pro LightCn" w:cs="Arial"/>
          <w:sz w:val="36"/>
          <w:szCs w:val="36"/>
        </w:rPr>
      </w:pPr>
    </w:p>
    <w:p w14:paraId="16D5FBE5" w14:textId="77777777" w:rsidR="00D237C9" w:rsidRPr="00F241EC" w:rsidRDefault="001106A4">
      <w:pPr>
        <w:pBdr>
          <w:top w:val="single" w:sz="18" w:space="0" w:color="000000"/>
          <w:left w:val="single" w:sz="18" w:space="4" w:color="000000"/>
          <w:bottom w:val="single" w:sz="18" w:space="1" w:color="000000"/>
          <w:right w:val="single" w:sz="18" w:space="4" w:color="000000"/>
        </w:pBdr>
        <w:jc w:val="center"/>
        <w:rPr>
          <w:rFonts w:ascii="AvenirNext LT Pro LightCn" w:hAnsi="AvenirNext LT Pro LightCn" w:cs="Arial"/>
          <w:b/>
          <w:sz w:val="36"/>
          <w:szCs w:val="36"/>
        </w:rPr>
      </w:pPr>
      <w:r w:rsidRPr="00F241EC">
        <w:rPr>
          <w:rFonts w:ascii="AvenirNext LT Pro LightCn" w:hAnsi="AvenirNext LT Pro LightCn" w:cs="Arial"/>
          <w:b/>
          <w:sz w:val="36"/>
          <w:szCs w:val="36"/>
        </w:rPr>
        <w:t>OBJET DU MARCHE :</w:t>
      </w:r>
    </w:p>
    <w:p w14:paraId="2A2D31DF" w14:textId="11E33F82" w:rsidR="00D237C9" w:rsidRDefault="001106A4">
      <w:pPr>
        <w:pBdr>
          <w:top w:val="single" w:sz="18" w:space="0" w:color="000000"/>
          <w:left w:val="single" w:sz="18" w:space="4" w:color="000000"/>
          <w:bottom w:val="single" w:sz="18" w:space="1" w:color="000000"/>
          <w:right w:val="single" w:sz="18" w:space="4" w:color="000000"/>
        </w:pBdr>
        <w:jc w:val="center"/>
        <w:rPr>
          <w:rFonts w:ascii="AvenirNext LT Pro LightCn" w:hAnsi="AvenirNext LT Pro LightCn" w:cs="Arial"/>
          <w:b/>
          <w:sz w:val="36"/>
          <w:szCs w:val="36"/>
        </w:rPr>
      </w:pPr>
      <w:r w:rsidRPr="00F241EC">
        <w:rPr>
          <w:rFonts w:ascii="AvenirNext LT Pro LightCn" w:hAnsi="AvenirNext LT Pro LightCn" w:cs="Arial"/>
          <w:b/>
          <w:sz w:val="36"/>
          <w:szCs w:val="36"/>
        </w:rPr>
        <w:t xml:space="preserve">Acquisition </w:t>
      </w:r>
      <w:r w:rsidR="008705F3">
        <w:rPr>
          <w:rFonts w:ascii="AvenirNext LT Pro LightCn" w:hAnsi="AvenirNext LT Pro LightCn" w:cs="Arial"/>
          <w:b/>
          <w:sz w:val="36"/>
          <w:szCs w:val="36"/>
        </w:rPr>
        <w:t xml:space="preserve">d’un lot de deux enceintes climatiques </w:t>
      </w:r>
      <w:r w:rsidRPr="00F241EC">
        <w:rPr>
          <w:rFonts w:ascii="AvenirNext LT Pro LightCn" w:hAnsi="AvenirNext LT Pro LightCn" w:cs="Arial"/>
          <w:b/>
          <w:sz w:val="36"/>
          <w:szCs w:val="36"/>
        </w:rPr>
        <w:t>pour l’unité Ferments du Futur</w:t>
      </w:r>
    </w:p>
    <w:p w14:paraId="22DEFBE6" w14:textId="77777777" w:rsidR="00D237C9" w:rsidRDefault="00D237C9">
      <w:pPr>
        <w:pBdr>
          <w:top w:val="single" w:sz="18" w:space="0" w:color="000000"/>
          <w:left w:val="single" w:sz="18" w:space="4" w:color="000000"/>
          <w:bottom w:val="single" w:sz="18" w:space="1" w:color="000000"/>
          <w:right w:val="single" w:sz="18" w:space="4" w:color="000000"/>
        </w:pBdr>
        <w:jc w:val="center"/>
        <w:rPr>
          <w:rFonts w:ascii="AvenirNext LT Pro LightCn" w:hAnsi="AvenirNext LT Pro LightCn" w:cs="Arial"/>
          <w:b/>
          <w:sz w:val="36"/>
          <w:szCs w:val="36"/>
        </w:rPr>
      </w:pPr>
    </w:p>
    <w:p w14:paraId="5F726FC2" w14:textId="7499E4D1" w:rsidR="00D237C9" w:rsidRDefault="001106A4">
      <w:pPr>
        <w:pBdr>
          <w:top w:val="single" w:sz="18" w:space="0" w:color="000000"/>
          <w:left w:val="single" w:sz="18" w:space="4" w:color="000000"/>
          <w:bottom w:val="single" w:sz="18" w:space="1" w:color="000000"/>
          <w:right w:val="single" w:sz="18" w:space="4" w:color="000000"/>
        </w:pBdr>
        <w:jc w:val="center"/>
        <w:rPr>
          <w:rFonts w:ascii="AvenirNext LT Pro LightCn" w:hAnsi="AvenirNext LT Pro LightCn" w:cs="Arial"/>
          <w:b/>
          <w:sz w:val="36"/>
          <w:szCs w:val="36"/>
        </w:rPr>
      </w:pPr>
      <w:r>
        <w:rPr>
          <w:rFonts w:ascii="AvenirNext LT Pro LightCn" w:hAnsi="AvenirNext LT Pro LightCn" w:cs="Arial"/>
          <w:b/>
          <w:sz w:val="36"/>
          <w:szCs w:val="36"/>
        </w:rPr>
        <w:t>MARCHÉ n°202</w:t>
      </w:r>
      <w:r w:rsidR="00C26A10">
        <w:rPr>
          <w:rFonts w:ascii="AvenirNext LT Pro LightCn" w:hAnsi="AvenirNext LT Pro LightCn" w:cs="Arial"/>
          <w:b/>
          <w:sz w:val="36"/>
          <w:szCs w:val="36"/>
        </w:rPr>
        <w:t>5U</w:t>
      </w:r>
      <w:r>
        <w:rPr>
          <w:rFonts w:ascii="AvenirNext LT Pro LightCn" w:hAnsi="AvenirNext LT Pro LightCn" w:cs="Arial"/>
          <w:b/>
          <w:sz w:val="36"/>
          <w:szCs w:val="36"/>
        </w:rPr>
        <w:t>1503</w:t>
      </w:r>
      <w:r w:rsidR="00C26A10">
        <w:rPr>
          <w:rFonts w:ascii="AvenirNext LT Pro LightCn" w:hAnsi="AvenirNext LT Pro LightCn" w:cs="Arial"/>
          <w:b/>
          <w:sz w:val="36"/>
          <w:szCs w:val="36"/>
        </w:rPr>
        <w:t>N</w:t>
      </w:r>
      <w:r>
        <w:rPr>
          <w:rFonts w:ascii="AvenirNext LT Pro LightCn" w:hAnsi="AvenirNext LT Pro LightCn" w:cs="Arial"/>
          <w:b/>
          <w:sz w:val="36"/>
          <w:szCs w:val="36"/>
        </w:rPr>
        <w:t>……</w:t>
      </w:r>
    </w:p>
    <w:p w14:paraId="44365113" w14:textId="77777777" w:rsidR="00D237C9" w:rsidRDefault="00D237C9">
      <w:pPr>
        <w:pBdr>
          <w:top w:val="single" w:sz="18" w:space="0" w:color="000000"/>
          <w:left w:val="single" w:sz="18" w:space="4" w:color="000000"/>
          <w:bottom w:val="single" w:sz="18" w:space="1" w:color="000000"/>
          <w:right w:val="single" w:sz="18" w:space="4" w:color="000000"/>
        </w:pBdr>
        <w:jc w:val="center"/>
        <w:rPr>
          <w:rFonts w:ascii="AvenirNext LT Pro LightCn" w:hAnsi="AvenirNext LT Pro LightCn" w:cs="Arial"/>
          <w:sz w:val="36"/>
          <w:szCs w:val="36"/>
        </w:rPr>
      </w:pPr>
    </w:p>
    <w:p w14:paraId="72D11972" w14:textId="77777777" w:rsidR="00D237C9" w:rsidRDefault="00D237C9">
      <w:pPr>
        <w:widowControl w:val="0"/>
        <w:spacing w:before="14" w:line="240" w:lineRule="exact"/>
        <w:ind w:left="120"/>
        <w:rPr>
          <w:rFonts w:ascii="AvenirNext LT Pro LightCn" w:hAnsi="AvenirNext LT Pro LightCn"/>
          <w:b/>
          <w:bCs/>
        </w:rPr>
      </w:pPr>
    </w:p>
    <w:p w14:paraId="5ACA188F" w14:textId="77777777" w:rsidR="00D237C9" w:rsidRDefault="00D237C9">
      <w:pPr>
        <w:widowControl w:val="0"/>
        <w:spacing w:before="14" w:line="240" w:lineRule="exact"/>
        <w:rPr>
          <w:rFonts w:ascii="AvenirNext LT Pro LightCn" w:hAnsi="AvenirNext LT Pro LightCn"/>
          <w:b/>
          <w:bCs/>
        </w:rPr>
      </w:pPr>
    </w:p>
    <w:p w14:paraId="161D0064" w14:textId="77777777" w:rsidR="00D237C9" w:rsidRDefault="00D237C9">
      <w:pPr>
        <w:widowControl w:val="0"/>
        <w:spacing w:before="14" w:after="0" w:line="240" w:lineRule="exact"/>
        <w:jc w:val="center"/>
        <w:rPr>
          <w:rFonts w:ascii="AvenirNext LT Pro LightCn" w:eastAsia="Times New Roman" w:hAnsi="AvenirNext LT Pro LightCn" w:cstheme="minorHAnsi"/>
          <w:bCs/>
          <w:sz w:val="24"/>
          <w:szCs w:val="24"/>
          <w:lang w:eastAsia="fr-FR"/>
        </w:rPr>
      </w:pPr>
    </w:p>
    <w:p w14:paraId="71A4B904" w14:textId="77777777" w:rsidR="00D237C9" w:rsidRDefault="001106A4">
      <w:pPr>
        <w:widowControl w:val="0"/>
        <w:spacing w:before="14" w:line="240" w:lineRule="exact"/>
        <w:jc w:val="center"/>
        <w:rPr>
          <w:b/>
          <w:bCs/>
          <w:sz w:val="28"/>
          <w:szCs w:val="28"/>
        </w:rPr>
      </w:pPr>
      <w:r>
        <w:rPr>
          <w:b/>
          <w:bCs/>
          <w:sz w:val="28"/>
          <w:szCs w:val="28"/>
        </w:rPr>
        <w:t>Marché à procédure adaptée</w:t>
      </w:r>
    </w:p>
    <w:p w14:paraId="575AD399" w14:textId="77777777" w:rsidR="00D237C9" w:rsidRDefault="001106A4">
      <w:pPr>
        <w:widowControl w:val="0"/>
        <w:spacing w:before="14" w:line="240" w:lineRule="exact"/>
        <w:jc w:val="center"/>
        <w:rPr>
          <w:rFonts w:ascii="AvenirNext LT Pro LightCn" w:hAnsi="AvenirNext LT Pro LightCn"/>
          <w:b/>
          <w:bCs/>
          <w:sz w:val="28"/>
          <w:szCs w:val="28"/>
        </w:rPr>
      </w:pPr>
      <w:r>
        <w:rPr>
          <w:b/>
          <w:bCs/>
          <w:sz w:val="28"/>
          <w:szCs w:val="28"/>
        </w:rPr>
        <w:t>Articles R2123-1 à R2123-8 du code de la commande publique</w:t>
      </w:r>
    </w:p>
    <w:p w14:paraId="52748C3E" w14:textId="77777777" w:rsidR="00D237C9" w:rsidRDefault="00D237C9">
      <w:pPr>
        <w:rPr>
          <w:rFonts w:ascii="AvenirNext LT Pro LightCn" w:hAnsi="AvenirNext LT Pro LightCn"/>
        </w:rPr>
      </w:pPr>
    </w:p>
    <w:p w14:paraId="5C35036F" w14:textId="77777777" w:rsidR="00D237C9" w:rsidRDefault="00D237C9">
      <w:pPr>
        <w:rPr>
          <w:rFonts w:ascii="AvenirNext LT Pro LightCn" w:hAnsi="AvenirNext LT Pro LightCn"/>
        </w:rPr>
      </w:pPr>
    </w:p>
    <w:p w14:paraId="78D19C27" w14:textId="77777777" w:rsidR="00D237C9" w:rsidRDefault="001106A4">
      <w:pPr>
        <w:spacing w:before="0" w:after="0"/>
        <w:jc w:val="left"/>
        <w:rPr>
          <w:rFonts w:ascii="AvenirNext LT Pro LightCn" w:hAnsi="AvenirNext LT Pro LightCn"/>
          <w:b/>
        </w:rPr>
      </w:pPr>
      <w:r>
        <w:rPr>
          <w:rFonts w:ascii="AvenirNext LT Pro LightCn" w:hAnsi="AvenirNext LT Pro LightCn"/>
          <w:b/>
        </w:rPr>
        <w:br w:type="page" w:clear="all"/>
      </w:r>
    </w:p>
    <w:p w14:paraId="1C60746A" w14:textId="77777777" w:rsidR="00D237C9" w:rsidRDefault="00D237C9">
      <w:pPr>
        <w:rPr>
          <w:rFonts w:ascii="AvenirNext LT Pro LightCn" w:hAnsi="AvenirNext LT Pro LightCn"/>
          <w:b/>
        </w:rPr>
      </w:pPr>
    </w:p>
    <w:p w14:paraId="3B5EBDE1" w14:textId="77777777" w:rsidR="00D237C9" w:rsidRDefault="00D237C9">
      <w:pPr>
        <w:rPr>
          <w:rFonts w:ascii="AvenirNext LT Pro LightCn" w:hAnsi="AvenirNext LT Pro LightCn"/>
          <w:b/>
        </w:rPr>
      </w:pPr>
    </w:p>
    <w:p w14:paraId="3CA7437F" w14:textId="77777777" w:rsidR="00D237C9" w:rsidRDefault="00D237C9">
      <w:pPr>
        <w:rPr>
          <w:rFonts w:ascii="AvenirNext LT Pro LightCn" w:hAnsi="AvenirNext LT Pro LightCn"/>
          <w:b/>
        </w:rPr>
      </w:pPr>
    </w:p>
    <w:p w14:paraId="77D5220B" w14:textId="77777777" w:rsidR="00D237C9" w:rsidRDefault="001106A4">
      <w:pPr>
        <w:rPr>
          <w:rFonts w:ascii="AvenirNext LT Pro LightCn" w:hAnsi="AvenirNext LT Pro LightCn"/>
          <w:b/>
          <w:bCs/>
        </w:rPr>
      </w:pPr>
      <w:r>
        <w:rPr>
          <w:rFonts w:ascii="AvenirNext LT Pro LightCn" w:hAnsi="AvenirNext LT Pro LightCn"/>
          <w:b/>
        </w:rPr>
        <w:t>Le Titulaire</w:t>
      </w:r>
    </w:p>
    <w:p w14:paraId="46880811" w14:textId="77777777" w:rsidR="00D237C9" w:rsidRDefault="001106A4">
      <w:pPr>
        <w:rPr>
          <w:rFonts w:ascii="AvenirNext LT Pro LightCn" w:hAnsi="AvenirNext LT Pro LightCn"/>
        </w:rPr>
      </w:pPr>
      <w:r>
        <w:rPr>
          <w:rFonts w:ascii="AvenirNext LT Pro LightCn" w:hAnsi="AvenirNext LT Pro LightCn"/>
        </w:rPr>
        <w:t>Je soussigné (nom, prénoms) : ……………………………………………………………………………………….</w:t>
      </w:r>
    </w:p>
    <w:p w14:paraId="6BAA489E" w14:textId="77777777" w:rsidR="00D237C9" w:rsidRDefault="001106A4">
      <w:pPr>
        <w:rPr>
          <w:rFonts w:ascii="AvenirNext LT Pro LightCn" w:hAnsi="AvenirNext LT Pro LightCn"/>
        </w:rPr>
      </w:pPr>
      <w:r>
        <w:rPr>
          <w:rFonts w:ascii="AvenirNext LT Pro LightCn" w:hAnsi="AvenirNext LT Pro LightCn"/>
        </w:rPr>
        <w:t>Agissant pour le compte de : ………………………………………………………………………………………….</w:t>
      </w:r>
    </w:p>
    <w:p w14:paraId="7EB0CA6F" w14:textId="77777777" w:rsidR="00D237C9" w:rsidRDefault="001106A4">
      <w:pPr>
        <w:rPr>
          <w:rFonts w:ascii="AvenirNext LT Pro LightCn" w:hAnsi="AvenirNext LT Pro LightCn"/>
        </w:rPr>
      </w:pPr>
      <w:r>
        <w:rPr>
          <w:rFonts w:ascii="AvenirNext LT Pro LightCn" w:hAnsi="AvenirNext LT Pro LightCn"/>
        </w:rPr>
        <w:t>Forme juridique : ……………………………………………………………………………………………………...</w:t>
      </w:r>
    </w:p>
    <w:p w14:paraId="5F52FA09" w14:textId="77777777" w:rsidR="00D237C9" w:rsidRDefault="001106A4">
      <w:pPr>
        <w:rPr>
          <w:rFonts w:ascii="AvenirNext LT Pro LightCn" w:hAnsi="AvenirNext LT Pro LightCn"/>
        </w:rPr>
      </w:pPr>
      <w:r>
        <w:rPr>
          <w:rFonts w:ascii="AvenirNext LT Pro LightCn" w:hAnsi="AvenirNext LT Pro LightCn"/>
        </w:rPr>
        <w:t>Capital social : …………………………………………………………………………………………………………</w:t>
      </w:r>
    </w:p>
    <w:p w14:paraId="0D4F12E6" w14:textId="77777777" w:rsidR="00D237C9" w:rsidRDefault="001106A4">
      <w:pPr>
        <w:rPr>
          <w:rFonts w:ascii="AvenirNext LT Pro LightCn" w:hAnsi="AvenirNext LT Pro LightCn"/>
        </w:rPr>
      </w:pPr>
      <w:r>
        <w:rPr>
          <w:rFonts w:ascii="AvenirNext LT Pro LightCn" w:hAnsi="AvenirNext LT Pro LightCn"/>
        </w:rPr>
        <w:t>Adresse du siège social : ……………………………………………………………………………………………….</w:t>
      </w:r>
    </w:p>
    <w:p w14:paraId="2D94BD0D" w14:textId="77777777" w:rsidR="00D237C9" w:rsidRDefault="001106A4">
      <w:pPr>
        <w:rPr>
          <w:rFonts w:ascii="AvenirNext LT Pro LightCn" w:hAnsi="AvenirNext LT Pro LightCn"/>
        </w:rPr>
      </w:pPr>
      <w:r>
        <w:rPr>
          <w:rFonts w:ascii="AvenirNext LT Pro LightCn" w:hAnsi="AvenirNext LT Pro LightCn"/>
        </w:rPr>
        <w:t>Tél. : …………………………………………………………………………………………………………………..</w:t>
      </w:r>
    </w:p>
    <w:p w14:paraId="3E2557BE" w14:textId="77777777" w:rsidR="00D237C9" w:rsidRDefault="001106A4">
      <w:pPr>
        <w:rPr>
          <w:rFonts w:ascii="AvenirNext LT Pro LightCn" w:hAnsi="AvenirNext LT Pro LightCn"/>
          <w:b/>
        </w:rPr>
      </w:pPr>
      <w:r>
        <w:rPr>
          <w:rFonts w:ascii="AvenirNext LT Pro LightCn" w:hAnsi="AvenirNext LT Pro LightCn"/>
          <w:b/>
        </w:rPr>
        <w:t>Immatriculation à l’INSEE</w:t>
      </w:r>
    </w:p>
    <w:p w14:paraId="39A3DA75" w14:textId="77777777" w:rsidR="00D237C9" w:rsidRDefault="001106A4">
      <w:pPr>
        <w:rPr>
          <w:rFonts w:ascii="AvenirNext LT Pro LightCn" w:hAnsi="AvenirNext LT Pro LightCn"/>
        </w:rPr>
      </w:pPr>
      <w:r>
        <w:rPr>
          <w:rFonts w:ascii="AvenirNext LT Pro LightCn" w:hAnsi="AvenirNext LT Pro LightCn"/>
        </w:rPr>
        <w:t>n° d’identité d’établissement (SIRET) : …………………………………………………………………………………</w:t>
      </w:r>
    </w:p>
    <w:p w14:paraId="5E008A73" w14:textId="77777777" w:rsidR="00D237C9" w:rsidRDefault="001106A4">
      <w:pPr>
        <w:rPr>
          <w:rFonts w:ascii="AvenirNext LT Pro LightCn" w:hAnsi="AvenirNext LT Pro LightCn"/>
        </w:rPr>
      </w:pPr>
      <w:r>
        <w:rPr>
          <w:rFonts w:ascii="AvenirNext LT Pro LightCn" w:hAnsi="AvenirNext LT Pro LightCn"/>
        </w:rPr>
        <w:t>code d’activité économique principale (APE) : …………………………………………………………………………</w:t>
      </w:r>
    </w:p>
    <w:p w14:paraId="55CC56B6" w14:textId="77777777" w:rsidR="00D237C9" w:rsidRDefault="001106A4">
      <w:pPr>
        <w:rPr>
          <w:rFonts w:ascii="AvenirNext LT Pro LightCn" w:hAnsi="AvenirNext LT Pro LightCn"/>
        </w:rPr>
      </w:pPr>
      <w:r>
        <w:rPr>
          <w:rFonts w:ascii="AvenirNext LT Pro LightCn" w:hAnsi="AvenirNext LT Pro LightCn"/>
        </w:rPr>
        <w:t>n° d’inscription au registre du commerce de : RCS : ……………………………………………………………………</w:t>
      </w:r>
    </w:p>
    <w:p w14:paraId="1B276467" w14:textId="77777777" w:rsidR="00D237C9" w:rsidRDefault="00D237C9">
      <w:pPr>
        <w:rPr>
          <w:rFonts w:ascii="AvenirNext LT Pro LightCn" w:hAnsi="AvenirNext LT Pro LightCn"/>
        </w:rPr>
      </w:pPr>
    </w:p>
    <w:p w14:paraId="5143868E" w14:textId="77777777" w:rsidR="00D237C9" w:rsidRDefault="001106A4">
      <w:pPr>
        <w:rPr>
          <w:rFonts w:ascii="AvenirNext LT Pro LightCn" w:hAnsi="AvenirNext LT Pro LightCn"/>
        </w:rPr>
      </w:pPr>
      <w:r>
        <w:rPr>
          <w:rFonts w:ascii="AvenirNext LT Pro LightCn" w:hAnsi="AvenirNext LT Pro LightCn"/>
        </w:rPr>
        <w:t>Après avoir pris connaissance des dispositions du présent document, des documents qui y sont mentionnés et après avoir satisfait aux obligations fiscales et sociales en vigueur,</w:t>
      </w:r>
    </w:p>
    <w:p w14:paraId="268DC5D6" w14:textId="77777777" w:rsidR="00D237C9" w:rsidRDefault="001106A4">
      <w:pPr>
        <w:rPr>
          <w:rFonts w:ascii="AvenirNext LT Pro LightCn" w:hAnsi="AvenirNext LT Pro LightCn"/>
        </w:rPr>
      </w:pPr>
      <w:r>
        <w:rPr>
          <w:rFonts w:ascii="AvenirNext LT Pro LightCn" w:hAnsi="AvenirNext LT Pro LightCn"/>
        </w:rPr>
        <w:t>M’engage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27EB6AD3" w14:textId="77777777" w:rsidR="00D237C9" w:rsidRDefault="00D237C9">
      <w:pPr>
        <w:rPr>
          <w:rFonts w:ascii="AvenirNext LT Pro LightCn" w:hAnsi="AvenirNext LT Pro LightCn" w:cs="Arial"/>
          <w:b/>
        </w:rPr>
      </w:pPr>
    </w:p>
    <w:p w14:paraId="0D6DF074" w14:textId="77777777" w:rsidR="00D237C9" w:rsidRDefault="001106A4">
      <w:pPr>
        <w:rPr>
          <w:rFonts w:ascii="AvenirNext LT Pro LightCn" w:hAnsi="AvenirNext LT Pro LightCn" w:cs="Arial"/>
          <w:b/>
        </w:rPr>
      </w:pPr>
      <w:r>
        <w:rPr>
          <w:rFonts w:ascii="AvenirNext LT Pro LightCn" w:hAnsi="AvenirNext LT Pro LightCn" w:cs="Arial"/>
          <w:b/>
        </w:rPr>
        <w:t>Fait à ………………… le …………………..</w:t>
      </w:r>
      <w:r>
        <w:rPr>
          <w:rStyle w:val="Appelnotedebasdep"/>
          <w:rFonts w:ascii="AvenirNext LT Pro LightCn" w:hAnsi="AvenirNext LT Pro LightCn" w:cs="Arial"/>
          <w:b/>
          <w:color w:val="000000"/>
        </w:rPr>
        <w:footnoteReference w:id="1"/>
      </w:r>
    </w:p>
    <w:p w14:paraId="28ED94E4" w14:textId="77777777" w:rsidR="00D237C9" w:rsidRDefault="00D237C9">
      <w:pPr>
        <w:rPr>
          <w:rFonts w:ascii="AvenirNext LT Pro LightCn" w:hAnsi="AvenirNext LT Pro LightCn"/>
        </w:rPr>
      </w:pPr>
    </w:p>
    <w:p w14:paraId="3D75C61F" w14:textId="77777777" w:rsidR="00D237C9" w:rsidRDefault="00D237C9">
      <w:pPr>
        <w:rPr>
          <w:rFonts w:ascii="AvenirNext LT Pro LightCn" w:hAnsi="AvenirNext LT Pro LightCn"/>
        </w:rPr>
      </w:pPr>
    </w:p>
    <w:p w14:paraId="6A3E5E30" w14:textId="77777777" w:rsidR="00D237C9" w:rsidRDefault="00D237C9">
      <w:pPr>
        <w:rPr>
          <w:rFonts w:ascii="AvenirNext LT Pro LightCn" w:hAnsi="AvenirNext LT Pro LightCn"/>
        </w:rPr>
      </w:pPr>
    </w:p>
    <w:p w14:paraId="75B049DA" w14:textId="77777777" w:rsidR="00D237C9" w:rsidRDefault="001106A4">
      <w:pPr>
        <w:rPr>
          <w:rFonts w:ascii="AvenirNext LT Pro LightCn" w:hAnsi="AvenirNext LT Pro LightCn"/>
        </w:rPr>
      </w:pPr>
      <w:r>
        <w:rPr>
          <w:rFonts w:ascii="AvenirNext LT Pro LightCn" w:hAnsi="AvenirNext LT Pro LightCn"/>
        </w:rPr>
        <w:t>Le titulaire</w:t>
      </w:r>
      <w:r>
        <w:rPr>
          <w:rStyle w:val="Appelnotedebasdep"/>
          <w:rFonts w:ascii="AvenirNext LT Pro LightCn" w:hAnsi="AvenirNext LT Pro LightCn" w:cs="Arial"/>
        </w:rPr>
        <w:footnoteReference w:id="2"/>
      </w:r>
    </w:p>
    <w:p w14:paraId="42BD54E8" w14:textId="77777777" w:rsidR="00D237C9" w:rsidRDefault="001106A4">
      <w:pPr>
        <w:rPr>
          <w:rFonts w:ascii="AvenirNext LT Pro LightCn" w:hAnsi="AvenirNext LT Pro LightCn"/>
        </w:rPr>
      </w:pPr>
      <w:r>
        <w:rPr>
          <w:rFonts w:ascii="Wingdings" w:eastAsia="Wingdings" w:hAnsi="Wingdings" w:cs="Wingdings"/>
        </w:rPr>
        <w:t></w:t>
      </w:r>
      <w:r>
        <w:rPr>
          <w:rFonts w:ascii="AvenirNext LT Pro LightCn" w:hAnsi="AvenirNext LT Pro LightCn"/>
        </w:rPr>
        <w:t xml:space="preserve"> ne refuse pas de percevoir l’avance prévue à l’article 8 du présent document.</w:t>
      </w:r>
    </w:p>
    <w:p w14:paraId="746F2C3C" w14:textId="77777777" w:rsidR="00D237C9" w:rsidRDefault="001106A4">
      <w:pPr>
        <w:pBdr>
          <w:bottom w:val="single" w:sz="12" w:space="1" w:color="000000"/>
        </w:pBdr>
        <w:rPr>
          <w:rFonts w:ascii="AvenirNext LT Pro LightCn" w:hAnsi="AvenirNext LT Pro LightCn"/>
        </w:rPr>
      </w:pPr>
      <w:r>
        <w:rPr>
          <w:rFonts w:ascii="Wingdings" w:eastAsia="Wingdings" w:hAnsi="Wingdings" w:cs="Wingdings"/>
        </w:rPr>
        <w:t></w:t>
      </w:r>
      <w:r>
        <w:rPr>
          <w:rFonts w:ascii="AvenirNext LT Pro LightCn" w:hAnsi="AvenirNext LT Pro LightCn"/>
        </w:rPr>
        <w:t xml:space="preserve"> refuse de percevoir l’avance prévue à l’article 8 du présent document. </w:t>
      </w:r>
    </w:p>
    <w:p w14:paraId="6800DF79" w14:textId="77777777" w:rsidR="00D237C9" w:rsidRDefault="001106A4">
      <w:pPr>
        <w:spacing w:before="0" w:after="0"/>
        <w:rPr>
          <w:rFonts w:ascii="AvenirNext LT Pro LightCn" w:hAnsi="AvenirNext LT Pro LightCn"/>
        </w:rPr>
      </w:pPr>
      <w:r>
        <w:rPr>
          <w:rFonts w:ascii="AvenirNext LT Pro LightCn" w:hAnsi="AvenirNext LT Pro LightCn"/>
          <w:b/>
        </w:rPr>
        <w:t>INRAE – Unité Ferments du Futur</w:t>
      </w:r>
    </w:p>
    <w:p w14:paraId="048A1188" w14:textId="77777777" w:rsidR="00D237C9" w:rsidRDefault="00D237C9">
      <w:pPr>
        <w:spacing w:before="0" w:after="0"/>
        <w:rPr>
          <w:rFonts w:ascii="AvenirNext LT Pro LightCn" w:hAnsi="AvenirNext LT Pro LightCn"/>
        </w:rPr>
      </w:pPr>
    </w:p>
    <w:p w14:paraId="3FCF4973" w14:textId="77777777" w:rsidR="00D237C9" w:rsidRDefault="001106A4">
      <w:pPr>
        <w:spacing w:before="0" w:after="0"/>
        <w:rPr>
          <w:rFonts w:ascii="AvenirNext LT Pro LightCn" w:hAnsi="AvenirNext LT Pro LightCn"/>
        </w:rPr>
      </w:pPr>
      <w:r>
        <w:rPr>
          <w:rFonts w:ascii="AvenirNext LT Pro LightCn" w:hAnsi="AvenirNext LT Pro LightCn"/>
        </w:rPr>
        <w:t>Est acceptée la présente offre pour valoir Acte d’Engagement.</w:t>
      </w:r>
    </w:p>
    <w:p w14:paraId="0E419FB7" w14:textId="77777777" w:rsidR="00D237C9" w:rsidRDefault="00D237C9">
      <w:pPr>
        <w:spacing w:before="0" w:after="0"/>
        <w:rPr>
          <w:rFonts w:ascii="AvenirNext LT Pro LightCn" w:hAnsi="AvenirNext LT Pro LightCn"/>
        </w:rPr>
      </w:pPr>
    </w:p>
    <w:p w14:paraId="0698E848" w14:textId="77777777" w:rsidR="00D237C9" w:rsidRDefault="001106A4">
      <w:pPr>
        <w:spacing w:before="0" w:after="0"/>
        <w:rPr>
          <w:rFonts w:ascii="AvenirNext LT Pro LightCn" w:hAnsi="AvenirNext LT Pro LightCn"/>
        </w:rPr>
      </w:pPr>
      <w:r>
        <w:rPr>
          <w:rFonts w:ascii="AvenirNext LT Pro LightCn" w:hAnsi="AvenirNext LT Pro LightCn"/>
        </w:rPr>
        <w:t>Le Directeur d’Unité</w:t>
      </w:r>
    </w:p>
    <w:p w14:paraId="3313B97F" w14:textId="77777777" w:rsidR="00D237C9" w:rsidRDefault="00D237C9">
      <w:pPr>
        <w:pStyle w:val="TM2"/>
      </w:pPr>
    </w:p>
    <w:p w14:paraId="16BFFE7A" w14:textId="77777777" w:rsidR="00D237C9" w:rsidRDefault="001106A4">
      <w:pPr>
        <w:pStyle w:val="TM2"/>
      </w:pPr>
      <w:r>
        <w:t>Alexandre JOANNON</w:t>
      </w:r>
    </w:p>
    <w:p w14:paraId="5E9250C8" w14:textId="77777777" w:rsidR="00D237C9" w:rsidRDefault="001106A4">
      <w:pPr>
        <w:spacing w:before="0" w:after="0"/>
        <w:jc w:val="left"/>
        <w:rPr>
          <w:rFonts w:ascii="AvenirNext LT Pro LightCn" w:hAnsi="AvenirNext LT Pro LightCn" w:cs="Arial"/>
        </w:rPr>
      </w:pPr>
      <w:r>
        <w:rPr>
          <w:rFonts w:ascii="AvenirNext LT Pro LightCn" w:hAnsi="AvenirNext LT Pro LightCn"/>
        </w:rPr>
        <w:br w:type="page" w:clear="all"/>
      </w:r>
    </w:p>
    <w:p w14:paraId="2E31E6EB" w14:textId="77777777" w:rsidR="00D237C9" w:rsidRDefault="00D237C9">
      <w:pPr>
        <w:pStyle w:val="TM2"/>
      </w:pPr>
    </w:p>
    <w:p w14:paraId="4B748C2E" w14:textId="77777777" w:rsidR="00D237C9" w:rsidRDefault="00D237C9">
      <w:pPr>
        <w:pStyle w:val="TM2"/>
      </w:pPr>
    </w:p>
    <w:p w14:paraId="51328D23" w14:textId="77777777" w:rsidR="00D237C9" w:rsidRDefault="001106A4">
      <w:pPr>
        <w:pStyle w:val="TM2"/>
        <w:rPr>
          <w:b w:val="0"/>
        </w:rPr>
      </w:pPr>
      <w:r>
        <w:rPr>
          <w:b w:val="0"/>
        </w:rPr>
        <w:t>SOMMAIRE</w:t>
      </w:r>
    </w:p>
    <w:p w14:paraId="1B5D5C0C" w14:textId="77777777" w:rsidR="00D237C9" w:rsidRDefault="001106A4">
      <w:pPr>
        <w:pStyle w:val="TM1"/>
        <w:tabs>
          <w:tab w:val="left" w:pos="480"/>
          <w:tab w:val="right" w:leader="dot" w:pos="9054"/>
        </w:tabs>
        <w:rPr>
          <w:rFonts w:asciiTheme="minorHAnsi" w:eastAsiaTheme="minorEastAsia" w:hAnsiTheme="minorHAnsi"/>
          <w:lang w:eastAsia="fr-FR"/>
        </w:rPr>
      </w:pPr>
      <w:r>
        <w:rPr>
          <w:rFonts w:ascii="AvenirNext LT Pro LightCn" w:hAnsi="AvenirNext LT Pro LightCn"/>
        </w:rPr>
        <w:fldChar w:fldCharType="begin"/>
      </w:r>
      <w:r>
        <w:rPr>
          <w:rFonts w:ascii="AvenirNext LT Pro LightCn" w:hAnsi="AvenirNext LT Pro LightCn"/>
        </w:rPr>
        <w:instrText xml:space="preserve"> TOC \o "1-3" \h \z \u </w:instrText>
      </w:r>
      <w:r>
        <w:rPr>
          <w:rFonts w:ascii="AvenirNext LT Pro LightCn" w:hAnsi="AvenirNext LT Pro LightCn"/>
        </w:rPr>
        <w:fldChar w:fldCharType="separate"/>
      </w:r>
      <w:hyperlink w:anchor="_Toc164174613" w:tooltip="#_Toc164174613" w:history="1">
        <w:r>
          <w:rPr>
            <w:rStyle w:val="Lienhypertexte"/>
            <w:rFonts w:ascii="AvenirNext LT Pro LightCn" w:hAnsi="AvenirNext LT Pro LightCn"/>
            <w:b/>
            <w:i/>
            <w:iCs/>
          </w:rPr>
          <w:t>1.</w:t>
        </w:r>
        <w:r>
          <w:rPr>
            <w:rFonts w:asciiTheme="minorHAnsi" w:eastAsiaTheme="minorEastAsia" w:hAnsiTheme="minorHAnsi"/>
            <w:lang w:eastAsia="fr-FR"/>
          </w:rPr>
          <w:tab/>
        </w:r>
        <w:r>
          <w:rPr>
            <w:rStyle w:val="Lienhypertexte"/>
            <w:rFonts w:ascii="AvenirNext LT Pro LightCn" w:hAnsi="AvenirNext LT Pro LightCn"/>
          </w:rPr>
          <w:t>OBJET ET PROCEDURE DU MARCHE</w:t>
        </w:r>
        <w:r>
          <w:tab/>
        </w:r>
        <w:r>
          <w:fldChar w:fldCharType="begin"/>
        </w:r>
        <w:r>
          <w:instrText xml:space="preserve"> PAGEREF _Toc164174613 \h </w:instrText>
        </w:r>
        <w:r>
          <w:fldChar w:fldCharType="separate"/>
        </w:r>
        <w:r>
          <w:t>5</w:t>
        </w:r>
        <w:r>
          <w:fldChar w:fldCharType="end"/>
        </w:r>
      </w:hyperlink>
    </w:p>
    <w:p w14:paraId="67A0F426" w14:textId="77777777" w:rsidR="00D237C9" w:rsidRDefault="00943CD2">
      <w:pPr>
        <w:pStyle w:val="TM2"/>
        <w:rPr>
          <w:rFonts w:asciiTheme="minorHAnsi" w:eastAsiaTheme="minorEastAsia" w:hAnsiTheme="minorHAnsi"/>
          <w:b w:val="0"/>
          <w:lang w:eastAsia="fr-FR"/>
        </w:rPr>
      </w:pPr>
      <w:hyperlink w:anchor="_Toc164174614" w:tooltip="#_Toc164174614" w:history="1">
        <w:r w:rsidR="001106A4">
          <w:rPr>
            <w:rStyle w:val="Lienhypertexte"/>
          </w:rPr>
          <w:t>1.2. – Décomposition en lots/Tranches/Options/Prestations Supplémentaires Eventuelles/Variantes</w:t>
        </w:r>
        <w:r w:rsidR="001106A4">
          <w:tab/>
        </w:r>
        <w:r w:rsidR="001106A4">
          <w:fldChar w:fldCharType="begin"/>
        </w:r>
        <w:r w:rsidR="001106A4">
          <w:instrText xml:space="preserve"> PAGEREF _Toc164174614 \h </w:instrText>
        </w:r>
        <w:r w:rsidR="001106A4">
          <w:fldChar w:fldCharType="separate"/>
        </w:r>
        <w:r w:rsidR="001106A4">
          <w:t>5</w:t>
        </w:r>
        <w:r w:rsidR="001106A4">
          <w:fldChar w:fldCharType="end"/>
        </w:r>
      </w:hyperlink>
    </w:p>
    <w:p w14:paraId="24C35410" w14:textId="77777777" w:rsidR="00D237C9" w:rsidRDefault="00943CD2">
      <w:pPr>
        <w:pStyle w:val="TM2"/>
        <w:rPr>
          <w:rFonts w:asciiTheme="minorHAnsi" w:eastAsiaTheme="minorEastAsia" w:hAnsiTheme="minorHAnsi"/>
          <w:b w:val="0"/>
          <w:lang w:eastAsia="fr-FR"/>
        </w:rPr>
      </w:pPr>
      <w:hyperlink w:anchor="_Toc164174615" w:tooltip="#_Toc164174615" w:history="1">
        <w:r w:rsidR="001106A4">
          <w:rPr>
            <w:rStyle w:val="Lienhypertexte"/>
            <w:rFonts w:cs="Arial"/>
            <w:i/>
            <w:iCs/>
          </w:rPr>
          <w:t>Article 1.2.1 – Décomposition en lots</w:t>
        </w:r>
        <w:r w:rsidR="001106A4">
          <w:tab/>
        </w:r>
        <w:r w:rsidR="001106A4">
          <w:fldChar w:fldCharType="begin"/>
        </w:r>
        <w:r w:rsidR="001106A4">
          <w:instrText xml:space="preserve"> PAGEREF _Toc164174615 \h </w:instrText>
        </w:r>
        <w:r w:rsidR="001106A4">
          <w:fldChar w:fldCharType="separate"/>
        </w:r>
        <w:r w:rsidR="001106A4">
          <w:t>5</w:t>
        </w:r>
        <w:r w:rsidR="001106A4">
          <w:fldChar w:fldCharType="end"/>
        </w:r>
      </w:hyperlink>
    </w:p>
    <w:p w14:paraId="747C9FC2" w14:textId="77777777" w:rsidR="00D237C9" w:rsidRDefault="00943CD2">
      <w:pPr>
        <w:pStyle w:val="TM2"/>
        <w:rPr>
          <w:rFonts w:asciiTheme="minorHAnsi" w:eastAsiaTheme="minorEastAsia" w:hAnsiTheme="minorHAnsi"/>
          <w:b w:val="0"/>
          <w:lang w:eastAsia="fr-FR"/>
        </w:rPr>
      </w:pPr>
      <w:hyperlink w:anchor="_Toc164174616" w:tooltip="#_Toc164174616" w:history="1">
        <w:r w:rsidR="001106A4">
          <w:rPr>
            <w:rStyle w:val="Lienhypertexte"/>
            <w:rFonts w:cs="Arial"/>
            <w:iCs/>
          </w:rPr>
          <w:t>Les prestations sont dévolues en lot unique.</w:t>
        </w:r>
        <w:r w:rsidR="001106A4">
          <w:tab/>
        </w:r>
        <w:r w:rsidR="001106A4">
          <w:fldChar w:fldCharType="begin"/>
        </w:r>
        <w:r w:rsidR="001106A4">
          <w:instrText xml:space="preserve"> PAGEREF _Toc164174616 \h </w:instrText>
        </w:r>
        <w:r w:rsidR="001106A4">
          <w:fldChar w:fldCharType="separate"/>
        </w:r>
        <w:r w:rsidR="001106A4">
          <w:t>5</w:t>
        </w:r>
        <w:r w:rsidR="001106A4">
          <w:fldChar w:fldCharType="end"/>
        </w:r>
      </w:hyperlink>
    </w:p>
    <w:p w14:paraId="6C09CD49" w14:textId="77777777" w:rsidR="00D237C9" w:rsidRDefault="00943CD2">
      <w:pPr>
        <w:pStyle w:val="TM2"/>
        <w:rPr>
          <w:rFonts w:asciiTheme="minorHAnsi" w:eastAsiaTheme="minorEastAsia" w:hAnsiTheme="minorHAnsi"/>
          <w:b w:val="0"/>
          <w:lang w:eastAsia="fr-FR"/>
        </w:rPr>
      </w:pPr>
      <w:hyperlink w:anchor="_Toc164174617" w:tooltip="#_Toc164174617" w:history="1">
        <w:r w:rsidR="001106A4">
          <w:rPr>
            <w:rStyle w:val="Lienhypertexte"/>
            <w:rFonts w:cs="Arial"/>
            <w:i/>
            <w:iCs/>
          </w:rPr>
          <w:t>Article 1.2.2 – Décomposition en tranches</w:t>
        </w:r>
        <w:r w:rsidR="001106A4">
          <w:tab/>
        </w:r>
        <w:r w:rsidR="001106A4">
          <w:fldChar w:fldCharType="begin"/>
        </w:r>
        <w:r w:rsidR="001106A4">
          <w:instrText xml:space="preserve"> PAGEREF _Toc164174617 \h </w:instrText>
        </w:r>
        <w:r w:rsidR="001106A4">
          <w:fldChar w:fldCharType="separate"/>
        </w:r>
        <w:r w:rsidR="001106A4">
          <w:t>5</w:t>
        </w:r>
        <w:r w:rsidR="001106A4">
          <w:fldChar w:fldCharType="end"/>
        </w:r>
      </w:hyperlink>
    </w:p>
    <w:p w14:paraId="4F155471" w14:textId="77777777" w:rsidR="00D237C9" w:rsidRDefault="00943CD2">
      <w:pPr>
        <w:pStyle w:val="TM2"/>
        <w:rPr>
          <w:rFonts w:asciiTheme="minorHAnsi" w:eastAsiaTheme="minorEastAsia" w:hAnsiTheme="minorHAnsi"/>
          <w:b w:val="0"/>
          <w:lang w:eastAsia="fr-FR"/>
        </w:rPr>
      </w:pPr>
      <w:hyperlink w:anchor="_Toc164174618" w:tooltip="#_Toc164174618" w:history="1">
        <w:r w:rsidR="001106A4">
          <w:rPr>
            <w:rStyle w:val="Lienhypertexte"/>
            <w:rFonts w:cs="Arial"/>
            <w:iCs/>
          </w:rPr>
          <w:t>Sans objet.</w:t>
        </w:r>
        <w:r w:rsidR="001106A4">
          <w:tab/>
        </w:r>
        <w:r w:rsidR="001106A4">
          <w:fldChar w:fldCharType="begin"/>
        </w:r>
        <w:r w:rsidR="001106A4">
          <w:instrText xml:space="preserve"> PAGEREF _Toc164174618 \h </w:instrText>
        </w:r>
        <w:r w:rsidR="001106A4">
          <w:fldChar w:fldCharType="separate"/>
        </w:r>
        <w:r w:rsidR="001106A4">
          <w:t>5</w:t>
        </w:r>
        <w:r w:rsidR="001106A4">
          <w:fldChar w:fldCharType="end"/>
        </w:r>
      </w:hyperlink>
    </w:p>
    <w:p w14:paraId="005554B0" w14:textId="77777777" w:rsidR="00D237C9" w:rsidRDefault="00943CD2">
      <w:pPr>
        <w:pStyle w:val="TM2"/>
        <w:rPr>
          <w:rFonts w:asciiTheme="minorHAnsi" w:eastAsiaTheme="minorEastAsia" w:hAnsiTheme="minorHAnsi"/>
          <w:b w:val="0"/>
          <w:lang w:eastAsia="fr-FR"/>
        </w:rPr>
      </w:pPr>
      <w:hyperlink w:anchor="_Toc164174619" w:tooltip="#_Toc164174619" w:history="1">
        <w:r w:rsidR="001106A4">
          <w:rPr>
            <w:rStyle w:val="Lienhypertexte"/>
            <w:rFonts w:cs="Arial"/>
            <w:i/>
            <w:iCs/>
          </w:rPr>
          <w:t>Article 1.2.3 – Options</w:t>
        </w:r>
        <w:r w:rsidR="001106A4">
          <w:tab/>
        </w:r>
        <w:r w:rsidR="001106A4">
          <w:fldChar w:fldCharType="begin"/>
        </w:r>
        <w:r w:rsidR="001106A4">
          <w:instrText xml:space="preserve"> PAGEREF _Toc164174619 \h </w:instrText>
        </w:r>
        <w:r w:rsidR="001106A4">
          <w:fldChar w:fldCharType="separate"/>
        </w:r>
        <w:r w:rsidR="001106A4">
          <w:t>5</w:t>
        </w:r>
        <w:r w:rsidR="001106A4">
          <w:fldChar w:fldCharType="end"/>
        </w:r>
      </w:hyperlink>
    </w:p>
    <w:p w14:paraId="649E8B0C" w14:textId="77777777" w:rsidR="00D237C9" w:rsidRDefault="00943CD2">
      <w:pPr>
        <w:pStyle w:val="TM2"/>
        <w:rPr>
          <w:rFonts w:asciiTheme="minorHAnsi" w:eastAsiaTheme="minorEastAsia" w:hAnsiTheme="minorHAnsi"/>
          <w:b w:val="0"/>
          <w:lang w:eastAsia="fr-FR"/>
        </w:rPr>
      </w:pPr>
      <w:hyperlink w:anchor="_Toc164174620" w:tooltip="#_Toc164174620" w:history="1">
        <w:r w:rsidR="001106A4">
          <w:rPr>
            <w:rStyle w:val="Lienhypertexte"/>
            <w:rFonts w:cs="Arial"/>
            <w:i/>
            <w:iCs/>
          </w:rPr>
          <w:t>Article 1.2.4 – Prestations Supplémentaires Eventuelles (PSE)</w:t>
        </w:r>
        <w:r w:rsidR="001106A4">
          <w:tab/>
        </w:r>
        <w:r w:rsidR="001106A4">
          <w:fldChar w:fldCharType="begin"/>
        </w:r>
        <w:r w:rsidR="001106A4">
          <w:instrText xml:space="preserve"> PAGEREF _Toc164174620 \h </w:instrText>
        </w:r>
        <w:r w:rsidR="001106A4">
          <w:fldChar w:fldCharType="separate"/>
        </w:r>
        <w:r w:rsidR="001106A4">
          <w:t>5</w:t>
        </w:r>
        <w:r w:rsidR="001106A4">
          <w:fldChar w:fldCharType="end"/>
        </w:r>
      </w:hyperlink>
    </w:p>
    <w:p w14:paraId="31494485" w14:textId="77777777" w:rsidR="00D237C9" w:rsidRDefault="00943CD2">
      <w:pPr>
        <w:pStyle w:val="TM2"/>
        <w:rPr>
          <w:rFonts w:asciiTheme="minorHAnsi" w:eastAsiaTheme="minorEastAsia" w:hAnsiTheme="minorHAnsi"/>
          <w:b w:val="0"/>
          <w:lang w:eastAsia="fr-FR"/>
        </w:rPr>
      </w:pPr>
      <w:hyperlink w:anchor="_Toc164174621" w:tooltip="#_Toc164174621" w:history="1">
        <w:r w:rsidR="001106A4">
          <w:rPr>
            <w:rStyle w:val="Lienhypertexte"/>
            <w:rFonts w:cs="Arial"/>
            <w:i/>
            <w:iCs/>
          </w:rPr>
          <w:t>Article 1.2.5 - Variantes</w:t>
        </w:r>
        <w:r w:rsidR="001106A4">
          <w:tab/>
        </w:r>
        <w:r w:rsidR="001106A4">
          <w:fldChar w:fldCharType="begin"/>
        </w:r>
        <w:r w:rsidR="001106A4">
          <w:instrText xml:space="preserve"> PAGEREF _Toc164174621 \h </w:instrText>
        </w:r>
        <w:r w:rsidR="001106A4">
          <w:fldChar w:fldCharType="separate"/>
        </w:r>
        <w:r w:rsidR="001106A4">
          <w:t>5</w:t>
        </w:r>
        <w:r w:rsidR="001106A4">
          <w:fldChar w:fldCharType="end"/>
        </w:r>
      </w:hyperlink>
    </w:p>
    <w:p w14:paraId="62D67F87" w14:textId="77777777" w:rsidR="00D237C9" w:rsidRDefault="00943CD2">
      <w:pPr>
        <w:pStyle w:val="TM2"/>
        <w:rPr>
          <w:rFonts w:asciiTheme="minorHAnsi" w:eastAsiaTheme="minorEastAsia" w:hAnsiTheme="minorHAnsi"/>
          <w:b w:val="0"/>
          <w:lang w:eastAsia="fr-FR"/>
        </w:rPr>
      </w:pPr>
      <w:hyperlink w:anchor="_Toc164174623" w:tooltip="#_Toc164174623" w:history="1">
        <w:r w:rsidR="001106A4">
          <w:rPr>
            <w:rStyle w:val="Lienhypertexte"/>
          </w:rPr>
          <w:t>1.3. – Forme</w:t>
        </w:r>
        <w:r w:rsidR="001106A4">
          <w:tab/>
        </w:r>
        <w:r w:rsidR="001106A4">
          <w:fldChar w:fldCharType="begin"/>
        </w:r>
        <w:r w:rsidR="001106A4">
          <w:instrText xml:space="preserve"> PAGEREF _Toc164174623 \h </w:instrText>
        </w:r>
        <w:r w:rsidR="001106A4">
          <w:fldChar w:fldCharType="separate"/>
        </w:r>
        <w:r w:rsidR="001106A4">
          <w:t>5</w:t>
        </w:r>
        <w:r w:rsidR="001106A4">
          <w:fldChar w:fldCharType="end"/>
        </w:r>
      </w:hyperlink>
    </w:p>
    <w:p w14:paraId="59E73662" w14:textId="77777777" w:rsidR="00D237C9" w:rsidRDefault="00943CD2">
      <w:pPr>
        <w:pStyle w:val="TM2"/>
        <w:rPr>
          <w:rFonts w:asciiTheme="minorHAnsi" w:eastAsiaTheme="minorEastAsia" w:hAnsiTheme="minorHAnsi"/>
          <w:b w:val="0"/>
          <w:lang w:eastAsia="fr-FR"/>
        </w:rPr>
      </w:pPr>
      <w:hyperlink w:anchor="_Toc164174624" w:tooltip="#_Toc164174624" w:history="1">
        <w:r w:rsidR="001106A4">
          <w:rPr>
            <w:rStyle w:val="Lienhypertexte"/>
          </w:rPr>
          <w:t>1.4. – Modifications du marché</w:t>
        </w:r>
        <w:r w:rsidR="001106A4">
          <w:tab/>
        </w:r>
        <w:r w:rsidR="001106A4">
          <w:fldChar w:fldCharType="begin"/>
        </w:r>
        <w:r w:rsidR="001106A4">
          <w:instrText xml:space="preserve"> PAGEREF _Toc164174624 \h </w:instrText>
        </w:r>
        <w:r w:rsidR="001106A4">
          <w:fldChar w:fldCharType="separate"/>
        </w:r>
        <w:r w:rsidR="001106A4">
          <w:t>5</w:t>
        </w:r>
        <w:r w:rsidR="001106A4">
          <w:fldChar w:fldCharType="end"/>
        </w:r>
      </w:hyperlink>
    </w:p>
    <w:p w14:paraId="161E2D5D" w14:textId="77777777" w:rsidR="00D237C9" w:rsidRDefault="00943CD2">
      <w:pPr>
        <w:pStyle w:val="TM1"/>
        <w:tabs>
          <w:tab w:val="left" w:pos="480"/>
          <w:tab w:val="right" w:leader="dot" w:pos="9054"/>
        </w:tabs>
        <w:rPr>
          <w:rFonts w:asciiTheme="minorHAnsi" w:eastAsiaTheme="minorEastAsia" w:hAnsiTheme="minorHAnsi"/>
          <w:lang w:eastAsia="fr-FR"/>
        </w:rPr>
      </w:pPr>
      <w:hyperlink w:anchor="_Toc164174625" w:tooltip="#_Toc164174625" w:history="1">
        <w:r w:rsidR="001106A4">
          <w:rPr>
            <w:rStyle w:val="Lienhypertexte"/>
            <w:rFonts w:ascii="AvenirNext LT Pro LightCn" w:hAnsi="AvenirNext LT Pro LightCn"/>
            <w:b/>
            <w:i/>
            <w:iCs/>
          </w:rPr>
          <w:t>2.</w:t>
        </w:r>
        <w:r w:rsidR="001106A4">
          <w:rPr>
            <w:rFonts w:asciiTheme="minorHAnsi" w:eastAsiaTheme="minorEastAsia" w:hAnsiTheme="minorHAnsi"/>
            <w:lang w:eastAsia="fr-FR"/>
          </w:rPr>
          <w:tab/>
        </w:r>
        <w:r w:rsidR="001106A4">
          <w:rPr>
            <w:rStyle w:val="Lienhypertexte"/>
            <w:rFonts w:ascii="AvenirNext LT Pro LightCn" w:hAnsi="AvenirNext LT Pro LightCn"/>
          </w:rPr>
          <w:t>PIÈCES CONTRACTUELLES DU MARCHÉ</w:t>
        </w:r>
        <w:r w:rsidR="001106A4">
          <w:tab/>
        </w:r>
        <w:r w:rsidR="001106A4">
          <w:fldChar w:fldCharType="begin"/>
        </w:r>
        <w:r w:rsidR="001106A4">
          <w:instrText xml:space="preserve"> PAGEREF _Toc164174625 \h </w:instrText>
        </w:r>
        <w:r w:rsidR="001106A4">
          <w:fldChar w:fldCharType="separate"/>
        </w:r>
        <w:r w:rsidR="001106A4">
          <w:t>5</w:t>
        </w:r>
        <w:r w:rsidR="001106A4">
          <w:fldChar w:fldCharType="end"/>
        </w:r>
      </w:hyperlink>
    </w:p>
    <w:p w14:paraId="1EBF0182" w14:textId="77777777" w:rsidR="00D237C9" w:rsidRDefault="00943CD2">
      <w:pPr>
        <w:pStyle w:val="TM2"/>
        <w:rPr>
          <w:rFonts w:asciiTheme="minorHAnsi" w:eastAsiaTheme="minorEastAsia" w:hAnsiTheme="minorHAnsi"/>
          <w:b w:val="0"/>
          <w:lang w:eastAsia="fr-FR"/>
        </w:rPr>
      </w:pPr>
      <w:hyperlink w:anchor="_Toc164174626" w:tooltip="#_Toc164174626" w:history="1">
        <w:r w:rsidR="001106A4">
          <w:rPr>
            <w:rStyle w:val="Lienhypertexte"/>
          </w:rPr>
          <w:t>2.1 – Pièces particulières</w:t>
        </w:r>
        <w:r w:rsidR="001106A4">
          <w:tab/>
        </w:r>
        <w:r w:rsidR="001106A4">
          <w:fldChar w:fldCharType="begin"/>
        </w:r>
        <w:r w:rsidR="001106A4">
          <w:instrText xml:space="preserve"> PAGEREF _Toc164174626 \h </w:instrText>
        </w:r>
        <w:r w:rsidR="001106A4">
          <w:fldChar w:fldCharType="separate"/>
        </w:r>
        <w:r w:rsidR="001106A4">
          <w:t>6</w:t>
        </w:r>
        <w:r w:rsidR="001106A4">
          <w:fldChar w:fldCharType="end"/>
        </w:r>
      </w:hyperlink>
    </w:p>
    <w:p w14:paraId="20A99EF6" w14:textId="77777777" w:rsidR="00D237C9" w:rsidRDefault="00943CD2">
      <w:pPr>
        <w:pStyle w:val="TM2"/>
        <w:rPr>
          <w:rFonts w:asciiTheme="minorHAnsi" w:eastAsiaTheme="minorEastAsia" w:hAnsiTheme="minorHAnsi"/>
          <w:b w:val="0"/>
          <w:lang w:eastAsia="fr-FR"/>
        </w:rPr>
      </w:pPr>
      <w:hyperlink w:anchor="_Toc164174627" w:tooltip="#_Toc164174627" w:history="1">
        <w:r w:rsidR="001106A4">
          <w:rPr>
            <w:rStyle w:val="Lienhypertexte"/>
          </w:rPr>
          <w:t>2.2 – Pièces générales</w:t>
        </w:r>
        <w:r w:rsidR="001106A4">
          <w:tab/>
        </w:r>
        <w:r w:rsidR="001106A4">
          <w:fldChar w:fldCharType="begin"/>
        </w:r>
        <w:r w:rsidR="001106A4">
          <w:instrText xml:space="preserve"> PAGEREF _Toc164174627 \h </w:instrText>
        </w:r>
        <w:r w:rsidR="001106A4">
          <w:fldChar w:fldCharType="separate"/>
        </w:r>
        <w:r w:rsidR="001106A4">
          <w:t>6</w:t>
        </w:r>
        <w:r w:rsidR="001106A4">
          <w:fldChar w:fldCharType="end"/>
        </w:r>
      </w:hyperlink>
    </w:p>
    <w:p w14:paraId="264408D4" w14:textId="77777777" w:rsidR="00D237C9" w:rsidRDefault="00943CD2">
      <w:pPr>
        <w:pStyle w:val="TM1"/>
        <w:tabs>
          <w:tab w:val="left" w:pos="480"/>
          <w:tab w:val="right" w:leader="dot" w:pos="9054"/>
        </w:tabs>
        <w:rPr>
          <w:rFonts w:asciiTheme="minorHAnsi" w:eastAsiaTheme="minorEastAsia" w:hAnsiTheme="minorHAnsi"/>
          <w:lang w:eastAsia="fr-FR"/>
        </w:rPr>
      </w:pPr>
      <w:hyperlink w:anchor="_Toc164174628" w:tooltip="#_Toc164174628" w:history="1">
        <w:r w:rsidR="001106A4">
          <w:rPr>
            <w:rStyle w:val="Lienhypertexte"/>
            <w:rFonts w:ascii="AvenirNext LT Pro LightCn" w:hAnsi="AvenirNext LT Pro LightCn"/>
            <w:b/>
            <w:i/>
            <w:iCs/>
          </w:rPr>
          <w:t>3.</w:t>
        </w:r>
        <w:r w:rsidR="001106A4">
          <w:rPr>
            <w:rFonts w:asciiTheme="minorHAnsi" w:eastAsiaTheme="minorEastAsia" w:hAnsiTheme="minorHAnsi"/>
            <w:lang w:eastAsia="fr-FR"/>
          </w:rPr>
          <w:tab/>
        </w:r>
        <w:r w:rsidR="001106A4">
          <w:rPr>
            <w:rStyle w:val="Lienhypertexte"/>
            <w:rFonts w:ascii="AvenirNext LT Pro LightCn" w:hAnsi="AvenirNext LT Pro LightCn"/>
          </w:rPr>
          <w:t>CONTENU DES PRESTATIONS</w:t>
        </w:r>
        <w:r w:rsidR="001106A4">
          <w:tab/>
        </w:r>
        <w:r w:rsidR="001106A4">
          <w:fldChar w:fldCharType="begin"/>
        </w:r>
        <w:r w:rsidR="001106A4">
          <w:instrText xml:space="preserve"> PAGEREF _Toc164174628 \h </w:instrText>
        </w:r>
        <w:r w:rsidR="001106A4">
          <w:fldChar w:fldCharType="separate"/>
        </w:r>
        <w:r w:rsidR="001106A4">
          <w:t>7</w:t>
        </w:r>
        <w:r w:rsidR="001106A4">
          <w:fldChar w:fldCharType="end"/>
        </w:r>
      </w:hyperlink>
    </w:p>
    <w:p w14:paraId="1B136F1B" w14:textId="77777777" w:rsidR="00D237C9" w:rsidRDefault="00943CD2">
      <w:pPr>
        <w:pStyle w:val="TM2"/>
        <w:tabs>
          <w:tab w:val="left" w:pos="660"/>
        </w:tabs>
        <w:rPr>
          <w:rFonts w:asciiTheme="minorHAnsi" w:eastAsiaTheme="minorEastAsia" w:hAnsiTheme="minorHAnsi"/>
          <w:b w:val="0"/>
          <w:lang w:eastAsia="fr-FR"/>
        </w:rPr>
      </w:pPr>
      <w:hyperlink w:anchor="_Toc164174629" w:tooltip="#_Toc164174629" w:history="1">
        <w:r w:rsidR="001106A4">
          <w:rPr>
            <w:rStyle w:val="Lienhypertexte"/>
          </w:rPr>
          <w:t>3.1.</w:t>
        </w:r>
        <w:r w:rsidR="001106A4">
          <w:rPr>
            <w:rFonts w:asciiTheme="minorHAnsi" w:eastAsiaTheme="minorEastAsia" w:hAnsiTheme="minorHAnsi"/>
            <w:b w:val="0"/>
            <w:lang w:eastAsia="fr-FR"/>
          </w:rPr>
          <w:tab/>
        </w:r>
        <w:r w:rsidR="001106A4">
          <w:rPr>
            <w:rStyle w:val="Lienhypertexte"/>
          </w:rPr>
          <w:t>– Performances techniques - Normes</w:t>
        </w:r>
        <w:r w:rsidR="001106A4">
          <w:tab/>
        </w:r>
        <w:r w:rsidR="001106A4">
          <w:fldChar w:fldCharType="begin"/>
        </w:r>
        <w:r w:rsidR="001106A4">
          <w:instrText xml:space="preserve"> PAGEREF _Toc164174629 \h </w:instrText>
        </w:r>
        <w:r w:rsidR="001106A4">
          <w:fldChar w:fldCharType="separate"/>
        </w:r>
        <w:r w:rsidR="001106A4">
          <w:t>7</w:t>
        </w:r>
        <w:r w:rsidR="001106A4">
          <w:fldChar w:fldCharType="end"/>
        </w:r>
      </w:hyperlink>
    </w:p>
    <w:p w14:paraId="539A1A3A" w14:textId="77777777" w:rsidR="00D237C9" w:rsidRDefault="00943CD2">
      <w:pPr>
        <w:pStyle w:val="TM2"/>
        <w:tabs>
          <w:tab w:val="left" w:pos="660"/>
        </w:tabs>
        <w:rPr>
          <w:rFonts w:asciiTheme="minorHAnsi" w:eastAsiaTheme="minorEastAsia" w:hAnsiTheme="minorHAnsi"/>
          <w:b w:val="0"/>
          <w:lang w:eastAsia="fr-FR"/>
        </w:rPr>
      </w:pPr>
      <w:hyperlink w:anchor="_Toc164174630" w:tooltip="#_Toc164174630" w:history="1">
        <w:r w:rsidR="001106A4">
          <w:rPr>
            <w:rStyle w:val="Lienhypertexte"/>
          </w:rPr>
          <w:t>3.2.</w:t>
        </w:r>
        <w:r w:rsidR="001106A4">
          <w:rPr>
            <w:rFonts w:asciiTheme="minorHAnsi" w:eastAsiaTheme="minorEastAsia" w:hAnsiTheme="minorHAnsi"/>
            <w:b w:val="0"/>
            <w:lang w:eastAsia="fr-FR"/>
          </w:rPr>
          <w:tab/>
        </w:r>
        <w:r w:rsidR="001106A4">
          <w:rPr>
            <w:rStyle w:val="Lienhypertexte"/>
          </w:rPr>
          <w:t>– Spécifications techniques</w:t>
        </w:r>
        <w:r w:rsidR="001106A4">
          <w:tab/>
        </w:r>
        <w:r w:rsidR="001106A4">
          <w:fldChar w:fldCharType="begin"/>
        </w:r>
        <w:r w:rsidR="001106A4">
          <w:instrText xml:space="preserve"> PAGEREF _Toc164174630 \h </w:instrText>
        </w:r>
        <w:r w:rsidR="001106A4">
          <w:fldChar w:fldCharType="separate"/>
        </w:r>
        <w:r w:rsidR="001106A4">
          <w:t>7</w:t>
        </w:r>
        <w:r w:rsidR="001106A4">
          <w:fldChar w:fldCharType="end"/>
        </w:r>
      </w:hyperlink>
    </w:p>
    <w:p w14:paraId="59ECFE7B" w14:textId="77777777" w:rsidR="00D237C9" w:rsidRDefault="00943CD2">
      <w:pPr>
        <w:pStyle w:val="TM2"/>
        <w:tabs>
          <w:tab w:val="left" w:pos="660"/>
        </w:tabs>
        <w:rPr>
          <w:rFonts w:asciiTheme="minorHAnsi" w:eastAsiaTheme="minorEastAsia" w:hAnsiTheme="minorHAnsi"/>
          <w:b w:val="0"/>
          <w:lang w:eastAsia="fr-FR"/>
        </w:rPr>
      </w:pPr>
      <w:hyperlink w:anchor="_Toc164174631" w:tooltip="#_Toc164174631" w:history="1">
        <w:r w:rsidR="001106A4">
          <w:rPr>
            <w:rStyle w:val="Lienhypertexte"/>
          </w:rPr>
          <w:t>3.3.</w:t>
        </w:r>
        <w:r w:rsidR="001106A4">
          <w:rPr>
            <w:rFonts w:asciiTheme="minorHAnsi" w:eastAsiaTheme="minorEastAsia" w:hAnsiTheme="minorHAnsi"/>
            <w:b w:val="0"/>
            <w:lang w:eastAsia="fr-FR"/>
          </w:rPr>
          <w:tab/>
        </w:r>
        <w:r w:rsidR="001106A4">
          <w:rPr>
            <w:rStyle w:val="Lienhypertexte"/>
          </w:rPr>
          <w:t>Indicateurs de suivi et taux de disponibilité</w:t>
        </w:r>
        <w:r w:rsidR="001106A4">
          <w:tab/>
        </w:r>
        <w:r w:rsidR="001106A4">
          <w:fldChar w:fldCharType="begin"/>
        </w:r>
        <w:r w:rsidR="001106A4">
          <w:instrText xml:space="preserve"> PAGEREF _Toc164174631 \h </w:instrText>
        </w:r>
        <w:r w:rsidR="001106A4">
          <w:fldChar w:fldCharType="separate"/>
        </w:r>
        <w:r w:rsidR="001106A4">
          <w:t>7</w:t>
        </w:r>
        <w:r w:rsidR="001106A4">
          <w:fldChar w:fldCharType="end"/>
        </w:r>
      </w:hyperlink>
    </w:p>
    <w:p w14:paraId="73EBA599" w14:textId="77777777" w:rsidR="00D237C9" w:rsidRDefault="00943CD2">
      <w:pPr>
        <w:pStyle w:val="TM2"/>
        <w:tabs>
          <w:tab w:val="left" w:pos="660"/>
        </w:tabs>
        <w:rPr>
          <w:rFonts w:asciiTheme="minorHAnsi" w:eastAsiaTheme="minorEastAsia" w:hAnsiTheme="minorHAnsi"/>
          <w:b w:val="0"/>
          <w:lang w:eastAsia="fr-FR"/>
        </w:rPr>
      </w:pPr>
      <w:hyperlink w:anchor="_Toc164174632" w:tooltip="#_Toc164174632" w:history="1">
        <w:r w:rsidR="001106A4">
          <w:rPr>
            <w:rStyle w:val="Lienhypertexte"/>
          </w:rPr>
          <w:t>3.4.</w:t>
        </w:r>
        <w:r w:rsidR="001106A4">
          <w:rPr>
            <w:rFonts w:asciiTheme="minorHAnsi" w:eastAsiaTheme="minorEastAsia" w:hAnsiTheme="minorHAnsi"/>
            <w:b w:val="0"/>
            <w:lang w:eastAsia="fr-FR"/>
          </w:rPr>
          <w:tab/>
        </w:r>
        <w:r w:rsidR="001106A4">
          <w:rPr>
            <w:rStyle w:val="Lienhypertexte"/>
          </w:rPr>
          <w:t>Définition de l’indisponibilité</w:t>
        </w:r>
        <w:r w:rsidR="001106A4">
          <w:tab/>
        </w:r>
        <w:r w:rsidR="001106A4">
          <w:fldChar w:fldCharType="begin"/>
        </w:r>
        <w:r w:rsidR="001106A4">
          <w:instrText xml:space="preserve"> PAGEREF _Toc164174632 \h </w:instrText>
        </w:r>
        <w:r w:rsidR="001106A4">
          <w:fldChar w:fldCharType="separate"/>
        </w:r>
        <w:r w:rsidR="001106A4">
          <w:t>7</w:t>
        </w:r>
        <w:r w:rsidR="001106A4">
          <w:fldChar w:fldCharType="end"/>
        </w:r>
      </w:hyperlink>
    </w:p>
    <w:p w14:paraId="323CD485" w14:textId="77777777" w:rsidR="00D237C9" w:rsidRDefault="00943CD2">
      <w:pPr>
        <w:pStyle w:val="TM3"/>
        <w:tabs>
          <w:tab w:val="left" w:pos="1320"/>
          <w:tab w:val="right" w:leader="dot" w:pos="9054"/>
        </w:tabs>
        <w:rPr>
          <w:rFonts w:asciiTheme="minorHAnsi" w:eastAsiaTheme="minorEastAsia" w:hAnsiTheme="minorHAnsi"/>
          <w:lang w:eastAsia="fr-FR"/>
        </w:rPr>
      </w:pPr>
      <w:hyperlink w:anchor="_Toc164174633" w:tooltip="#_Toc164174633" w:history="1">
        <w:r w:rsidR="001106A4">
          <w:rPr>
            <w:rStyle w:val="Lienhypertexte"/>
            <w:rFonts w:ascii="AvenirNext LT Pro LightCn" w:eastAsiaTheme="majorEastAsia" w:hAnsi="AvenirNext LT Pro LightCn" w:cstheme="majorBidi"/>
            <w:b/>
          </w:rPr>
          <w:t>3.4.1.</w:t>
        </w:r>
        <w:r w:rsidR="001106A4">
          <w:rPr>
            <w:rFonts w:asciiTheme="minorHAnsi" w:eastAsiaTheme="minorEastAsia" w:hAnsiTheme="minorHAnsi"/>
            <w:lang w:eastAsia="fr-FR"/>
          </w:rPr>
          <w:tab/>
        </w:r>
        <w:r w:rsidR="001106A4">
          <w:rPr>
            <w:rStyle w:val="Lienhypertexte"/>
            <w:rFonts w:ascii="AvenirNext LT Pro LightCn" w:eastAsiaTheme="majorEastAsia" w:hAnsi="AvenirNext LT Pro LightCn" w:cstheme="majorBidi"/>
          </w:rPr>
          <w:t>Mesure de la durée d’arrêt</w:t>
        </w:r>
        <w:r w:rsidR="001106A4">
          <w:tab/>
        </w:r>
        <w:r w:rsidR="001106A4">
          <w:fldChar w:fldCharType="begin"/>
        </w:r>
        <w:r w:rsidR="001106A4">
          <w:instrText xml:space="preserve"> PAGEREF _Toc164174633 \h </w:instrText>
        </w:r>
        <w:r w:rsidR="001106A4">
          <w:fldChar w:fldCharType="separate"/>
        </w:r>
        <w:r w:rsidR="001106A4">
          <w:t>8</w:t>
        </w:r>
        <w:r w:rsidR="001106A4">
          <w:fldChar w:fldCharType="end"/>
        </w:r>
      </w:hyperlink>
    </w:p>
    <w:p w14:paraId="62B1C88F" w14:textId="77777777" w:rsidR="00D237C9" w:rsidRDefault="00943CD2">
      <w:pPr>
        <w:pStyle w:val="TM2"/>
        <w:tabs>
          <w:tab w:val="left" w:pos="660"/>
        </w:tabs>
        <w:rPr>
          <w:rFonts w:asciiTheme="minorHAnsi" w:eastAsiaTheme="minorEastAsia" w:hAnsiTheme="minorHAnsi"/>
          <w:b w:val="0"/>
          <w:lang w:eastAsia="fr-FR"/>
        </w:rPr>
      </w:pPr>
      <w:hyperlink w:anchor="_Toc164174634" w:tooltip="#_Toc164174634" w:history="1">
        <w:r w:rsidR="001106A4">
          <w:rPr>
            <w:rStyle w:val="Lienhypertexte"/>
          </w:rPr>
          <w:t>3.5.</w:t>
        </w:r>
        <w:r w:rsidR="001106A4">
          <w:rPr>
            <w:rFonts w:asciiTheme="minorHAnsi" w:eastAsiaTheme="minorEastAsia" w:hAnsiTheme="minorHAnsi"/>
            <w:b w:val="0"/>
            <w:lang w:eastAsia="fr-FR"/>
          </w:rPr>
          <w:tab/>
        </w:r>
        <w:r w:rsidR="001106A4">
          <w:rPr>
            <w:rStyle w:val="Lienhypertexte"/>
          </w:rPr>
          <w:t>Taux de disponibilité</w:t>
        </w:r>
        <w:r w:rsidR="001106A4">
          <w:tab/>
        </w:r>
        <w:r w:rsidR="001106A4">
          <w:fldChar w:fldCharType="begin"/>
        </w:r>
        <w:r w:rsidR="001106A4">
          <w:instrText xml:space="preserve"> PAGEREF _Toc164174634 \h </w:instrText>
        </w:r>
        <w:r w:rsidR="001106A4">
          <w:fldChar w:fldCharType="separate"/>
        </w:r>
        <w:r w:rsidR="001106A4">
          <w:t>8</w:t>
        </w:r>
        <w:r w:rsidR="001106A4">
          <w:fldChar w:fldCharType="end"/>
        </w:r>
      </w:hyperlink>
    </w:p>
    <w:p w14:paraId="5967F269" w14:textId="77777777" w:rsidR="00D237C9" w:rsidRDefault="00943CD2">
      <w:pPr>
        <w:pStyle w:val="TM3"/>
        <w:tabs>
          <w:tab w:val="left" w:pos="1320"/>
          <w:tab w:val="right" w:leader="dot" w:pos="9054"/>
        </w:tabs>
        <w:rPr>
          <w:rFonts w:asciiTheme="minorHAnsi" w:eastAsiaTheme="minorEastAsia" w:hAnsiTheme="minorHAnsi"/>
          <w:lang w:eastAsia="fr-FR"/>
        </w:rPr>
      </w:pPr>
      <w:hyperlink w:anchor="_Toc164174635" w:tooltip="#_Toc164174635" w:history="1">
        <w:r w:rsidR="001106A4">
          <w:rPr>
            <w:rStyle w:val="Lienhypertexte"/>
            <w:rFonts w:ascii="AvenirNext LT Pro LightCn" w:eastAsiaTheme="majorEastAsia" w:hAnsi="AvenirNext LT Pro LightCn" w:cstheme="majorBidi"/>
            <w:b/>
          </w:rPr>
          <w:t>3.5.1.</w:t>
        </w:r>
        <w:r w:rsidR="001106A4">
          <w:rPr>
            <w:rFonts w:asciiTheme="minorHAnsi" w:eastAsiaTheme="minorEastAsia" w:hAnsiTheme="minorHAnsi"/>
            <w:lang w:eastAsia="fr-FR"/>
          </w:rPr>
          <w:tab/>
        </w:r>
        <w:r w:rsidR="001106A4">
          <w:rPr>
            <w:rStyle w:val="Lienhypertexte"/>
            <w:rFonts w:ascii="AvenirNext LT Pro LightCn" w:eastAsiaTheme="majorEastAsia" w:hAnsi="AvenirNext LT Pro LightCn" w:cstheme="majorBidi"/>
          </w:rPr>
          <w:t>Délai maximal autorisé</w:t>
        </w:r>
        <w:r w:rsidR="001106A4">
          <w:tab/>
        </w:r>
        <w:r w:rsidR="001106A4">
          <w:fldChar w:fldCharType="begin"/>
        </w:r>
        <w:r w:rsidR="001106A4">
          <w:instrText xml:space="preserve"> PAGEREF _Toc164174635 \h </w:instrText>
        </w:r>
        <w:r w:rsidR="001106A4">
          <w:fldChar w:fldCharType="separate"/>
        </w:r>
        <w:r w:rsidR="001106A4">
          <w:t>8</w:t>
        </w:r>
        <w:r w:rsidR="001106A4">
          <w:fldChar w:fldCharType="end"/>
        </w:r>
      </w:hyperlink>
    </w:p>
    <w:p w14:paraId="03CB8588" w14:textId="77777777" w:rsidR="00D237C9" w:rsidRDefault="00943CD2">
      <w:pPr>
        <w:pStyle w:val="TM2"/>
        <w:tabs>
          <w:tab w:val="left" w:pos="660"/>
        </w:tabs>
        <w:rPr>
          <w:rFonts w:asciiTheme="minorHAnsi" w:eastAsiaTheme="minorEastAsia" w:hAnsiTheme="minorHAnsi"/>
          <w:b w:val="0"/>
          <w:lang w:eastAsia="fr-FR"/>
        </w:rPr>
      </w:pPr>
      <w:hyperlink w:anchor="_Toc164174636" w:tooltip="#_Toc164174636" w:history="1">
        <w:r w:rsidR="001106A4">
          <w:rPr>
            <w:rStyle w:val="Lienhypertexte"/>
          </w:rPr>
          <w:t>3.6.</w:t>
        </w:r>
        <w:r w:rsidR="001106A4">
          <w:rPr>
            <w:rFonts w:asciiTheme="minorHAnsi" w:eastAsiaTheme="minorEastAsia" w:hAnsiTheme="minorHAnsi"/>
            <w:b w:val="0"/>
            <w:lang w:eastAsia="fr-FR"/>
          </w:rPr>
          <w:tab/>
        </w:r>
        <w:r w:rsidR="001106A4">
          <w:rPr>
            <w:rStyle w:val="Lienhypertexte"/>
          </w:rPr>
          <w:t>– Emballage et transport</w:t>
        </w:r>
        <w:r w:rsidR="001106A4">
          <w:tab/>
        </w:r>
        <w:r w:rsidR="001106A4">
          <w:fldChar w:fldCharType="begin"/>
        </w:r>
        <w:r w:rsidR="001106A4">
          <w:instrText xml:space="preserve"> PAGEREF _Toc164174636 \h </w:instrText>
        </w:r>
        <w:r w:rsidR="001106A4">
          <w:fldChar w:fldCharType="separate"/>
        </w:r>
        <w:r w:rsidR="001106A4">
          <w:t>8</w:t>
        </w:r>
        <w:r w:rsidR="001106A4">
          <w:fldChar w:fldCharType="end"/>
        </w:r>
      </w:hyperlink>
    </w:p>
    <w:p w14:paraId="31CE6EA6" w14:textId="77777777" w:rsidR="00D237C9" w:rsidRDefault="00943CD2">
      <w:pPr>
        <w:pStyle w:val="TM2"/>
        <w:tabs>
          <w:tab w:val="left" w:pos="660"/>
        </w:tabs>
        <w:rPr>
          <w:rFonts w:asciiTheme="minorHAnsi" w:eastAsiaTheme="minorEastAsia" w:hAnsiTheme="minorHAnsi"/>
          <w:b w:val="0"/>
          <w:lang w:eastAsia="fr-FR"/>
        </w:rPr>
      </w:pPr>
      <w:hyperlink w:anchor="_Toc164174637" w:tooltip="#_Toc164174637" w:history="1">
        <w:r w:rsidR="001106A4">
          <w:rPr>
            <w:rStyle w:val="Lienhypertexte"/>
          </w:rPr>
          <w:t>3.7.</w:t>
        </w:r>
        <w:r w:rsidR="001106A4">
          <w:rPr>
            <w:rFonts w:asciiTheme="minorHAnsi" w:eastAsiaTheme="minorEastAsia" w:hAnsiTheme="minorHAnsi"/>
            <w:b w:val="0"/>
            <w:lang w:eastAsia="fr-FR"/>
          </w:rPr>
          <w:tab/>
        </w:r>
        <w:r w:rsidR="001106A4">
          <w:rPr>
            <w:rStyle w:val="Lienhypertexte"/>
          </w:rPr>
          <w:t>– Livraison</w:t>
        </w:r>
        <w:r w:rsidR="001106A4">
          <w:tab/>
        </w:r>
        <w:r w:rsidR="001106A4">
          <w:fldChar w:fldCharType="begin"/>
        </w:r>
        <w:r w:rsidR="001106A4">
          <w:instrText xml:space="preserve"> PAGEREF _Toc164174637 \h </w:instrText>
        </w:r>
        <w:r w:rsidR="001106A4">
          <w:fldChar w:fldCharType="separate"/>
        </w:r>
        <w:r w:rsidR="001106A4">
          <w:t>9</w:t>
        </w:r>
        <w:r w:rsidR="001106A4">
          <w:fldChar w:fldCharType="end"/>
        </w:r>
      </w:hyperlink>
    </w:p>
    <w:p w14:paraId="5777B1A4" w14:textId="77777777" w:rsidR="00D237C9" w:rsidRDefault="00943CD2">
      <w:pPr>
        <w:pStyle w:val="TM2"/>
        <w:tabs>
          <w:tab w:val="left" w:pos="660"/>
        </w:tabs>
        <w:rPr>
          <w:rFonts w:asciiTheme="minorHAnsi" w:eastAsiaTheme="minorEastAsia" w:hAnsiTheme="minorHAnsi"/>
          <w:b w:val="0"/>
          <w:lang w:eastAsia="fr-FR"/>
        </w:rPr>
      </w:pPr>
      <w:hyperlink w:anchor="_Toc164174638" w:tooltip="#_Toc164174638" w:history="1">
        <w:r w:rsidR="001106A4">
          <w:rPr>
            <w:rStyle w:val="Lienhypertexte"/>
          </w:rPr>
          <w:t>3.8.</w:t>
        </w:r>
        <w:r w:rsidR="001106A4">
          <w:rPr>
            <w:rFonts w:asciiTheme="minorHAnsi" w:eastAsiaTheme="minorEastAsia" w:hAnsiTheme="minorHAnsi"/>
            <w:b w:val="0"/>
            <w:lang w:eastAsia="fr-FR"/>
          </w:rPr>
          <w:tab/>
        </w:r>
        <w:r w:rsidR="001106A4">
          <w:rPr>
            <w:rStyle w:val="Lienhypertexte"/>
          </w:rPr>
          <w:t>– Documentation à fournir</w:t>
        </w:r>
        <w:r w:rsidR="001106A4">
          <w:tab/>
        </w:r>
        <w:r w:rsidR="001106A4">
          <w:fldChar w:fldCharType="begin"/>
        </w:r>
        <w:r w:rsidR="001106A4">
          <w:instrText xml:space="preserve"> PAGEREF _Toc164174638 \h </w:instrText>
        </w:r>
        <w:r w:rsidR="001106A4">
          <w:fldChar w:fldCharType="separate"/>
        </w:r>
        <w:r w:rsidR="001106A4">
          <w:t>9</w:t>
        </w:r>
        <w:r w:rsidR="001106A4">
          <w:fldChar w:fldCharType="end"/>
        </w:r>
      </w:hyperlink>
    </w:p>
    <w:p w14:paraId="25E6CA87" w14:textId="77777777" w:rsidR="00D237C9" w:rsidRDefault="00943CD2">
      <w:pPr>
        <w:pStyle w:val="TM2"/>
        <w:tabs>
          <w:tab w:val="left" w:pos="660"/>
        </w:tabs>
        <w:rPr>
          <w:rFonts w:asciiTheme="minorHAnsi" w:eastAsiaTheme="minorEastAsia" w:hAnsiTheme="minorHAnsi"/>
          <w:b w:val="0"/>
          <w:lang w:eastAsia="fr-FR"/>
        </w:rPr>
      </w:pPr>
      <w:hyperlink w:anchor="_Toc164174639" w:tooltip="#_Toc164174639" w:history="1">
        <w:r w:rsidR="001106A4">
          <w:rPr>
            <w:rStyle w:val="Lienhypertexte"/>
          </w:rPr>
          <w:t>3.9.</w:t>
        </w:r>
        <w:r w:rsidR="001106A4">
          <w:rPr>
            <w:rFonts w:asciiTheme="minorHAnsi" w:eastAsiaTheme="minorEastAsia" w:hAnsiTheme="minorHAnsi"/>
            <w:b w:val="0"/>
            <w:lang w:eastAsia="fr-FR"/>
          </w:rPr>
          <w:tab/>
        </w:r>
        <w:r w:rsidR="001106A4">
          <w:rPr>
            <w:rStyle w:val="Lienhypertexte"/>
          </w:rPr>
          <w:t>– Licence logiciel</w:t>
        </w:r>
        <w:r w:rsidR="001106A4">
          <w:tab/>
        </w:r>
        <w:r w:rsidR="001106A4">
          <w:fldChar w:fldCharType="begin"/>
        </w:r>
        <w:r w:rsidR="001106A4">
          <w:instrText xml:space="preserve"> PAGEREF _Toc164174639 \h </w:instrText>
        </w:r>
        <w:r w:rsidR="001106A4">
          <w:fldChar w:fldCharType="separate"/>
        </w:r>
        <w:r w:rsidR="001106A4">
          <w:t>9</w:t>
        </w:r>
        <w:r w:rsidR="001106A4">
          <w:fldChar w:fldCharType="end"/>
        </w:r>
      </w:hyperlink>
    </w:p>
    <w:p w14:paraId="21F470BD" w14:textId="77777777" w:rsidR="00D237C9" w:rsidRDefault="00943CD2">
      <w:pPr>
        <w:pStyle w:val="TM2"/>
        <w:tabs>
          <w:tab w:val="left" w:pos="660"/>
        </w:tabs>
        <w:rPr>
          <w:rFonts w:asciiTheme="minorHAnsi" w:eastAsiaTheme="minorEastAsia" w:hAnsiTheme="minorHAnsi"/>
          <w:b w:val="0"/>
          <w:lang w:eastAsia="fr-FR"/>
        </w:rPr>
      </w:pPr>
      <w:hyperlink w:anchor="_Toc164174640" w:tooltip="#_Toc164174640" w:history="1">
        <w:r w:rsidR="001106A4">
          <w:rPr>
            <w:rStyle w:val="Lienhypertexte"/>
          </w:rPr>
          <w:t>3.10.</w:t>
        </w:r>
        <w:r w:rsidR="001106A4">
          <w:rPr>
            <w:rFonts w:asciiTheme="minorHAnsi" w:eastAsiaTheme="minorEastAsia" w:hAnsiTheme="minorHAnsi"/>
            <w:b w:val="0"/>
            <w:lang w:eastAsia="fr-FR"/>
          </w:rPr>
          <w:tab/>
        </w:r>
        <w:r w:rsidR="001106A4">
          <w:rPr>
            <w:rStyle w:val="Lienhypertexte"/>
          </w:rPr>
          <w:t>– Formation à l’utilisation et à la maintenance de l’équipement</w:t>
        </w:r>
        <w:r w:rsidR="001106A4">
          <w:tab/>
        </w:r>
        <w:r w:rsidR="001106A4">
          <w:fldChar w:fldCharType="begin"/>
        </w:r>
        <w:r w:rsidR="001106A4">
          <w:instrText xml:space="preserve"> PAGEREF _Toc164174640 \h </w:instrText>
        </w:r>
        <w:r w:rsidR="001106A4">
          <w:fldChar w:fldCharType="separate"/>
        </w:r>
        <w:r w:rsidR="001106A4">
          <w:t>9</w:t>
        </w:r>
        <w:r w:rsidR="001106A4">
          <w:fldChar w:fldCharType="end"/>
        </w:r>
      </w:hyperlink>
    </w:p>
    <w:p w14:paraId="3995D861" w14:textId="77777777" w:rsidR="00D237C9" w:rsidRDefault="00943CD2">
      <w:pPr>
        <w:pStyle w:val="TM2"/>
        <w:tabs>
          <w:tab w:val="left" w:pos="660"/>
        </w:tabs>
        <w:rPr>
          <w:rFonts w:asciiTheme="minorHAnsi" w:eastAsiaTheme="minorEastAsia" w:hAnsiTheme="minorHAnsi"/>
          <w:b w:val="0"/>
          <w:lang w:eastAsia="fr-FR"/>
        </w:rPr>
      </w:pPr>
      <w:hyperlink w:anchor="_Toc164174641" w:tooltip="#_Toc164174641" w:history="1">
        <w:r w:rsidR="001106A4">
          <w:rPr>
            <w:rStyle w:val="Lienhypertexte"/>
          </w:rPr>
          <w:t>3.11.</w:t>
        </w:r>
        <w:r w:rsidR="001106A4">
          <w:rPr>
            <w:rFonts w:asciiTheme="minorHAnsi" w:eastAsiaTheme="minorEastAsia" w:hAnsiTheme="minorHAnsi"/>
            <w:b w:val="0"/>
            <w:lang w:eastAsia="fr-FR"/>
          </w:rPr>
          <w:tab/>
        </w:r>
        <w:r w:rsidR="001106A4">
          <w:rPr>
            <w:rStyle w:val="Lienhypertexte"/>
          </w:rPr>
          <w:t>– Brevets et licences</w:t>
        </w:r>
        <w:r w:rsidR="001106A4">
          <w:tab/>
        </w:r>
        <w:r w:rsidR="001106A4">
          <w:fldChar w:fldCharType="begin"/>
        </w:r>
        <w:r w:rsidR="001106A4">
          <w:instrText xml:space="preserve"> PAGEREF _Toc164174641 \h </w:instrText>
        </w:r>
        <w:r w:rsidR="001106A4">
          <w:fldChar w:fldCharType="separate"/>
        </w:r>
        <w:r w:rsidR="001106A4">
          <w:t>9</w:t>
        </w:r>
        <w:r w:rsidR="001106A4">
          <w:fldChar w:fldCharType="end"/>
        </w:r>
      </w:hyperlink>
    </w:p>
    <w:p w14:paraId="449AD349" w14:textId="77777777" w:rsidR="00D237C9" w:rsidRDefault="00943CD2">
      <w:pPr>
        <w:pStyle w:val="TM2"/>
        <w:tabs>
          <w:tab w:val="left" w:pos="660"/>
        </w:tabs>
        <w:rPr>
          <w:rFonts w:asciiTheme="minorHAnsi" w:eastAsiaTheme="minorEastAsia" w:hAnsiTheme="minorHAnsi"/>
          <w:b w:val="0"/>
          <w:lang w:eastAsia="fr-FR"/>
        </w:rPr>
      </w:pPr>
      <w:hyperlink w:anchor="_Toc164174642" w:tooltip="#_Toc164174642" w:history="1">
        <w:r w:rsidR="001106A4">
          <w:rPr>
            <w:rStyle w:val="Lienhypertexte"/>
          </w:rPr>
          <w:t>3.12.</w:t>
        </w:r>
        <w:r w:rsidR="001106A4">
          <w:rPr>
            <w:rFonts w:asciiTheme="minorHAnsi" w:eastAsiaTheme="minorEastAsia" w:hAnsiTheme="minorHAnsi"/>
            <w:b w:val="0"/>
            <w:lang w:eastAsia="fr-FR"/>
          </w:rPr>
          <w:tab/>
        </w:r>
        <w:r w:rsidR="001106A4">
          <w:rPr>
            <w:rStyle w:val="Lienhypertexte"/>
          </w:rPr>
          <w:t>– Sous-traitance</w:t>
        </w:r>
        <w:r w:rsidR="001106A4">
          <w:tab/>
        </w:r>
        <w:r w:rsidR="001106A4">
          <w:fldChar w:fldCharType="begin"/>
        </w:r>
        <w:r w:rsidR="001106A4">
          <w:instrText xml:space="preserve"> PAGEREF _Toc164174642 \h </w:instrText>
        </w:r>
        <w:r w:rsidR="001106A4">
          <w:fldChar w:fldCharType="separate"/>
        </w:r>
        <w:r w:rsidR="001106A4">
          <w:t>10</w:t>
        </w:r>
        <w:r w:rsidR="001106A4">
          <w:fldChar w:fldCharType="end"/>
        </w:r>
      </w:hyperlink>
    </w:p>
    <w:p w14:paraId="02A86D64" w14:textId="77777777" w:rsidR="00D237C9" w:rsidRDefault="00943CD2">
      <w:pPr>
        <w:pStyle w:val="TM1"/>
        <w:tabs>
          <w:tab w:val="left" w:pos="480"/>
          <w:tab w:val="right" w:leader="dot" w:pos="9054"/>
        </w:tabs>
        <w:rPr>
          <w:rFonts w:asciiTheme="minorHAnsi" w:eastAsiaTheme="minorEastAsia" w:hAnsiTheme="minorHAnsi"/>
          <w:lang w:eastAsia="fr-FR"/>
        </w:rPr>
      </w:pPr>
      <w:hyperlink w:anchor="_Toc164174643" w:tooltip="#_Toc164174643" w:history="1">
        <w:r w:rsidR="001106A4">
          <w:rPr>
            <w:rStyle w:val="Lienhypertexte"/>
            <w:rFonts w:ascii="AvenirNext LT Pro LightCn" w:hAnsi="AvenirNext LT Pro LightCn"/>
            <w:b/>
            <w:i/>
            <w:iCs/>
          </w:rPr>
          <w:t>4.</w:t>
        </w:r>
        <w:r w:rsidR="001106A4">
          <w:rPr>
            <w:rFonts w:asciiTheme="minorHAnsi" w:eastAsiaTheme="minorEastAsia" w:hAnsiTheme="minorHAnsi"/>
            <w:lang w:eastAsia="fr-FR"/>
          </w:rPr>
          <w:tab/>
        </w:r>
        <w:r w:rsidR="001106A4">
          <w:rPr>
            <w:rStyle w:val="Lienhypertexte"/>
            <w:rFonts w:ascii="AvenirNext LT Pro LightCn" w:hAnsi="AvenirNext LT Pro LightCn"/>
          </w:rPr>
          <w:t>DURÉE ET DELAIS D’EXECUTION DU MARCHÉ</w:t>
        </w:r>
        <w:r w:rsidR="001106A4">
          <w:tab/>
        </w:r>
        <w:r w:rsidR="001106A4">
          <w:fldChar w:fldCharType="begin"/>
        </w:r>
        <w:r w:rsidR="001106A4">
          <w:instrText xml:space="preserve"> PAGEREF _Toc164174643 \h </w:instrText>
        </w:r>
        <w:r w:rsidR="001106A4">
          <w:fldChar w:fldCharType="separate"/>
        </w:r>
        <w:r w:rsidR="001106A4">
          <w:t>10</w:t>
        </w:r>
        <w:r w:rsidR="001106A4">
          <w:fldChar w:fldCharType="end"/>
        </w:r>
      </w:hyperlink>
    </w:p>
    <w:p w14:paraId="12794EF3" w14:textId="77777777" w:rsidR="00D237C9" w:rsidRDefault="00943CD2">
      <w:pPr>
        <w:pStyle w:val="TM2"/>
        <w:tabs>
          <w:tab w:val="left" w:pos="660"/>
        </w:tabs>
        <w:rPr>
          <w:rFonts w:asciiTheme="minorHAnsi" w:eastAsiaTheme="minorEastAsia" w:hAnsiTheme="minorHAnsi"/>
          <w:b w:val="0"/>
          <w:lang w:eastAsia="fr-FR"/>
        </w:rPr>
      </w:pPr>
      <w:hyperlink w:anchor="_Toc164174644" w:tooltip="#_Toc164174644" w:history="1">
        <w:r w:rsidR="001106A4">
          <w:rPr>
            <w:rStyle w:val="Lienhypertexte"/>
          </w:rPr>
          <w:t>4.1.</w:t>
        </w:r>
        <w:r w:rsidR="001106A4">
          <w:rPr>
            <w:rFonts w:asciiTheme="minorHAnsi" w:eastAsiaTheme="minorEastAsia" w:hAnsiTheme="minorHAnsi"/>
            <w:b w:val="0"/>
            <w:lang w:eastAsia="fr-FR"/>
          </w:rPr>
          <w:tab/>
        </w:r>
        <w:r w:rsidR="001106A4">
          <w:rPr>
            <w:rStyle w:val="Lienhypertexte"/>
          </w:rPr>
          <w:t>– Durée du marché</w:t>
        </w:r>
        <w:r w:rsidR="001106A4">
          <w:tab/>
        </w:r>
        <w:r w:rsidR="001106A4">
          <w:fldChar w:fldCharType="begin"/>
        </w:r>
        <w:r w:rsidR="001106A4">
          <w:instrText xml:space="preserve"> PAGEREF _Toc164174644 \h </w:instrText>
        </w:r>
        <w:r w:rsidR="001106A4">
          <w:fldChar w:fldCharType="separate"/>
        </w:r>
        <w:r w:rsidR="001106A4">
          <w:t>10</w:t>
        </w:r>
        <w:r w:rsidR="001106A4">
          <w:fldChar w:fldCharType="end"/>
        </w:r>
      </w:hyperlink>
    </w:p>
    <w:p w14:paraId="52D68DE8" w14:textId="77777777" w:rsidR="00D237C9" w:rsidRDefault="00943CD2">
      <w:pPr>
        <w:pStyle w:val="TM2"/>
        <w:tabs>
          <w:tab w:val="left" w:pos="660"/>
        </w:tabs>
        <w:rPr>
          <w:rFonts w:asciiTheme="minorHAnsi" w:eastAsiaTheme="minorEastAsia" w:hAnsiTheme="minorHAnsi"/>
          <w:b w:val="0"/>
          <w:lang w:eastAsia="fr-FR"/>
        </w:rPr>
      </w:pPr>
      <w:hyperlink w:anchor="_Toc164174645" w:tooltip="#_Toc164174645" w:history="1">
        <w:r w:rsidR="001106A4">
          <w:rPr>
            <w:rStyle w:val="Lienhypertexte"/>
          </w:rPr>
          <w:t>4.2.</w:t>
        </w:r>
        <w:r w:rsidR="001106A4">
          <w:rPr>
            <w:rFonts w:asciiTheme="minorHAnsi" w:eastAsiaTheme="minorEastAsia" w:hAnsiTheme="minorHAnsi"/>
            <w:b w:val="0"/>
            <w:lang w:eastAsia="fr-FR"/>
          </w:rPr>
          <w:tab/>
        </w:r>
        <w:r w:rsidR="001106A4">
          <w:rPr>
            <w:rStyle w:val="Lienhypertexte"/>
          </w:rPr>
          <w:t>– Délai de livraison</w:t>
        </w:r>
        <w:r w:rsidR="001106A4">
          <w:tab/>
        </w:r>
        <w:r w:rsidR="001106A4">
          <w:fldChar w:fldCharType="begin"/>
        </w:r>
        <w:r w:rsidR="001106A4">
          <w:instrText xml:space="preserve"> PAGEREF _Toc164174645 \h </w:instrText>
        </w:r>
        <w:r w:rsidR="001106A4">
          <w:fldChar w:fldCharType="separate"/>
        </w:r>
        <w:r w:rsidR="001106A4">
          <w:t>10</w:t>
        </w:r>
        <w:r w:rsidR="001106A4">
          <w:fldChar w:fldCharType="end"/>
        </w:r>
      </w:hyperlink>
    </w:p>
    <w:p w14:paraId="0C0ECEA8" w14:textId="77777777" w:rsidR="00D237C9" w:rsidRDefault="00943CD2">
      <w:pPr>
        <w:pStyle w:val="TM2"/>
        <w:tabs>
          <w:tab w:val="left" w:pos="660"/>
        </w:tabs>
        <w:rPr>
          <w:rFonts w:asciiTheme="minorHAnsi" w:eastAsiaTheme="minorEastAsia" w:hAnsiTheme="minorHAnsi"/>
          <w:b w:val="0"/>
          <w:lang w:eastAsia="fr-FR"/>
        </w:rPr>
      </w:pPr>
      <w:hyperlink w:anchor="_Toc164174646" w:tooltip="#_Toc164174646" w:history="1">
        <w:r w:rsidR="001106A4">
          <w:rPr>
            <w:rStyle w:val="Lienhypertexte"/>
          </w:rPr>
          <w:t>4.3.</w:t>
        </w:r>
        <w:r w:rsidR="001106A4">
          <w:rPr>
            <w:rFonts w:asciiTheme="minorHAnsi" w:eastAsiaTheme="minorEastAsia" w:hAnsiTheme="minorHAnsi"/>
            <w:b w:val="0"/>
            <w:lang w:eastAsia="fr-FR"/>
          </w:rPr>
          <w:tab/>
        </w:r>
        <w:r w:rsidR="001106A4">
          <w:rPr>
            <w:rStyle w:val="Lienhypertexte"/>
          </w:rPr>
          <w:t>- Prolongation du délai</w:t>
        </w:r>
        <w:r w:rsidR="001106A4">
          <w:tab/>
        </w:r>
        <w:r w:rsidR="001106A4">
          <w:fldChar w:fldCharType="begin"/>
        </w:r>
        <w:r w:rsidR="001106A4">
          <w:instrText xml:space="preserve"> PAGEREF _Toc164174646 \h </w:instrText>
        </w:r>
        <w:r w:rsidR="001106A4">
          <w:fldChar w:fldCharType="separate"/>
        </w:r>
        <w:r w:rsidR="001106A4">
          <w:t>10</w:t>
        </w:r>
        <w:r w:rsidR="001106A4">
          <w:fldChar w:fldCharType="end"/>
        </w:r>
      </w:hyperlink>
    </w:p>
    <w:p w14:paraId="2F1AC08C" w14:textId="77777777" w:rsidR="00D237C9" w:rsidRDefault="00943CD2">
      <w:pPr>
        <w:pStyle w:val="TM1"/>
        <w:tabs>
          <w:tab w:val="left" w:pos="480"/>
          <w:tab w:val="right" w:leader="dot" w:pos="9054"/>
        </w:tabs>
        <w:rPr>
          <w:rFonts w:asciiTheme="minorHAnsi" w:eastAsiaTheme="minorEastAsia" w:hAnsiTheme="minorHAnsi"/>
          <w:lang w:eastAsia="fr-FR"/>
        </w:rPr>
      </w:pPr>
      <w:hyperlink w:anchor="_Toc164174647" w:tooltip="#_Toc164174647" w:history="1">
        <w:r w:rsidR="001106A4">
          <w:rPr>
            <w:rStyle w:val="Lienhypertexte"/>
            <w:rFonts w:ascii="AvenirNext LT Pro LightCn" w:hAnsi="AvenirNext LT Pro LightCn"/>
            <w:b/>
          </w:rPr>
          <w:t>5.</w:t>
        </w:r>
        <w:r w:rsidR="001106A4">
          <w:rPr>
            <w:rFonts w:asciiTheme="minorHAnsi" w:eastAsiaTheme="minorEastAsia" w:hAnsiTheme="minorHAnsi"/>
            <w:lang w:eastAsia="fr-FR"/>
          </w:rPr>
          <w:tab/>
        </w:r>
        <w:r w:rsidR="001106A4">
          <w:rPr>
            <w:rStyle w:val="Lienhypertexte"/>
            <w:rFonts w:ascii="AvenirNext LT Pro LightCn" w:hAnsi="AvenirNext LT Pro LightCn"/>
          </w:rPr>
          <w:t>INSTALLATIONS, MISE EN ORDRE DE MARCHE, VÉRIFICATION ET ADMISSION DES FOURNITURES</w:t>
        </w:r>
        <w:r w:rsidR="001106A4">
          <w:tab/>
        </w:r>
        <w:r w:rsidR="001106A4">
          <w:fldChar w:fldCharType="begin"/>
        </w:r>
        <w:r w:rsidR="001106A4">
          <w:instrText xml:space="preserve"> PAGEREF _Toc164174647 \h </w:instrText>
        </w:r>
        <w:r w:rsidR="001106A4">
          <w:fldChar w:fldCharType="separate"/>
        </w:r>
        <w:r w:rsidR="001106A4">
          <w:t>11</w:t>
        </w:r>
        <w:r w:rsidR="001106A4">
          <w:fldChar w:fldCharType="end"/>
        </w:r>
      </w:hyperlink>
    </w:p>
    <w:p w14:paraId="30599992" w14:textId="77777777" w:rsidR="00D237C9" w:rsidRDefault="00943CD2">
      <w:pPr>
        <w:pStyle w:val="TM2"/>
        <w:tabs>
          <w:tab w:val="left" w:pos="660"/>
        </w:tabs>
        <w:rPr>
          <w:rFonts w:asciiTheme="minorHAnsi" w:eastAsiaTheme="minorEastAsia" w:hAnsiTheme="minorHAnsi"/>
          <w:b w:val="0"/>
          <w:lang w:eastAsia="fr-FR"/>
        </w:rPr>
      </w:pPr>
      <w:hyperlink w:anchor="_Toc164174648" w:tooltip="#_Toc164174648" w:history="1">
        <w:r w:rsidR="001106A4">
          <w:rPr>
            <w:rStyle w:val="Lienhypertexte"/>
          </w:rPr>
          <w:t>5.1.</w:t>
        </w:r>
        <w:r w:rsidR="001106A4">
          <w:rPr>
            <w:rFonts w:asciiTheme="minorHAnsi" w:eastAsiaTheme="minorEastAsia" w:hAnsiTheme="minorHAnsi"/>
            <w:b w:val="0"/>
            <w:lang w:eastAsia="fr-FR"/>
          </w:rPr>
          <w:tab/>
        </w:r>
        <w:r w:rsidR="001106A4">
          <w:rPr>
            <w:rStyle w:val="Lienhypertexte"/>
          </w:rPr>
          <w:t>– Installation et mise en ordre de marche</w:t>
        </w:r>
        <w:r w:rsidR="001106A4">
          <w:tab/>
        </w:r>
        <w:r w:rsidR="001106A4">
          <w:fldChar w:fldCharType="begin"/>
        </w:r>
        <w:r w:rsidR="001106A4">
          <w:instrText xml:space="preserve"> PAGEREF _Toc164174648 \h </w:instrText>
        </w:r>
        <w:r w:rsidR="001106A4">
          <w:fldChar w:fldCharType="separate"/>
        </w:r>
        <w:r w:rsidR="001106A4">
          <w:t>11</w:t>
        </w:r>
        <w:r w:rsidR="001106A4">
          <w:fldChar w:fldCharType="end"/>
        </w:r>
      </w:hyperlink>
    </w:p>
    <w:p w14:paraId="7865404A" w14:textId="77777777" w:rsidR="00D237C9" w:rsidRDefault="00943CD2">
      <w:pPr>
        <w:pStyle w:val="TM2"/>
        <w:tabs>
          <w:tab w:val="left" w:pos="660"/>
        </w:tabs>
        <w:rPr>
          <w:rFonts w:asciiTheme="minorHAnsi" w:eastAsiaTheme="minorEastAsia" w:hAnsiTheme="minorHAnsi"/>
          <w:b w:val="0"/>
          <w:lang w:eastAsia="fr-FR"/>
        </w:rPr>
      </w:pPr>
      <w:hyperlink w:anchor="_Toc164174649" w:tooltip="#_Toc164174649" w:history="1">
        <w:r w:rsidR="001106A4">
          <w:rPr>
            <w:rStyle w:val="Lienhypertexte"/>
          </w:rPr>
          <w:t>5.2.</w:t>
        </w:r>
        <w:r w:rsidR="001106A4">
          <w:rPr>
            <w:rFonts w:asciiTheme="minorHAnsi" w:eastAsiaTheme="minorEastAsia" w:hAnsiTheme="minorHAnsi"/>
            <w:b w:val="0"/>
            <w:lang w:eastAsia="fr-FR"/>
          </w:rPr>
          <w:tab/>
        </w:r>
        <w:r w:rsidR="001106A4">
          <w:rPr>
            <w:rStyle w:val="Lienhypertexte"/>
          </w:rPr>
          <w:t>– Opérations de vérification – Admission des prestations</w:t>
        </w:r>
        <w:r w:rsidR="001106A4">
          <w:tab/>
        </w:r>
        <w:r w:rsidR="001106A4">
          <w:fldChar w:fldCharType="begin"/>
        </w:r>
        <w:r w:rsidR="001106A4">
          <w:instrText xml:space="preserve"> PAGEREF _Toc164174649 \h </w:instrText>
        </w:r>
        <w:r w:rsidR="001106A4">
          <w:fldChar w:fldCharType="separate"/>
        </w:r>
        <w:r w:rsidR="001106A4">
          <w:t>11</w:t>
        </w:r>
        <w:r w:rsidR="001106A4">
          <w:fldChar w:fldCharType="end"/>
        </w:r>
      </w:hyperlink>
    </w:p>
    <w:p w14:paraId="5F60574F" w14:textId="77777777" w:rsidR="00D237C9" w:rsidRDefault="00943CD2">
      <w:pPr>
        <w:pStyle w:val="TM1"/>
        <w:tabs>
          <w:tab w:val="left" w:pos="480"/>
          <w:tab w:val="right" w:leader="dot" w:pos="9054"/>
        </w:tabs>
        <w:rPr>
          <w:rFonts w:asciiTheme="minorHAnsi" w:eastAsiaTheme="minorEastAsia" w:hAnsiTheme="minorHAnsi"/>
          <w:lang w:eastAsia="fr-FR"/>
        </w:rPr>
      </w:pPr>
      <w:hyperlink w:anchor="_Toc164174650" w:tooltip="#_Toc164174650" w:history="1">
        <w:r w:rsidR="001106A4">
          <w:rPr>
            <w:rStyle w:val="Lienhypertexte"/>
            <w:rFonts w:ascii="AvenirNext LT Pro LightCn" w:hAnsi="AvenirNext LT Pro LightCn"/>
            <w:b/>
          </w:rPr>
          <w:t>6.</w:t>
        </w:r>
        <w:r w:rsidR="001106A4">
          <w:rPr>
            <w:rFonts w:asciiTheme="minorHAnsi" w:eastAsiaTheme="minorEastAsia" w:hAnsiTheme="minorHAnsi"/>
            <w:lang w:eastAsia="fr-FR"/>
          </w:rPr>
          <w:tab/>
        </w:r>
        <w:r w:rsidR="001106A4">
          <w:rPr>
            <w:rStyle w:val="Lienhypertexte"/>
            <w:rFonts w:ascii="AvenirNext LT Pro LightCn" w:hAnsi="AvenirNext LT Pro LightCn"/>
          </w:rPr>
          <w:t>ZONES A REGIME RESTRICTIF (ZRR) ET SECURITE DE L’INFORMATION</w:t>
        </w:r>
        <w:r w:rsidR="001106A4">
          <w:tab/>
        </w:r>
        <w:r w:rsidR="001106A4">
          <w:fldChar w:fldCharType="begin"/>
        </w:r>
        <w:r w:rsidR="001106A4">
          <w:instrText xml:space="preserve"> PAGEREF _Toc164174650 \h </w:instrText>
        </w:r>
        <w:r w:rsidR="001106A4">
          <w:fldChar w:fldCharType="separate"/>
        </w:r>
        <w:r w:rsidR="001106A4">
          <w:t>11</w:t>
        </w:r>
        <w:r w:rsidR="001106A4">
          <w:fldChar w:fldCharType="end"/>
        </w:r>
      </w:hyperlink>
    </w:p>
    <w:p w14:paraId="0E02586E" w14:textId="77777777" w:rsidR="00D237C9" w:rsidRDefault="00943CD2">
      <w:pPr>
        <w:pStyle w:val="TM1"/>
        <w:tabs>
          <w:tab w:val="left" w:pos="480"/>
          <w:tab w:val="right" w:leader="dot" w:pos="9054"/>
        </w:tabs>
        <w:rPr>
          <w:rFonts w:asciiTheme="minorHAnsi" w:eastAsiaTheme="minorEastAsia" w:hAnsiTheme="minorHAnsi"/>
          <w:lang w:eastAsia="fr-FR"/>
        </w:rPr>
      </w:pPr>
      <w:hyperlink w:anchor="_Toc164174651" w:tooltip="#_Toc164174651" w:history="1">
        <w:r w:rsidR="001106A4">
          <w:rPr>
            <w:rStyle w:val="Lienhypertexte"/>
            <w:rFonts w:ascii="AvenirNext LT Pro LightCn" w:hAnsi="AvenirNext LT Pro LightCn"/>
            <w:b/>
          </w:rPr>
          <w:t>7.</w:t>
        </w:r>
        <w:r w:rsidR="001106A4">
          <w:rPr>
            <w:rFonts w:asciiTheme="minorHAnsi" w:eastAsiaTheme="minorEastAsia" w:hAnsiTheme="minorHAnsi"/>
            <w:lang w:eastAsia="fr-FR"/>
          </w:rPr>
          <w:tab/>
        </w:r>
        <w:r w:rsidR="001106A4">
          <w:rPr>
            <w:rStyle w:val="Lienhypertexte"/>
            <w:rFonts w:ascii="AvenirNext LT Pro LightCn" w:hAnsi="AvenirNext LT Pro LightCn"/>
          </w:rPr>
          <w:t>PRIX ET MODALITÉS DE PAIEMENTS</w:t>
        </w:r>
        <w:r w:rsidR="001106A4">
          <w:tab/>
        </w:r>
        <w:r w:rsidR="001106A4">
          <w:fldChar w:fldCharType="begin"/>
        </w:r>
        <w:r w:rsidR="001106A4">
          <w:instrText xml:space="preserve"> PAGEREF _Toc164174651 \h </w:instrText>
        </w:r>
        <w:r w:rsidR="001106A4">
          <w:fldChar w:fldCharType="separate"/>
        </w:r>
        <w:r w:rsidR="001106A4">
          <w:t>12</w:t>
        </w:r>
        <w:r w:rsidR="001106A4">
          <w:fldChar w:fldCharType="end"/>
        </w:r>
      </w:hyperlink>
    </w:p>
    <w:p w14:paraId="0B072890" w14:textId="77777777" w:rsidR="00D237C9" w:rsidRDefault="00943CD2">
      <w:pPr>
        <w:pStyle w:val="TM2"/>
        <w:tabs>
          <w:tab w:val="left" w:pos="660"/>
        </w:tabs>
        <w:rPr>
          <w:rFonts w:asciiTheme="minorHAnsi" w:eastAsiaTheme="minorEastAsia" w:hAnsiTheme="minorHAnsi"/>
          <w:b w:val="0"/>
          <w:lang w:eastAsia="fr-FR"/>
        </w:rPr>
      </w:pPr>
      <w:hyperlink w:anchor="_Toc164174652" w:tooltip="#_Toc164174652" w:history="1">
        <w:r w:rsidR="001106A4">
          <w:rPr>
            <w:rStyle w:val="Lienhypertexte"/>
          </w:rPr>
          <w:t>7.1.</w:t>
        </w:r>
        <w:r w:rsidR="001106A4">
          <w:rPr>
            <w:rFonts w:asciiTheme="minorHAnsi" w:eastAsiaTheme="minorEastAsia" w:hAnsiTheme="minorHAnsi"/>
            <w:b w:val="0"/>
            <w:lang w:eastAsia="fr-FR"/>
          </w:rPr>
          <w:tab/>
        </w:r>
        <w:r w:rsidR="001106A4">
          <w:rPr>
            <w:rStyle w:val="Lienhypertexte"/>
          </w:rPr>
          <w:t>Prix du marché</w:t>
        </w:r>
        <w:r w:rsidR="001106A4">
          <w:tab/>
        </w:r>
        <w:r w:rsidR="001106A4">
          <w:fldChar w:fldCharType="begin"/>
        </w:r>
        <w:r w:rsidR="001106A4">
          <w:instrText xml:space="preserve"> PAGEREF _Toc164174652 \h </w:instrText>
        </w:r>
        <w:r w:rsidR="001106A4">
          <w:fldChar w:fldCharType="separate"/>
        </w:r>
        <w:r w:rsidR="001106A4">
          <w:t>12</w:t>
        </w:r>
        <w:r w:rsidR="001106A4">
          <w:fldChar w:fldCharType="end"/>
        </w:r>
      </w:hyperlink>
    </w:p>
    <w:p w14:paraId="2CABE36C" w14:textId="77777777" w:rsidR="00D237C9" w:rsidRDefault="00943CD2">
      <w:pPr>
        <w:pStyle w:val="TM2"/>
        <w:tabs>
          <w:tab w:val="left" w:pos="660"/>
        </w:tabs>
        <w:rPr>
          <w:rFonts w:asciiTheme="minorHAnsi" w:eastAsiaTheme="minorEastAsia" w:hAnsiTheme="minorHAnsi"/>
          <w:b w:val="0"/>
          <w:lang w:eastAsia="fr-FR"/>
        </w:rPr>
      </w:pPr>
      <w:hyperlink w:anchor="_Toc164174653" w:tooltip="#_Toc164174653" w:history="1">
        <w:r w:rsidR="001106A4">
          <w:rPr>
            <w:rStyle w:val="Lienhypertexte"/>
          </w:rPr>
          <w:t>7.2.</w:t>
        </w:r>
        <w:r w:rsidR="001106A4">
          <w:rPr>
            <w:rFonts w:asciiTheme="minorHAnsi" w:eastAsiaTheme="minorEastAsia" w:hAnsiTheme="minorHAnsi"/>
            <w:b w:val="0"/>
            <w:lang w:eastAsia="fr-FR"/>
          </w:rPr>
          <w:tab/>
        </w:r>
        <w:r w:rsidR="001106A4">
          <w:rPr>
            <w:rStyle w:val="Lienhypertexte"/>
          </w:rPr>
          <w:t>Echéancier de paiement</w:t>
        </w:r>
        <w:r w:rsidR="001106A4">
          <w:tab/>
        </w:r>
        <w:r w:rsidR="001106A4">
          <w:fldChar w:fldCharType="begin"/>
        </w:r>
        <w:r w:rsidR="001106A4">
          <w:instrText xml:space="preserve"> PAGEREF _Toc164174653 \h </w:instrText>
        </w:r>
        <w:r w:rsidR="001106A4">
          <w:fldChar w:fldCharType="separate"/>
        </w:r>
        <w:r w:rsidR="001106A4">
          <w:t>13</w:t>
        </w:r>
        <w:r w:rsidR="001106A4">
          <w:fldChar w:fldCharType="end"/>
        </w:r>
      </w:hyperlink>
    </w:p>
    <w:p w14:paraId="5940682C" w14:textId="77777777" w:rsidR="00D237C9" w:rsidRDefault="00943CD2">
      <w:pPr>
        <w:pStyle w:val="TM2"/>
        <w:tabs>
          <w:tab w:val="left" w:pos="660"/>
        </w:tabs>
        <w:rPr>
          <w:rFonts w:asciiTheme="minorHAnsi" w:eastAsiaTheme="minorEastAsia" w:hAnsiTheme="minorHAnsi"/>
          <w:b w:val="0"/>
          <w:lang w:eastAsia="fr-FR"/>
        </w:rPr>
      </w:pPr>
      <w:hyperlink w:anchor="_Toc164174654" w:tooltip="#_Toc164174654" w:history="1">
        <w:r w:rsidR="001106A4">
          <w:rPr>
            <w:rStyle w:val="Lienhypertexte"/>
          </w:rPr>
          <w:t>7.3.</w:t>
        </w:r>
        <w:r w:rsidR="001106A4">
          <w:rPr>
            <w:rFonts w:asciiTheme="minorHAnsi" w:eastAsiaTheme="minorEastAsia" w:hAnsiTheme="minorHAnsi"/>
            <w:b w:val="0"/>
            <w:lang w:eastAsia="fr-FR"/>
          </w:rPr>
          <w:tab/>
        </w:r>
        <w:r w:rsidR="001106A4">
          <w:rPr>
            <w:rStyle w:val="Lienhypertexte"/>
          </w:rPr>
          <w:t>Modalités de paiement</w:t>
        </w:r>
        <w:r w:rsidR="001106A4">
          <w:tab/>
        </w:r>
        <w:r w:rsidR="001106A4">
          <w:fldChar w:fldCharType="begin"/>
        </w:r>
        <w:r w:rsidR="001106A4">
          <w:instrText xml:space="preserve"> PAGEREF _Toc164174654 \h </w:instrText>
        </w:r>
        <w:r w:rsidR="001106A4">
          <w:fldChar w:fldCharType="separate"/>
        </w:r>
        <w:r w:rsidR="001106A4">
          <w:t>13</w:t>
        </w:r>
        <w:r w:rsidR="001106A4">
          <w:fldChar w:fldCharType="end"/>
        </w:r>
      </w:hyperlink>
    </w:p>
    <w:p w14:paraId="16E933D5" w14:textId="77777777" w:rsidR="00D237C9" w:rsidRDefault="00943CD2">
      <w:pPr>
        <w:pStyle w:val="TM1"/>
        <w:tabs>
          <w:tab w:val="left" w:pos="480"/>
          <w:tab w:val="right" w:leader="dot" w:pos="9054"/>
        </w:tabs>
        <w:rPr>
          <w:rFonts w:asciiTheme="minorHAnsi" w:eastAsiaTheme="minorEastAsia" w:hAnsiTheme="minorHAnsi"/>
          <w:lang w:eastAsia="fr-FR"/>
        </w:rPr>
      </w:pPr>
      <w:hyperlink w:anchor="_Toc164174655" w:tooltip="#_Toc164174655" w:history="1">
        <w:r w:rsidR="001106A4">
          <w:rPr>
            <w:rStyle w:val="Lienhypertexte"/>
            <w:rFonts w:ascii="AvenirNext LT Pro LightCn" w:hAnsi="AvenirNext LT Pro LightCn"/>
            <w:b/>
          </w:rPr>
          <w:t>8.</w:t>
        </w:r>
        <w:r w:rsidR="001106A4">
          <w:rPr>
            <w:rFonts w:asciiTheme="minorHAnsi" w:eastAsiaTheme="minorEastAsia" w:hAnsiTheme="minorHAnsi"/>
            <w:lang w:eastAsia="fr-FR"/>
          </w:rPr>
          <w:tab/>
        </w:r>
        <w:r w:rsidR="001106A4">
          <w:rPr>
            <w:rStyle w:val="Lienhypertexte"/>
            <w:rFonts w:ascii="AvenirNext LT Pro LightCn" w:hAnsi="AvenirNext LT Pro LightCn"/>
          </w:rPr>
          <w:t>AVANCE</w:t>
        </w:r>
        <w:r w:rsidR="001106A4">
          <w:tab/>
        </w:r>
        <w:r w:rsidR="001106A4">
          <w:fldChar w:fldCharType="begin"/>
        </w:r>
        <w:r w:rsidR="001106A4">
          <w:instrText xml:space="preserve"> PAGEREF _Toc164174655 \h </w:instrText>
        </w:r>
        <w:r w:rsidR="001106A4">
          <w:fldChar w:fldCharType="separate"/>
        </w:r>
        <w:r w:rsidR="001106A4">
          <w:t>14</w:t>
        </w:r>
        <w:r w:rsidR="001106A4">
          <w:fldChar w:fldCharType="end"/>
        </w:r>
      </w:hyperlink>
    </w:p>
    <w:p w14:paraId="0B762FAC" w14:textId="77777777" w:rsidR="00D237C9" w:rsidRDefault="00943CD2">
      <w:pPr>
        <w:pStyle w:val="TM1"/>
        <w:tabs>
          <w:tab w:val="left" w:pos="480"/>
          <w:tab w:val="right" w:leader="dot" w:pos="9054"/>
        </w:tabs>
        <w:rPr>
          <w:rFonts w:asciiTheme="minorHAnsi" w:eastAsiaTheme="minorEastAsia" w:hAnsiTheme="minorHAnsi"/>
          <w:lang w:eastAsia="fr-FR"/>
        </w:rPr>
      </w:pPr>
      <w:hyperlink w:anchor="_Toc164174656" w:tooltip="#_Toc164174656" w:history="1">
        <w:r w:rsidR="001106A4">
          <w:rPr>
            <w:rStyle w:val="Lienhypertexte"/>
            <w:rFonts w:ascii="AvenirNext LT Pro LightCn" w:hAnsi="AvenirNext LT Pro LightCn"/>
            <w:b/>
          </w:rPr>
          <w:t>9.</w:t>
        </w:r>
        <w:r w:rsidR="001106A4">
          <w:rPr>
            <w:rFonts w:asciiTheme="minorHAnsi" w:eastAsiaTheme="minorEastAsia" w:hAnsiTheme="minorHAnsi"/>
            <w:lang w:eastAsia="fr-FR"/>
          </w:rPr>
          <w:tab/>
        </w:r>
        <w:r w:rsidR="001106A4">
          <w:rPr>
            <w:rStyle w:val="Lienhypertexte"/>
            <w:rFonts w:ascii="AvenirNext LT Pro LightCn" w:hAnsi="AvenirNext LT Pro LightCn"/>
          </w:rPr>
          <w:t>PENALITES APPLICABLES</w:t>
        </w:r>
        <w:r w:rsidR="001106A4">
          <w:tab/>
        </w:r>
        <w:r w:rsidR="001106A4">
          <w:fldChar w:fldCharType="begin"/>
        </w:r>
        <w:r w:rsidR="001106A4">
          <w:instrText xml:space="preserve"> PAGEREF _Toc164174656 \h </w:instrText>
        </w:r>
        <w:r w:rsidR="001106A4">
          <w:fldChar w:fldCharType="separate"/>
        </w:r>
        <w:r w:rsidR="001106A4">
          <w:t>15</w:t>
        </w:r>
        <w:r w:rsidR="001106A4">
          <w:fldChar w:fldCharType="end"/>
        </w:r>
      </w:hyperlink>
    </w:p>
    <w:p w14:paraId="500FA34A" w14:textId="77777777" w:rsidR="00D237C9" w:rsidRDefault="00943CD2">
      <w:pPr>
        <w:pStyle w:val="TM2"/>
        <w:tabs>
          <w:tab w:val="left" w:pos="660"/>
        </w:tabs>
        <w:rPr>
          <w:rFonts w:asciiTheme="minorHAnsi" w:eastAsiaTheme="minorEastAsia" w:hAnsiTheme="minorHAnsi"/>
          <w:b w:val="0"/>
          <w:lang w:eastAsia="fr-FR"/>
        </w:rPr>
      </w:pPr>
      <w:hyperlink w:anchor="_Toc164174657" w:tooltip="#_Toc164174657" w:history="1">
        <w:r w:rsidR="001106A4">
          <w:rPr>
            <w:rStyle w:val="Lienhypertexte"/>
          </w:rPr>
          <w:t>9.1.</w:t>
        </w:r>
        <w:r w:rsidR="001106A4">
          <w:rPr>
            <w:rFonts w:asciiTheme="minorHAnsi" w:eastAsiaTheme="minorEastAsia" w:hAnsiTheme="minorHAnsi"/>
            <w:b w:val="0"/>
            <w:lang w:eastAsia="fr-FR"/>
          </w:rPr>
          <w:tab/>
        </w:r>
        <w:r w:rsidR="001106A4">
          <w:rPr>
            <w:rStyle w:val="Lienhypertexte"/>
          </w:rPr>
          <w:t>- Pénalités pour retard</w:t>
        </w:r>
        <w:r w:rsidR="001106A4">
          <w:tab/>
        </w:r>
        <w:r w:rsidR="001106A4">
          <w:fldChar w:fldCharType="begin"/>
        </w:r>
        <w:r w:rsidR="001106A4">
          <w:instrText xml:space="preserve"> PAGEREF _Toc164174657 \h </w:instrText>
        </w:r>
        <w:r w:rsidR="001106A4">
          <w:fldChar w:fldCharType="separate"/>
        </w:r>
        <w:r w:rsidR="001106A4">
          <w:t>15</w:t>
        </w:r>
        <w:r w:rsidR="001106A4">
          <w:fldChar w:fldCharType="end"/>
        </w:r>
      </w:hyperlink>
    </w:p>
    <w:p w14:paraId="02F82481" w14:textId="77777777" w:rsidR="00D237C9" w:rsidRDefault="00943CD2">
      <w:pPr>
        <w:pStyle w:val="TM2"/>
        <w:tabs>
          <w:tab w:val="left" w:pos="660"/>
        </w:tabs>
        <w:rPr>
          <w:rFonts w:asciiTheme="minorHAnsi" w:eastAsiaTheme="minorEastAsia" w:hAnsiTheme="minorHAnsi"/>
          <w:b w:val="0"/>
          <w:lang w:eastAsia="fr-FR"/>
        </w:rPr>
      </w:pPr>
      <w:hyperlink w:anchor="_Toc164174658" w:tooltip="#_Toc164174658" w:history="1">
        <w:r w:rsidR="001106A4">
          <w:rPr>
            <w:rStyle w:val="Lienhypertexte"/>
          </w:rPr>
          <w:t>9.2.</w:t>
        </w:r>
        <w:r w:rsidR="001106A4">
          <w:rPr>
            <w:rFonts w:asciiTheme="minorHAnsi" w:eastAsiaTheme="minorEastAsia" w:hAnsiTheme="minorHAnsi"/>
            <w:b w:val="0"/>
            <w:lang w:eastAsia="fr-FR"/>
          </w:rPr>
          <w:tab/>
        </w:r>
        <w:r w:rsidR="001106A4">
          <w:rPr>
            <w:rStyle w:val="Lienhypertexte"/>
          </w:rPr>
          <w:t>- - Pénalités pour non-respect du délai d’intervention en cas de panne</w:t>
        </w:r>
        <w:r w:rsidR="001106A4">
          <w:tab/>
        </w:r>
        <w:r w:rsidR="001106A4">
          <w:fldChar w:fldCharType="begin"/>
        </w:r>
        <w:r w:rsidR="001106A4">
          <w:instrText xml:space="preserve"> PAGEREF _Toc164174658 \h </w:instrText>
        </w:r>
        <w:r w:rsidR="001106A4">
          <w:fldChar w:fldCharType="separate"/>
        </w:r>
        <w:r w:rsidR="001106A4">
          <w:t>15</w:t>
        </w:r>
        <w:r w:rsidR="001106A4">
          <w:fldChar w:fldCharType="end"/>
        </w:r>
      </w:hyperlink>
    </w:p>
    <w:p w14:paraId="049D1B72" w14:textId="77777777" w:rsidR="00D237C9" w:rsidRDefault="00943CD2">
      <w:pPr>
        <w:pStyle w:val="TM2"/>
        <w:tabs>
          <w:tab w:val="left" w:pos="660"/>
        </w:tabs>
        <w:rPr>
          <w:rFonts w:asciiTheme="minorHAnsi" w:eastAsiaTheme="minorEastAsia" w:hAnsiTheme="minorHAnsi"/>
          <w:b w:val="0"/>
          <w:lang w:eastAsia="fr-FR"/>
        </w:rPr>
      </w:pPr>
      <w:hyperlink w:anchor="_Toc164174659" w:tooltip="#_Toc164174659" w:history="1">
        <w:r w:rsidR="001106A4">
          <w:rPr>
            <w:rStyle w:val="Lienhypertexte"/>
          </w:rPr>
          <w:t>9.3.</w:t>
        </w:r>
        <w:r w:rsidR="001106A4">
          <w:rPr>
            <w:rFonts w:asciiTheme="minorHAnsi" w:eastAsiaTheme="minorEastAsia" w:hAnsiTheme="minorHAnsi"/>
            <w:b w:val="0"/>
            <w:lang w:eastAsia="fr-FR"/>
          </w:rPr>
          <w:tab/>
        </w:r>
        <w:r w:rsidR="001106A4">
          <w:rPr>
            <w:rStyle w:val="Lienhypertexte"/>
          </w:rPr>
          <w:t>- Pénalités pour non-respect du délai de mise au point ou de réparation en cas de panne</w:t>
        </w:r>
        <w:r w:rsidR="001106A4">
          <w:tab/>
        </w:r>
        <w:r w:rsidR="001106A4">
          <w:fldChar w:fldCharType="begin"/>
        </w:r>
        <w:r w:rsidR="001106A4">
          <w:instrText xml:space="preserve"> PAGEREF _Toc164174659 \h </w:instrText>
        </w:r>
        <w:r w:rsidR="001106A4">
          <w:fldChar w:fldCharType="separate"/>
        </w:r>
        <w:r w:rsidR="001106A4">
          <w:t>16</w:t>
        </w:r>
        <w:r w:rsidR="001106A4">
          <w:fldChar w:fldCharType="end"/>
        </w:r>
      </w:hyperlink>
    </w:p>
    <w:p w14:paraId="1A3288D6" w14:textId="77777777" w:rsidR="00D237C9" w:rsidRDefault="00943CD2">
      <w:pPr>
        <w:pStyle w:val="TM2"/>
        <w:tabs>
          <w:tab w:val="left" w:pos="660"/>
        </w:tabs>
        <w:rPr>
          <w:rFonts w:asciiTheme="minorHAnsi" w:eastAsiaTheme="minorEastAsia" w:hAnsiTheme="minorHAnsi"/>
          <w:b w:val="0"/>
          <w:lang w:eastAsia="fr-FR"/>
        </w:rPr>
      </w:pPr>
      <w:hyperlink w:anchor="_Toc164174660" w:tooltip="#_Toc164174660" w:history="1">
        <w:r w:rsidR="001106A4">
          <w:rPr>
            <w:rStyle w:val="Lienhypertexte"/>
          </w:rPr>
          <w:t>9.4.</w:t>
        </w:r>
        <w:r w:rsidR="001106A4">
          <w:rPr>
            <w:rFonts w:asciiTheme="minorHAnsi" w:eastAsiaTheme="minorEastAsia" w:hAnsiTheme="minorHAnsi"/>
            <w:b w:val="0"/>
            <w:lang w:eastAsia="fr-FR"/>
          </w:rPr>
          <w:tab/>
        </w:r>
        <w:r w:rsidR="001106A4">
          <w:rPr>
            <w:rStyle w:val="Lienhypertexte"/>
          </w:rPr>
          <w:t>- Pénalités pour indisponibilité</w:t>
        </w:r>
        <w:r w:rsidR="001106A4">
          <w:tab/>
        </w:r>
        <w:r w:rsidR="001106A4">
          <w:fldChar w:fldCharType="begin"/>
        </w:r>
        <w:r w:rsidR="001106A4">
          <w:instrText xml:space="preserve"> PAGEREF _Toc164174660 \h </w:instrText>
        </w:r>
        <w:r w:rsidR="001106A4">
          <w:fldChar w:fldCharType="separate"/>
        </w:r>
        <w:r w:rsidR="001106A4">
          <w:t>16</w:t>
        </w:r>
        <w:r w:rsidR="001106A4">
          <w:fldChar w:fldCharType="end"/>
        </w:r>
      </w:hyperlink>
    </w:p>
    <w:p w14:paraId="1FB8287E" w14:textId="77777777" w:rsidR="00D237C9" w:rsidRDefault="00943CD2">
      <w:pPr>
        <w:pStyle w:val="TM2"/>
        <w:tabs>
          <w:tab w:val="left" w:pos="660"/>
        </w:tabs>
        <w:rPr>
          <w:rFonts w:asciiTheme="minorHAnsi" w:eastAsiaTheme="minorEastAsia" w:hAnsiTheme="minorHAnsi"/>
          <w:b w:val="0"/>
          <w:lang w:eastAsia="fr-FR"/>
        </w:rPr>
      </w:pPr>
      <w:hyperlink w:anchor="_Toc164174661" w:tooltip="#_Toc164174661" w:history="1">
        <w:r w:rsidR="001106A4">
          <w:rPr>
            <w:rStyle w:val="Lienhypertexte"/>
          </w:rPr>
          <w:t>9.5.</w:t>
        </w:r>
        <w:r w:rsidR="001106A4">
          <w:rPr>
            <w:rFonts w:asciiTheme="minorHAnsi" w:eastAsiaTheme="minorEastAsia" w:hAnsiTheme="minorHAnsi"/>
            <w:b w:val="0"/>
            <w:lang w:eastAsia="fr-FR"/>
          </w:rPr>
          <w:tab/>
        </w:r>
        <w:r w:rsidR="001106A4">
          <w:rPr>
            <w:rStyle w:val="Lienhypertexte"/>
          </w:rPr>
          <w:t>Pénalités pour indisponibilité des pièces détachées</w:t>
        </w:r>
        <w:r w:rsidR="001106A4">
          <w:tab/>
        </w:r>
        <w:r w:rsidR="001106A4">
          <w:fldChar w:fldCharType="begin"/>
        </w:r>
        <w:r w:rsidR="001106A4">
          <w:instrText xml:space="preserve"> PAGEREF _Toc164174661 \h </w:instrText>
        </w:r>
        <w:r w:rsidR="001106A4">
          <w:fldChar w:fldCharType="separate"/>
        </w:r>
        <w:r w:rsidR="001106A4">
          <w:t>17</w:t>
        </w:r>
        <w:r w:rsidR="001106A4">
          <w:fldChar w:fldCharType="end"/>
        </w:r>
      </w:hyperlink>
    </w:p>
    <w:p w14:paraId="76F61B30" w14:textId="77777777" w:rsidR="00D237C9" w:rsidRDefault="00943CD2">
      <w:pPr>
        <w:pStyle w:val="TM2"/>
        <w:tabs>
          <w:tab w:val="left" w:pos="660"/>
        </w:tabs>
        <w:rPr>
          <w:rFonts w:asciiTheme="minorHAnsi" w:eastAsiaTheme="minorEastAsia" w:hAnsiTheme="minorHAnsi"/>
          <w:b w:val="0"/>
          <w:lang w:eastAsia="fr-FR"/>
        </w:rPr>
      </w:pPr>
      <w:hyperlink w:anchor="_Toc164174662" w:tooltip="#_Toc164174662" w:history="1">
        <w:r w:rsidR="001106A4">
          <w:rPr>
            <w:rStyle w:val="Lienhypertexte"/>
          </w:rPr>
          <w:t>9.6.</w:t>
        </w:r>
        <w:r w:rsidR="001106A4">
          <w:rPr>
            <w:rFonts w:asciiTheme="minorHAnsi" w:eastAsiaTheme="minorEastAsia" w:hAnsiTheme="minorHAnsi"/>
            <w:b w:val="0"/>
            <w:lang w:eastAsia="fr-FR"/>
          </w:rPr>
          <w:tab/>
        </w:r>
        <w:r w:rsidR="001106A4">
          <w:rPr>
            <w:rStyle w:val="Lienhypertexte"/>
          </w:rPr>
          <w:t>Pénalités pour non-respect des formalités relatives à la lutte contre le travail illégal</w:t>
        </w:r>
        <w:r w:rsidR="001106A4">
          <w:tab/>
        </w:r>
        <w:r w:rsidR="001106A4">
          <w:fldChar w:fldCharType="begin"/>
        </w:r>
        <w:r w:rsidR="001106A4">
          <w:instrText xml:space="preserve"> PAGEREF _Toc164174662 \h </w:instrText>
        </w:r>
        <w:r w:rsidR="001106A4">
          <w:fldChar w:fldCharType="separate"/>
        </w:r>
        <w:r w:rsidR="001106A4">
          <w:t>17</w:t>
        </w:r>
        <w:r w:rsidR="001106A4">
          <w:fldChar w:fldCharType="end"/>
        </w:r>
      </w:hyperlink>
    </w:p>
    <w:p w14:paraId="5A7DE57A" w14:textId="77777777" w:rsidR="00D237C9" w:rsidRDefault="00943CD2">
      <w:pPr>
        <w:pStyle w:val="TM1"/>
        <w:tabs>
          <w:tab w:val="left" w:pos="660"/>
          <w:tab w:val="right" w:leader="dot" w:pos="9054"/>
        </w:tabs>
        <w:rPr>
          <w:rFonts w:asciiTheme="minorHAnsi" w:eastAsiaTheme="minorEastAsia" w:hAnsiTheme="minorHAnsi"/>
          <w:lang w:eastAsia="fr-FR"/>
        </w:rPr>
      </w:pPr>
      <w:hyperlink w:anchor="_Toc164174663" w:tooltip="#_Toc164174663" w:history="1">
        <w:r w:rsidR="001106A4">
          <w:rPr>
            <w:rStyle w:val="Lienhypertexte"/>
            <w:rFonts w:ascii="AvenirNext LT Pro LightCn" w:hAnsi="AvenirNext LT Pro LightCn"/>
            <w:b/>
          </w:rPr>
          <w:t>10.</w:t>
        </w:r>
        <w:r w:rsidR="001106A4">
          <w:rPr>
            <w:rFonts w:asciiTheme="minorHAnsi" w:eastAsiaTheme="minorEastAsia" w:hAnsiTheme="minorHAnsi"/>
            <w:lang w:eastAsia="fr-FR"/>
          </w:rPr>
          <w:tab/>
        </w:r>
        <w:r w:rsidR="001106A4">
          <w:rPr>
            <w:rStyle w:val="Lienhypertexte"/>
            <w:rFonts w:ascii="AvenirNext LT Pro LightCn" w:hAnsi="AvenirNext LT Pro LightCn"/>
          </w:rPr>
          <w:t>CLAUSES ENVIRONNEMENTALES</w:t>
        </w:r>
        <w:r w:rsidR="001106A4">
          <w:tab/>
        </w:r>
        <w:r w:rsidR="001106A4">
          <w:fldChar w:fldCharType="begin"/>
        </w:r>
        <w:r w:rsidR="001106A4">
          <w:instrText xml:space="preserve"> PAGEREF _Toc164174663 \h </w:instrText>
        </w:r>
        <w:r w:rsidR="001106A4">
          <w:fldChar w:fldCharType="separate"/>
        </w:r>
        <w:r w:rsidR="001106A4">
          <w:t>17</w:t>
        </w:r>
        <w:r w:rsidR="001106A4">
          <w:fldChar w:fldCharType="end"/>
        </w:r>
      </w:hyperlink>
    </w:p>
    <w:p w14:paraId="2AD9643F" w14:textId="77777777" w:rsidR="00D237C9" w:rsidRDefault="00943CD2">
      <w:pPr>
        <w:pStyle w:val="TM1"/>
        <w:tabs>
          <w:tab w:val="left" w:pos="660"/>
          <w:tab w:val="right" w:leader="dot" w:pos="9054"/>
        </w:tabs>
        <w:rPr>
          <w:rFonts w:asciiTheme="minorHAnsi" w:eastAsiaTheme="minorEastAsia" w:hAnsiTheme="minorHAnsi"/>
          <w:lang w:eastAsia="fr-FR"/>
        </w:rPr>
      </w:pPr>
      <w:hyperlink w:anchor="_Toc164174664" w:tooltip="#_Toc164174664" w:history="1">
        <w:r w:rsidR="001106A4">
          <w:rPr>
            <w:rStyle w:val="Lienhypertexte"/>
            <w:rFonts w:ascii="AvenirNext LT Pro LightCn" w:hAnsi="AvenirNext LT Pro LightCn"/>
            <w:b/>
          </w:rPr>
          <w:t>11.</w:t>
        </w:r>
        <w:r w:rsidR="001106A4">
          <w:rPr>
            <w:rFonts w:asciiTheme="minorHAnsi" w:eastAsiaTheme="minorEastAsia" w:hAnsiTheme="minorHAnsi"/>
            <w:lang w:eastAsia="fr-FR"/>
          </w:rPr>
          <w:tab/>
        </w:r>
        <w:r w:rsidR="001106A4">
          <w:rPr>
            <w:rStyle w:val="Lienhypertexte"/>
            <w:rFonts w:ascii="AvenirNext LT Pro LightCn" w:hAnsi="AvenirNext LT Pro LightCn"/>
          </w:rPr>
          <w:t>GARANTIE ET SAV</w:t>
        </w:r>
        <w:r w:rsidR="001106A4">
          <w:tab/>
        </w:r>
        <w:r w:rsidR="001106A4">
          <w:fldChar w:fldCharType="begin"/>
        </w:r>
        <w:r w:rsidR="001106A4">
          <w:instrText xml:space="preserve"> PAGEREF _Toc164174664 \h </w:instrText>
        </w:r>
        <w:r w:rsidR="001106A4">
          <w:fldChar w:fldCharType="separate"/>
        </w:r>
        <w:r w:rsidR="001106A4">
          <w:t>17</w:t>
        </w:r>
        <w:r w:rsidR="001106A4">
          <w:fldChar w:fldCharType="end"/>
        </w:r>
      </w:hyperlink>
    </w:p>
    <w:p w14:paraId="70E78014" w14:textId="77777777" w:rsidR="00D237C9" w:rsidRDefault="00943CD2">
      <w:pPr>
        <w:pStyle w:val="TM2"/>
        <w:tabs>
          <w:tab w:val="left" w:pos="660"/>
        </w:tabs>
        <w:rPr>
          <w:rFonts w:asciiTheme="minorHAnsi" w:eastAsiaTheme="minorEastAsia" w:hAnsiTheme="minorHAnsi"/>
          <w:b w:val="0"/>
          <w:lang w:eastAsia="fr-FR"/>
        </w:rPr>
      </w:pPr>
      <w:hyperlink w:anchor="_Toc164174665" w:tooltip="#_Toc164174665" w:history="1">
        <w:r w:rsidR="001106A4">
          <w:rPr>
            <w:rStyle w:val="Lienhypertexte"/>
          </w:rPr>
          <w:t>11.1.</w:t>
        </w:r>
        <w:r w:rsidR="001106A4">
          <w:rPr>
            <w:rFonts w:asciiTheme="minorHAnsi" w:eastAsiaTheme="minorEastAsia" w:hAnsiTheme="minorHAnsi"/>
            <w:b w:val="0"/>
            <w:lang w:eastAsia="fr-FR"/>
          </w:rPr>
          <w:tab/>
        </w:r>
        <w:r w:rsidR="001106A4">
          <w:rPr>
            <w:rStyle w:val="Lienhypertexte"/>
          </w:rPr>
          <w:t>– Garantie</w:t>
        </w:r>
        <w:r w:rsidR="001106A4">
          <w:tab/>
        </w:r>
        <w:r w:rsidR="001106A4">
          <w:fldChar w:fldCharType="begin"/>
        </w:r>
        <w:r w:rsidR="001106A4">
          <w:instrText xml:space="preserve"> PAGEREF _Toc164174665 \h </w:instrText>
        </w:r>
        <w:r w:rsidR="001106A4">
          <w:fldChar w:fldCharType="separate"/>
        </w:r>
        <w:r w:rsidR="001106A4">
          <w:t>17</w:t>
        </w:r>
        <w:r w:rsidR="001106A4">
          <w:fldChar w:fldCharType="end"/>
        </w:r>
      </w:hyperlink>
    </w:p>
    <w:p w14:paraId="7C296C22" w14:textId="77777777" w:rsidR="00D237C9" w:rsidRDefault="00943CD2">
      <w:pPr>
        <w:pStyle w:val="TM2"/>
        <w:tabs>
          <w:tab w:val="left" w:pos="660"/>
        </w:tabs>
        <w:rPr>
          <w:rFonts w:asciiTheme="minorHAnsi" w:eastAsiaTheme="minorEastAsia" w:hAnsiTheme="minorHAnsi"/>
          <w:b w:val="0"/>
          <w:lang w:eastAsia="fr-FR"/>
        </w:rPr>
      </w:pPr>
      <w:hyperlink w:anchor="_Toc164174666" w:tooltip="#_Toc164174666" w:history="1">
        <w:r w:rsidR="001106A4">
          <w:rPr>
            <w:rStyle w:val="Lienhypertexte"/>
          </w:rPr>
          <w:t>11.2.</w:t>
        </w:r>
        <w:r w:rsidR="001106A4">
          <w:rPr>
            <w:rFonts w:asciiTheme="minorHAnsi" w:eastAsiaTheme="minorEastAsia" w:hAnsiTheme="minorHAnsi"/>
            <w:b w:val="0"/>
            <w:lang w:eastAsia="fr-FR"/>
          </w:rPr>
          <w:tab/>
        </w:r>
        <w:r w:rsidR="001106A4">
          <w:rPr>
            <w:rStyle w:val="Lienhypertexte"/>
          </w:rPr>
          <w:t>Support technique</w:t>
        </w:r>
        <w:r w:rsidR="001106A4">
          <w:tab/>
        </w:r>
        <w:r w:rsidR="001106A4">
          <w:fldChar w:fldCharType="begin"/>
        </w:r>
        <w:r w:rsidR="001106A4">
          <w:instrText xml:space="preserve"> PAGEREF _Toc164174666 \h </w:instrText>
        </w:r>
        <w:r w:rsidR="001106A4">
          <w:fldChar w:fldCharType="separate"/>
        </w:r>
        <w:r w:rsidR="001106A4">
          <w:t>18</w:t>
        </w:r>
        <w:r w:rsidR="001106A4">
          <w:fldChar w:fldCharType="end"/>
        </w:r>
      </w:hyperlink>
    </w:p>
    <w:p w14:paraId="5C2651B5" w14:textId="77777777" w:rsidR="00D237C9" w:rsidRDefault="00943CD2">
      <w:pPr>
        <w:pStyle w:val="TM2"/>
        <w:rPr>
          <w:rFonts w:asciiTheme="minorHAnsi" w:eastAsiaTheme="minorEastAsia" w:hAnsiTheme="minorHAnsi"/>
          <w:b w:val="0"/>
          <w:lang w:eastAsia="fr-FR"/>
        </w:rPr>
      </w:pPr>
      <w:hyperlink w:anchor="_Toc164174667" w:tooltip="#_Toc164174667" w:history="1">
        <w:r w:rsidR="001106A4">
          <w:rPr>
            <w:rStyle w:val="Lienhypertexte"/>
            <w:rFonts w:cs="Arial"/>
            <w:i/>
            <w:iCs/>
          </w:rPr>
          <w:t>11.2.1 - Logiciels de pilotage et de traitement des données</w:t>
        </w:r>
        <w:r w:rsidR="001106A4">
          <w:tab/>
        </w:r>
        <w:r w:rsidR="001106A4">
          <w:fldChar w:fldCharType="begin"/>
        </w:r>
        <w:r w:rsidR="001106A4">
          <w:instrText xml:space="preserve"> PAGEREF _Toc164174667 \h </w:instrText>
        </w:r>
        <w:r w:rsidR="001106A4">
          <w:fldChar w:fldCharType="separate"/>
        </w:r>
        <w:r w:rsidR="001106A4">
          <w:t>18</w:t>
        </w:r>
        <w:r w:rsidR="001106A4">
          <w:fldChar w:fldCharType="end"/>
        </w:r>
      </w:hyperlink>
    </w:p>
    <w:p w14:paraId="4519623F" w14:textId="77777777" w:rsidR="00D237C9" w:rsidRDefault="00943CD2">
      <w:pPr>
        <w:pStyle w:val="TM2"/>
        <w:rPr>
          <w:rFonts w:asciiTheme="minorHAnsi" w:eastAsiaTheme="minorEastAsia" w:hAnsiTheme="minorHAnsi"/>
          <w:b w:val="0"/>
          <w:lang w:eastAsia="fr-FR"/>
        </w:rPr>
      </w:pPr>
      <w:hyperlink w:anchor="_Toc164174668" w:tooltip="#_Toc164174668" w:history="1">
        <w:r w:rsidR="001106A4">
          <w:rPr>
            <w:rStyle w:val="Lienhypertexte"/>
            <w:rFonts w:cs="Arial"/>
            <w:i/>
            <w:iCs/>
          </w:rPr>
          <w:t>11.2.2 - Délais d’intervention en cas de panne</w:t>
        </w:r>
        <w:r w:rsidR="001106A4">
          <w:tab/>
        </w:r>
        <w:r w:rsidR="001106A4">
          <w:fldChar w:fldCharType="begin"/>
        </w:r>
        <w:r w:rsidR="001106A4">
          <w:instrText xml:space="preserve"> PAGEREF _Toc164174668 \h </w:instrText>
        </w:r>
        <w:r w:rsidR="001106A4">
          <w:fldChar w:fldCharType="separate"/>
        </w:r>
        <w:r w:rsidR="001106A4">
          <w:t>19</w:t>
        </w:r>
        <w:r w:rsidR="001106A4">
          <w:fldChar w:fldCharType="end"/>
        </w:r>
      </w:hyperlink>
    </w:p>
    <w:p w14:paraId="79DAEE63" w14:textId="77777777" w:rsidR="00D237C9" w:rsidRDefault="00943CD2">
      <w:pPr>
        <w:pStyle w:val="TM2"/>
        <w:rPr>
          <w:rFonts w:asciiTheme="minorHAnsi" w:eastAsiaTheme="minorEastAsia" w:hAnsiTheme="minorHAnsi"/>
          <w:b w:val="0"/>
          <w:lang w:eastAsia="fr-FR"/>
        </w:rPr>
      </w:pPr>
      <w:hyperlink w:anchor="_Toc164174669" w:tooltip="#_Toc164174669" w:history="1">
        <w:r w:rsidR="001106A4">
          <w:rPr>
            <w:rStyle w:val="Lienhypertexte"/>
            <w:rFonts w:cs="Arial"/>
            <w:i/>
            <w:iCs/>
          </w:rPr>
          <w:t>11.2.3 - Délais de mise au point ou de réparation en cas de panne</w:t>
        </w:r>
        <w:r w:rsidR="001106A4">
          <w:tab/>
        </w:r>
        <w:r w:rsidR="001106A4">
          <w:fldChar w:fldCharType="begin"/>
        </w:r>
        <w:r w:rsidR="001106A4">
          <w:instrText xml:space="preserve"> PAGEREF _Toc164174669 \h </w:instrText>
        </w:r>
        <w:r w:rsidR="001106A4">
          <w:fldChar w:fldCharType="separate"/>
        </w:r>
        <w:r w:rsidR="001106A4">
          <w:t>19</w:t>
        </w:r>
        <w:r w:rsidR="001106A4">
          <w:fldChar w:fldCharType="end"/>
        </w:r>
      </w:hyperlink>
    </w:p>
    <w:p w14:paraId="5EF8548F" w14:textId="77777777" w:rsidR="00D237C9" w:rsidRDefault="00943CD2">
      <w:pPr>
        <w:pStyle w:val="TM2"/>
        <w:rPr>
          <w:rFonts w:asciiTheme="minorHAnsi" w:eastAsiaTheme="minorEastAsia" w:hAnsiTheme="minorHAnsi"/>
          <w:b w:val="0"/>
          <w:lang w:eastAsia="fr-FR"/>
        </w:rPr>
      </w:pPr>
      <w:hyperlink w:anchor="_Toc164174670" w:tooltip="#_Toc164174670" w:history="1">
        <w:r w:rsidR="001106A4">
          <w:rPr>
            <w:rStyle w:val="Lienhypertexte"/>
            <w:rFonts w:cs="Arial"/>
            <w:i/>
            <w:iCs/>
          </w:rPr>
          <w:t>11.2.4 - Obligation relative aux pièces détachées et consommables captifs</w:t>
        </w:r>
        <w:r w:rsidR="001106A4">
          <w:tab/>
        </w:r>
        <w:r w:rsidR="001106A4">
          <w:fldChar w:fldCharType="begin"/>
        </w:r>
        <w:r w:rsidR="001106A4">
          <w:instrText xml:space="preserve"> PAGEREF _Toc164174670 \h </w:instrText>
        </w:r>
        <w:r w:rsidR="001106A4">
          <w:fldChar w:fldCharType="separate"/>
        </w:r>
        <w:r w:rsidR="001106A4">
          <w:t>19</w:t>
        </w:r>
        <w:r w:rsidR="001106A4">
          <w:fldChar w:fldCharType="end"/>
        </w:r>
      </w:hyperlink>
    </w:p>
    <w:p w14:paraId="77D0D0E1" w14:textId="77777777" w:rsidR="00D237C9" w:rsidRDefault="00943CD2">
      <w:pPr>
        <w:pStyle w:val="TM2"/>
        <w:tabs>
          <w:tab w:val="left" w:pos="660"/>
        </w:tabs>
        <w:rPr>
          <w:rFonts w:asciiTheme="minorHAnsi" w:eastAsiaTheme="minorEastAsia" w:hAnsiTheme="minorHAnsi"/>
          <w:b w:val="0"/>
          <w:lang w:eastAsia="fr-FR"/>
        </w:rPr>
      </w:pPr>
      <w:hyperlink w:anchor="_Toc164174671" w:tooltip="#_Toc164174671" w:history="1">
        <w:r w:rsidR="001106A4">
          <w:rPr>
            <w:rStyle w:val="Lienhypertexte"/>
          </w:rPr>
          <w:t>11.3.</w:t>
        </w:r>
        <w:r w:rsidR="001106A4">
          <w:rPr>
            <w:rFonts w:asciiTheme="minorHAnsi" w:eastAsiaTheme="minorEastAsia" w:hAnsiTheme="minorHAnsi"/>
            <w:b w:val="0"/>
            <w:lang w:eastAsia="fr-FR"/>
          </w:rPr>
          <w:tab/>
        </w:r>
        <w:r w:rsidR="001106A4">
          <w:rPr>
            <w:rStyle w:val="Lienhypertexte"/>
          </w:rPr>
          <w:t>Maintenance</w:t>
        </w:r>
        <w:r w:rsidR="001106A4">
          <w:tab/>
        </w:r>
        <w:r w:rsidR="001106A4">
          <w:fldChar w:fldCharType="begin"/>
        </w:r>
        <w:r w:rsidR="001106A4">
          <w:instrText xml:space="preserve"> PAGEREF _Toc164174671 \h </w:instrText>
        </w:r>
        <w:r w:rsidR="001106A4">
          <w:fldChar w:fldCharType="separate"/>
        </w:r>
        <w:r w:rsidR="001106A4">
          <w:t>20</w:t>
        </w:r>
        <w:r w:rsidR="001106A4">
          <w:fldChar w:fldCharType="end"/>
        </w:r>
      </w:hyperlink>
    </w:p>
    <w:p w14:paraId="20EA4D43" w14:textId="77777777" w:rsidR="00D237C9" w:rsidRDefault="00943CD2">
      <w:pPr>
        <w:pStyle w:val="TM1"/>
        <w:tabs>
          <w:tab w:val="left" w:pos="660"/>
          <w:tab w:val="right" w:leader="dot" w:pos="9054"/>
        </w:tabs>
        <w:rPr>
          <w:rFonts w:asciiTheme="minorHAnsi" w:eastAsiaTheme="minorEastAsia" w:hAnsiTheme="minorHAnsi"/>
          <w:lang w:eastAsia="fr-FR"/>
        </w:rPr>
      </w:pPr>
      <w:hyperlink w:anchor="_Toc164174672" w:tooltip="#_Toc164174672" w:history="1">
        <w:r w:rsidR="001106A4">
          <w:rPr>
            <w:rStyle w:val="Lienhypertexte"/>
            <w:rFonts w:ascii="AvenirNext LT Pro LightCn" w:hAnsi="AvenirNext LT Pro LightCn"/>
            <w:b/>
          </w:rPr>
          <w:t>12.</w:t>
        </w:r>
        <w:r w:rsidR="001106A4">
          <w:rPr>
            <w:rFonts w:asciiTheme="minorHAnsi" w:eastAsiaTheme="minorEastAsia" w:hAnsiTheme="minorHAnsi"/>
            <w:lang w:eastAsia="fr-FR"/>
          </w:rPr>
          <w:tab/>
        </w:r>
        <w:r w:rsidR="001106A4">
          <w:rPr>
            <w:rStyle w:val="Lienhypertexte"/>
            <w:rFonts w:ascii="AvenirNext LT Pro LightCn" w:hAnsi="AvenirNext LT Pro LightCn"/>
          </w:rPr>
          <w:t>ASSURANCE</w:t>
        </w:r>
        <w:r w:rsidR="001106A4">
          <w:tab/>
        </w:r>
        <w:r w:rsidR="001106A4">
          <w:fldChar w:fldCharType="begin"/>
        </w:r>
        <w:r w:rsidR="001106A4">
          <w:instrText xml:space="preserve"> PAGEREF _Toc164174672 \h </w:instrText>
        </w:r>
        <w:r w:rsidR="001106A4">
          <w:fldChar w:fldCharType="separate"/>
        </w:r>
        <w:r w:rsidR="001106A4">
          <w:t>20</w:t>
        </w:r>
        <w:r w:rsidR="001106A4">
          <w:fldChar w:fldCharType="end"/>
        </w:r>
      </w:hyperlink>
    </w:p>
    <w:p w14:paraId="57A2D130" w14:textId="77777777" w:rsidR="00D237C9" w:rsidRDefault="00943CD2">
      <w:pPr>
        <w:pStyle w:val="TM1"/>
        <w:tabs>
          <w:tab w:val="left" w:pos="660"/>
          <w:tab w:val="right" w:leader="dot" w:pos="9054"/>
        </w:tabs>
        <w:rPr>
          <w:rFonts w:asciiTheme="minorHAnsi" w:eastAsiaTheme="minorEastAsia" w:hAnsiTheme="minorHAnsi"/>
          <w:lang w:eastAsia="fr-FR"/>
        </w:rPr>
      </w:pPr>
      <w:hyperlink w:anchor="_Toc164174673" w:tooltip="#_Toc164174673" w:history="1">
        <w:r w:rsidR="001106A4">
          <w:rPr>
            <w:rStyle w:val="Lienhypertexte"/>
            <w:rFonts w:ascii="AvenirNext LT Pro LightCn" w:hAnsi="AvenirNext LT Pro LightCn"/>
            <w:b/>
            <w:iCs/>
          </w:rPr>
          <w:t>13.</w:t>
        </w:r>
        <w:r w:rsidR="001106A4">
          <w:rPr>
            <w:rFonts w:asciiTheme="minorHAnsi" w:eastAsiaTheme="minorEastAsia" w:hAnsiTheme="minorHAnsi"/>
            <w:lang w:eastAsia="fr-FR"/>
          </w:rPr>
          <w:tab/>
        </w:r>
        <w:r w:rsidR="001106A4">
          <w:rPr>
            <w:rStyle w:val="Lienhypertexte"/>
            <w:rFonts w:ascii="AvenirNext LT Pro LightCn" w:hAnsi="AvenirNext LT Pro LightCn"/>
          </w:rPr>
          <w:t>LITIGES</w:t>
        </w:r>
        <w:r w:rsidR="001106A4">
          <w:tab/>
        </w:r>
        <w:r w:rsidR="001106A4">
          <w:fldChar w:fldCharType="begin"/>
        </w:r>
        <w:r w:rsidR="001106A4">
          <w:instrText xml:space="preserve"> PAGEREF _Toc164174673 \h </w:instrText>
        </w:r>
        <w:r w:rsidR="001106A4">
          <w:fldChar w:fldCharType="separate"/>
        </w:r>
        <w:r w:rsidR="001106A4">
          <w:t>20</w:t>
        </w:r>
        <w:r w:rsidR="001106A4">
          <w:fldChar w:fldCharType="end"/>
        </w:r>
      </w:hyperlink>
    </w:p>
    <w:p w14:paraId="1C401414" w14:textId="77777777" w:rsidR="00D237C9" w:rsidRDefault="00943CD2">
      <w:pPr>
        <w:pStyle w:val="TM1"/>
        <w:tabs>
          <w:tab w:val="left" w:pos="660"/>
          <w:tab w:val="right" w:leader="dot" w:pos="9054"/>
        </w:tabs>
        <w:rPr>
          <w:rFonts w:asciiTheme="minorHAnsi" w:eastAsiaTheme="minorEastAsia" w:hAnsiTheme="minorHAnsi"/>
          <w:lang w:eastAsia="fr-FR"/>
        </w:rPr>
      </w:pPr>
      <w:hyperlink w:anchor="_Toc164174674" w:tooltip="#_Toc164174674" w:history="1">
        <w:r w:rsidR="001106A4">
          <w:rPr>
            <w:rStyle w:val="Lienhypertexte"/>
            <w:rFonts w:ascii="AvenirNext LT Pro LightCn" w:hAnsi="AvenirNext LT Pro LightCn"/>
            <w:b/>
            <w:iCs/>
          </w:rPr>
          <w:t>14.</w:t>
        </w:r>
        <w:r w:rsidR="001106A4">
          <w:rPr>
            <w:rFonts w:asciiTheme="minorHAnsi" w:eastAsiaTheme="minorEastAsia" w:hAnsiTheme="minorHAnsi"/>
            <w:lang w:eastAsia="fr-FR"/>
          </w:rPr>
          <w:tab/>
        </w:r>
        <w:r w:rsidR="001106A4">
          <w:rPr>
            <w:rStyle w:val="Lienhypertexte"/>
            <w:rFonts w:ascii="AvenirNext LT Pro LightCn" w:hAnsi="AvenirNext LT Pro LightCn"/>
          </w:rPr>
          <w:t>DEROGATIONS AU CCAG-FCS</w:t>
        </w:r>
        <w:r w:rsidR="001106A4">
          <w:tab/>
        </w:r>
        <w:r w:rsidR="001106A4">
          <w:fldChar w:fldCharType="begin"/>
        </w:r>
        <w:r w:rsidR="001106A4">
          <w:instrText xml:space="preserve"> PAGEREF _Toc164174674 \h </w:instrText>
        </w:r>
        <w:r w:rsidR="001106A4">
          <w:fldChar w:fldCharType="separate"/>
        </w:r>
        <w:r w:rsidR="001106A4">
          <w:t>20</w:t>
        </w:r>
        <w:r w:rsidR="001106A4">
          <w:fldChar w:fldCharType="end"/>
        </w:r>
      </w:hyperlink>
    </w:p>
    <w:p w14:paraId="614EFD7C" w14:textId="77777777" w:rsidR="00D237C9" w:rsidRDefault="001106A4">
      <w:pPr>
        <w:widowControl w:val="0"/>
        <w:spacing w:before="14"/>
        <w:jc w:val="left"/>
        <w:rPr>
          <w:rFonts w:ascii="AvenirNext LT Pro LightCn" w:hAnsi="AvenirNext LT Pro LightCn" w:cs="Arial"/>
          <w:bCs/>
        </w:rPr>
      </w:pPr>
      <w:r>
        <w:rPr>
          <w:rFonts w:ascii="AvenirNext LT Pro LightCn" w:hAnsi="AvenirNext LT Pro LightCn" w:cs="Arial"/>
          <w:bCs/>
        </w:rPr>
        <w:fldChar w:fldCharType="end"/>
      </w:r>
    </w:p>
    <w:p w14:paraId="2E5F5D0F" w14:textId="77777777" w:rsidR="00D237C9" w:rsidRDefault="001106A4">
      <w:pPr>
        <w:widowControl w:val="0"/>
        <w:tabs>
          <w:tab w:val="left" w:pos="5100"/>
        </w:tabs>
        <w:spacing w:before="14" w:line="240" w:lineRule="exact"/>
        <w:rPr>
          <w:rFonts w:ascii="AvenirNext LT Pro LightCn" w:hAnsi="AvenirNext LT Pro LightCn" w:cs="Arial"/>
          <w:bCs/>
        </w:rPr>
      </w:pPr>
      <w:r>
        <w:rPr>
          <w:rFonts w:ascii="AvenirNext LT Pro LightCn" w:hAnsi="AvenirNext LT Pro LightCn" w:cs="Arial"/>
          <w:bCs/>
        </w:rPr>
        <w:tab/>
      </w:r>
    </w:p>
    <w:p w14:paraId="2136EC8B" w14:textId="77777777" w:rsidR="00D237C9" w:rsidRDefault="001106A4">
      <w:pPr>
        <w:widowControl w:val="0"/>
        <w:tabs>
          <w:tab w:val="left" w:pos="5100"/>
          <w:tab w:val="left" w:pos="6675"/>
        </w:tabs>
        <w:rPr>
          <w:rFonts w:ascii="AvenirNext LT Pro LightCn" w:hAnsi="AvenirNext LT Pro LightCn" w:cs="Arial"/>
          <w:sz w:val="20"/>
          <w:szCs w:val="20"/>
        </w:rPr>
        <w:sectPr w:rsidR="00D237C9">
          <w:footerReference w:type="even" r:id="rId14"/>
          <w:footerReference w:type="default" r:id="rId15"/>
          <w:pgSz w:w="11900" w:h="16840"/>
          <w:pgMar w:top="568" w:right="1418" w:bottom="1418" w:left="1418" w:header="720" w:footer="720" w:gutter="0"/>
          <w:cols w:space="720"/>
          <w:titlePg/>
        </w:sectPr>
      </w:pPr>
      <w:r>
        <w:rPr>
          <w:rFonts w:ascii="AvenirNext LT Pro LightCn" w:hAnsi="AvenirNext LT Pro LightCn" w:cs="Arial"/>
          <w:sz w:val="20"/>
          <w:szCs w:val="20"/>
        </w:rPr>
        <w:tab/>
      </w:r>
      <w:r>
        <w:rPr>
          <w:rFonts w:ascii="AvenirNext LT Pro LightCn" w:hAnsi="AvenirNext LT Pro LightCn" w:cs="Arial"/>
          <w:sz w:val="20"/>
          <w:szCs w:val="20"/>
        </w:rPr>
        <w:tab/>
      </w:r>
    </w:p>
    <w:p w14:paraId="531D4E89" w14:textId="77777777" w:rsidR="00D237C9" w:rsidRDefault="001106A4">
      <w:pPr>
        <w:pStyle w:val="Titre1"/>
        <w:rPr>
          <w:rFonts w:ascii="AvenirNext LT Pro LightCn" w:hAnsi="AvenirNext LT Pro LightCn"/>
          <w:i/>
          <w:iCs/>
        </w:rPr>
      </w:pPr>
      <w:bookmarkStart w:id="0" w:name="_Toc164174613"/>
      <w:r>
        <w:rPr>
          <w:rFonts w:ascii="AvenirNext LT Pro LightCn" w:hAnsi="AvenirNext LT Pro LightCn"/>
        </w:rPr>
        <w:lastRenderedPageBreak/>
        <w:t>OBJET ET PROCEDURE DU MARCHE</w:t>
      </w:r>
      <w:bookmarkEnd w:id="0"/>
    </w:p>
    <w:p w14:paraId="038D12F7" w14:textId="464015A2" w:rsidR="00D237C9" w:rsidRDefault="001106A4">
      <w:pPr>
        <w:rPr>
          <w:rFonts w:ascii="AvenirNext LT Pro LightCn" w:hAnsi="AvenirNext LT Pro LightCn"/>
        </w:rPr>
      </w:pPr>
      <w:r>
        <w:rPr>
          <w:rFonts w:ascii="AvenirNext LT Pro LightCn" w:hAnsi="AvenirNext LT Pro LightCn"/>
        </w:rPr>
        <w:t xml:space="preserve">Le présent marché a pour objet l’acquisition d’un </w:t>
      </w:r>
      <w:r w:rsidR="008705F3">
        <w:rPr>
          <w:rFonts w:ascii="AvenirNext LT Pro LightCn" w:hAnsi="AvenirNext LT Pro LightCn"/>
        </w:rPr>
        <w:t xml:space="preserve">lot de deux enceintes climatiques </w:t>
      </w:r>
      <w:r>
        <w:rPr>
          <w:rFonts w:ascii="AvenirNext LT Pro LightCn" w:hAnsi="AvenirNext LT Pro LightCn"/>
        </w:rPr>
        <w:t>pour l’unité Ferments du Futur.</w:t>
      </w:r>
    </w:p>
    <w:p w14:paraId="561D440D" w14:textId="77777777" w:rsidR="00D237C9" w:rsidRDefault="001106A4">
      <w:pPr>
        <w:rPr>
          <w:rFonts w:ascii="AvenirNext LT Pro LightCn" w:hAnsi="AvenirNext LT Pro LightCn" w:cstheme="minorHAnsi"/>
        </w:rPr>
      </w:pPr>
      <w:r>
        <w:rPr>
          <w:rFonts w:ascii="AvenirNext LT Pro LightCn" w:hAnsi="AvenirNext LT Pro LightCn"/>
        </w:rPr>
        <w:t>Les</w:t>
      </w:r>
      <w:r>
        <w:rPr>
          <w:rFonts w:ascii="AvenirNext LT Pro LightCn" w:hAnsi="AvenirNext LT Pro LightCn" w:cstheme="minorHAnsi"/>
        </w:rPr>
        <w:t xml:space="preserve"> prestations objet du marché sont les suivantes :</w:t>
      </w:r>
    </w:p>
    <w:p w14:paraId="3BC89B03" w14:textId="77777777" w:rsidR="00D237C9" w:rsidRDefault="001106A4">
      <w:pPr>
        <w:pStyle w:val="Paragraphedeliste"/>
        <w:numPr>
          <w:ilvl w:val="0"/>
          <w:numId w:val="22"/>
        </w:numPr>
        <w:spacing w:before="0" w:after="0"/>
        <w:rPr>
          <w:rFonts w:ascii="AvenirNext LT Pro LightCn" w:hAnsi="AvenirNext LT Pro LightCn" w:cstheme="minorHAnsi"/>
        </w:rPr>
      </w:pPr>
      <w:r>
        <w:rPr>
          <w:rFonts w:ascii="AvenirNext LT Pro LightCn" w:hAnsi="AvenirNext LT Pro LightCn" w:cstheme="minorHAnsi"/>
        </w:rPr>
        <w:t>L’acquisition, la livraison, l’installation et la mise en service de l’équipement</w:t>
      </w:r>
    </w:p>
    <w:p w14:paraId="19EF9856" w14:textId="77777777" w:rsidR="00D237C9" w:rsidRDefault="001106A4">
      <w:pPr>
        <w:pStyle w:val="Paragraphedeliste"/>
        <w:numPr>
          <w:ilvl w:val="0"/>
          <w:numId w:val="22"/>
        </w:numPr>
        <w:spacing w:before="0" w:after="0"/>
        <w:rPr>
          <w:rFonts w:ascii="AvenirNext LT Pro LightCn" w:hAnsi="AvenirNext LT Pro LightCn" w:cstheme="minorHAnsi"/>
        </w:rPr>
      </w:pPr>
      <w:r>
        <w:rPr>
          <w:rFonts w:ascii="AvenirNext LT Pro LightCn" w:hAnsi="AvenirNext LT Pro LightCn" w:cstheme="minorHAnsi"/>
        </w:rPr>
        <w:t>La formation initiale du personnel chargé d’utiliser l’équipement</w:t>
      </w:r>
    </w:p>
    <w:p w14:paraId="17B3D158" w14:textId="77777777" w:rsidR="00D237C9" w:rsidRDefault="001106A4">
      <w:pPr>
        <w:pStyle w:val="Paragraphedeliste"/>
        <w:numPr>
          <w:ilvl w:val="0"/>
          <w:numId w:val="22"/>
        </w:numPr>
        <w:spacing w:before="0" w:after="0"/>
        <w:rPr>
          <w:rFonts w:ascii="AvenirNext LT Pro LightCn" w:hAnsi="AvenirNext LT Pro LightCn" w:cstheme="minorHAnsi"/>
        </w:rPr>
      </w:pPr>
      <w:r>
        <w:rPr>
          <w:rFonts w:ascii="AvenirNext LT Pro LightCn" w:hAnsi="AvenirNext LT Pro LightCn" w:cstheme="minorHAnsi"/>
        </w:rPr>
        <w:t>La garantie contractuelle et support associé.</w:t>
      </w:r>
    </w:p>
    <w:p w14:paraId="6872D5FD" w14:textId="77777777" w:rsidR="00D237C9" w:rsidRDefault="001106A4">
      <w:pPr>
        <w:rPr>
          <w:rFonts w:ascii="AvenirNext LT Pro LightCn" w:hAnsi="AvenirNext LT Pro LightCn"/>
        </w:rPr>
      </w:pPr>
      <w:r>
        <w:rPr>
          <w:rFonts w:ascii="AvenirNext LT Pro LightCn" w:hAnsi="AvenirNext LT Pro LightCn"/>
        </w:rPr>
        <w:t>Le marché s’inscrit dans le projet Grand Défi Ferments du Futur.</w:t>
      </w:r>
    </w:p>
    <w:p w14:paraId="18882D85" w14:textId="77777777" w:rsidR="00D237C9" w:rsidRDefault="001106A4">
      <w:pPr>
        <w:pStyle w:val="Titre2"/>
        <w:numPr>
          <w:ilvl w:val="0"/>
          <w:numId w:val="0"/>
        </w:numPr>
        <w:ind w:left="142"/>
        <w:rPr>
          <w:rFonts w:ascii="AvenirNext LT Pro LightCn" w:hAnsi="AvenirNext LT Pro LightCn"/>
        </w:rPr>
      </w:pPr>
      <w:bookmarkStart w:id="1" w:name="_Toc34900470"/>
      <w:bookmarkStart w:id="2" w:name="_Toc41990835"/>
      <w:bookmarkStart w:id="3" w:name="_Toc164174614"/>
      <w:r>
        <w:rPr>
          <w:rFonts w:ascii="AvenirNext LT Pro LightCn" w:hAnsi="AvenirNext LT Pro LightCn"/>
        </w:rPr>
        <w:t>1.2. – Décomposition en lots/Tranches/Options/Prestations Supplémentaires Eventuelles</w:t>
      </w:r>
      <w:bookmarkEnd w:id="1"/>
      <w:r>
        <w:rPr>
          <w:rFonts w:ascii="AvenirNext LT Pro LightCn" w:hAnsi="AvenirNext LT Pro LightCn"/>
        </w:rPr>
        <w:t>/Variantes</w:t>
      </w:r>
      <w:bookmarkEnd w:id="2"/>
      <w:bookmarkEnd w:id="3"/>
    </w:p>
    <w:p w14:paraId="3B46FC4B" w14:textId="77777777" w:rsidR="00D237C9" w:rsidRDefault="001106A4">
      <w:pPr>
        <w:keepNext/>
        <w:spacing w:before="240" w:after="60"/>
        <w:ind w:firstLine="1560"/>
        <w:outlineLvl w:val="1"/>
        <w:rPr>
          <w:rFonts w:ascii="AvenirNext LT Pro LightCn" w:hAnsi="AvenirNext LT Pro LightCn" w:cs="Arial"/>
          <w:i/>
          <w:iCs/>
          <w:color w:val="00A6A3"/>
        </w:rPr>
      </w:pPr>
      <w:bookmarkStart w:id="4" w:name="_Toc34900471"/>
      <w:bookmarkStart w:id="5" w:name="_Toc41990836"/>
      <w:bookmarkStart w:id="6" w:name="_Toc164174615"/>
      <w:r>
        <w:rPr>
          <w:rFonts w:ascii="AvenirNext LT Pro LightCn" w:hAnsi="AvenirNext LT Pro LightCn" w:cs="Arial"/>
          <w:i/>
          <w:iCs/>
          <w:color w:val="00A6A3"/>
        </w:rPr>
        <w:t>Article 1.2.1 – Décomposition en lots</w:t>
      </w:r>
      <w:bookmarkEnd w:id="4"/>
      <w:bookmarkEnd w:id="5"/>
      <w:bookmarkEnd w:id="6"/>
    </w:p>
    <w:p w14:paraId="2D498CD5" w14:textId="77777777" w:rsidR="00D237C9" w:rsidRDefault="001106A4">
      <w:pPr>
        <w:keepNext/>
        <w:spacing w:before="240" w:after="60"/>
        <w:outlineLvl w:val="1"/>
        <w:rPr>
          <w:rFonts w:ascii="AvenirNext LT Pro LightCn" w:hAnsi="AvenirNext LT Pro LightCn" w:cs="Arial"/>
          <w:iCs/>
        </w:rPr>
      </w:pPr>
      <w:bookmarkStart w:id="7" w:name="_Toc97131969"/>
      <w:bookmarkStart w:id="8" w:name="_Toc97644137"/>
      <w:bookmarkStart w:id="9" w:name="_Toc135996141"/>
      <w:bookmarkStart w:id="10" w:name="_Toc34900472"/>
      <w:bookmarkStart w:id="11" w:name="_Toc38967283"/>
      <w:bookmarkStart w:id="12" w:name="_Toc39657581"/>
      <w:bookmarkStart w:id="13" w:name="_Toc41990837"/>
      <w:bookmarkStart w:id="14" w:name="_Toc87260664"/>
      <w:bookmarkStart w:id="15" w:name="_Toc87279183"/>
      <w:bookmarkStart w:id="16" w:name="_Toc87369900"/>
      <w:bookmarkStart w:id="17" w:name="_Toc87870631"/>
      <w:bookmarkStart w:id="18" w:name="_Toc88213004"/>
      <w:bookmarkStart w:id="19" w:name="_Toc89357106"/>
      <w:bookmarkStart w:id="20" w:name="_Toc89686455"/>
      <w:bookmarkStart w:id="21" w:name="_Toc136870025"/>
      <w:bookmarkStart w:id="22" w:name="_Toc136874400"/>
      <w:bookmarkStart w:id="23" w:name="_Toc137109877"/>
      <w:bookmarkStart w:id="24" w:name="_Toc164174616"/>
      <w:r>
        <w:rPr>
          <w:rFonts w:ascii="AvenirNext LT Pro LightCn" w:hAnsi="AvenirNext LT Pro LightCn" w:cs="Arial"/>
          <w:iCs/>
        </w:rPr>
        <w:t>Les prestations sont dévolues en lot unique</w:t>
      </w:r>
      <w:bookmarkEnd w:id="7"/>
      <w:bookmarkEnd w:id="8"/>
      <w:bookmarkEnd w:id="9"/>
      <w:bookmarkEnd w:id="10"/>
      <w:bookmarkEnd w:id="11"/>
      <w:bookmarkEnd w:id="12"/>
      <w:bookmarkEnd w:id="13"/>
      <w:bookmarkEnd w:id="14"/>
      <w:bookmarkEnd w:id="15"/>
      <w:bookmarkEnd w:id="16"/>
      <w:bookmarkEnd w:id="17"/>
      <w:bookmarkEnd w:id="18"/>
      <w:bookmarkEnd w:id="19"/>
      <w:bookmarkEnd w:id="20"/>
      <w:r>
        <w:rPr>
          <w:rFonts w:ascii="AvenirNext LT Pro LightCn" w:hAnsi="AvenirNext LT Pro LightCn" w:cs="Arial"/>
          <w:iCs/>
        </w:rPr>
        <w:t>.</w:t>
      </w:r>
      <w:bookmarkEnd w:id="21"/>
      <w:bookmarkEnd w:id="22"/>
      <w:bookmarkEnd w:id="23"/>
      <w:bookmarkEnd w:id="24"/>
    </w:p>
    <w:p w14:paraId="79AC9B12" w14:textId="77777777" w:rsidR="00D237C9" w:rsidRDefault="001106A4">
      <w:pPr>
        <w:keepNext/>
        <w:spacing w:before="240" w:after="60"/>
        <w:outlineLvl w:val="1"/>
        <w:rPr>
          <w:rFonts w:ascii="AvenirNext LT Pro LightCn" w:hAnsi="AvenirNext LT Pro LightCn" w:cs="Arial"/>
          <w:i/>
          <w:iCs/>
          <w:color w:val="00A6A3"/>
        </w:rPr>
      </w:pPr>
      <w:bookmarkStart w:id="25" w:name="_Toc34900473"/>
      <w:bookmarkStart w:id="26" w:name="_Toc41990838"/>
      <w:bookmarkStart w:id="27" w:name="_Toc164174617"/>
      <w:r>
        <w:rPr>
          <w:rFonts w:ascii="AvenirNext LT Pro LightCn" w:hAnsi="AvenirNext LT Pro LightCn" w:cs="Arial"/>
          <w:i/>
          <w:iCs/>
          <w:color w:val="00A6A3"/>
        </w:rPr>
        <w:t>Article 1.2.2 – Décomposition en tranches</w:t>
      </w:r>
      <w:bookmarkEnd w:id="25"/>
      <w:bookmarkEnd w:id="26"/>
      <w:bookmarkEnd w:id="27"/>
    </w:p>
    <w:p w14:paraId="6DC5FD9E" w14:textId="77777777" w:rsidR="00D237C9" w:rsidRDefault="001106A4">
      <w:pPr>
        <w:keepNext/>
        <w:spacing w:before="240" w:after="60"/>
        <w:outlineLvl w:val="1"/>
        <w:rPr>
          <w:rFonts w:ascii="AvenirNext LT Pro LightCn" w:hAnsi="AvenirNext LT Pro LightCn" w:cs="Arial"/>
          <w:iCs/>
        </w:rPr>
      </w:pPr>
      <w:bookmarkStart w:id="28" w:name="_Toc34900474"/>
      <w:bookmarkStart w:id="29" w:name="_Toc38967285"/>
      <w:bookmarkStart w:id="30" w:name="_Toc39657583"/>
      <w:bookmarkStart w:id="31" w:name="_Toc41990839"/>
      <w:bookmarkStart w:id="32" w:name="_Toc87260666"/>
      <w:bookmarkStart w:id="33" w:name="_Toc87279185"/>
      <w:bookmarkStart w:id="34" w:name="_Toc87369902"/>
      <w:bookmarkStart w:id="35" w:name="_Toc88213006"/>
      <w:bookmarkStart w:id="36" w:name="_Toc89357108"/>
      <w:bookmarkStart w:id="37" w:name="_Toc89686457"/>
      <w:bookmarkStart w:id="38" w:name="_Toc97131971"/>
      <w:bookmarkStart w:id="39" w:name="_Toc97644139"/>
      <w:bookmarkStart w:id="40" w:name="_Toc135996143"/>
      <w:bookmarkStart w:id="41" w:name="_Toc136870027"/>
      <w:bookmarkStart w:id="42" w:name="_Toc136874402"/>
      <w:bookmarkStart w:id="43" w:name="_Toc137109879"/>
      <w:bookmarkStart w:id="44" w:name="_Toc164174618"/>
      <w:r>
        <w:rPr>
          <w:rFonts w:ascii="AvenirNext LT Pro LightCn" w:hAnsi="AvenirNext LT Pro LightCn" w:cs="Arial"/>
          <w:iCs/>
        </w:rPr>
        <w:t>Sans objet.</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5F9F8ECE" w14:textId="77777777" w:rsidR="00D237C9" w:rsidRDefault="001106A4">
      <w:pPr>
        <w:keepNext/>
        <w:spacing w:before="240" w:after="60"/>
        <w:ind w:firstLine="1560"/>
        <w:outlineLvl w:val="1"/>
        <w:rPr>
          <w:rFonts w:ascii="AvenirNext LT Pro LightCn" w:hAnsi="AvenirNext LT Pro LightCn" w:cs="Arial"/>
          <w:i/>
          <w:iCs/>
          <w:color w:val="00A6A3"/>
        </w:rPr>
      </w:pPr>
      <w:bookmarkStart w:id="45" w:name="_Toc34900475"/>
      <w:bookmarkStart w:id="46" w:name="_Toc41990840"/>
      <w:bookmarkStart w:id="47" w:name="_Toc164174619"/>
      <w:r>
        <w:rPr>
          <w:rFonts w:ascii="AvenirNext LT Pro LightCn" w:hAnsi="AvenirNext LT Pro LightCn" w:cs="Arial"/>
          <w:i/>
          <w:iCs/>
          <w:color w:val="00A6A3"/>
        </w:rPr>
        <w:t>Article 1.2.3 – Options</w:t>
      </w:r>
      <w:bookmarkEnd w:id="45"/>
      <w:bookmarkEnd w:id="46"/>
      <w:bookmarkEnd w:id="47"/>
    </w:p>
    <w:p w14:paraId="07367125" w14:textId="77777777" w:rsidR="00D237C9" w:rsidRDefault="001106A4">
      <w:pPr>
        <w:pStyle w:val="Default"/>
        <w:spacing w:before="120" w:after="120"/>
        <w:jc w:val="both"/>
        <w:rPr>
          <w:rFonts w:ascii="AvenirNext LT Pro LightCn" w:hAnsi="AvenirNext LT Pro LightCn" w:cstheme="minorHAnsi"/>
        </w:rPr>
      </w:pPr>
      <w:bookmarkStart w:id="48" w:name="_Toc34900477"/>
      <w:bookmarkStart w:id="49" w:name="_Toc41990842"/>
      <w:r>
        <w:rPr>
          <w:rFonts w:ascii="AvenirNext LT Pro LightCn" w:hAnsi="AvenirNext LT Pro LightCn" w:cstheme="minorHAnsi"/>
        </w:rPr>
        <w:t>Sans objet.</w:t>
      </w:r>
    </w:p>
    <w:p w14:paraId="4E9F5907" w14:textId="77777777" w:rsidR="00D237C9" w:rsidRDefault="001106A4">
      <w:pPr>
        <w:keepNext/>
        <w:spacing w:before="240" w:after="60"/>
        <w:ind w:firstLine="1560"/>
        <w:outlineLvl w:val="1"/>
        <w:rPr>
          <w:rFonts w:ascii="AvenirNext LT Pro LightCn" w:hAnsi="AvenirNext LT Pro LightCn" w:cstheme="minorHAnsi"/>
          <w:color w:val="000000"/>
        </w:rPr>
      </w:pPr>
      <w:bookmarkStart w:id="50" w:name="_Toc164174620"/>
      <w:r>
        <w:rPr>
          <w:rFonts w:ascii="AvenirNext LT Pro LightCn" w:hAnsi="AvenirNext LT Pro LightCn" w:cs="Arial"/>
          <w:i/>
          <w:iCs/>
          <w:color w:val="00A6A3"/>
        </w:rPr>
        <w:t>Article 1.2.4 – Prestations Supplémentaires Eventuelles (PSE)</w:t>
      </w:r>
      <w:bookmarkEnd w:id="50"/>
    </w:p>
    <w:p w14:paraId="52275169" w14:textId="77777777" w:rsidR="00D237C9" w:rsidRDefault="00D237C9">
      <w:pPr>
        <w:keepNext/>
        <w:spacing w:before="0" w:after="0"/>
        <w:outlineLvl w:val="1"/>
        <w:rPr>
          <w:rFonts w:ascii="AvenirNext LT Pro LightCn" w:hAnsi="AvenirNext LT Pro LightCn" w:cs="Arial"/>
          <w:iCs/>
        </w:rPr>
      </w:pPr>
    </w:p>
    <w:p w14:paraId="496B0A40" w14:textId="77777777" w:rsidR="00D237C9" w:rsidRDefault="001106A4">
      <w:pPr>
        <w:pStyle w:val="Corpsdetexte"/>
        <w:rPr>
          <w:sz w:val="24"/>
          <w:szCs w:val="24"/>
        </w:rPr>
      </w:pPr>
      <w:bookmarkStart w:id="51" w:name="_Toc34900479"/>
      <w:bookmarkStart w:id="52" w:name="_Toc41990844"/>
      <w:r>
        <w:rPr>
          <w:sz w:val="24"/>
          <w:szCs w:val="24"/>
        </w:rPr>
        <w:t>Sans objet.</w:t>
      </w:r>
    </w:p>
    <w:p w14:paraId="2A7522AD" w14:textId="77777777" w:rsidR="00D237C9" w:rsidRDefault="001106A4">
      <w:pPr>
        <w:pStyle w:val="Corpsdetexte"/>
        <w:ind w:left="1134" w:hanging="283"/>
        <w:rPr>
          <w:color w:val="E36C0A" w:themeColor="accent6" w:themeShade="BF"/>
          <w:sz w:val="24"/>
          <w:szCs w:val="24"/>
        </w:rPr>
      </w:pPr>
      <w:r>
        <w:rPr>
          <w:color w:val="E36C0A" w:themeColor="accent6" w:themeShade="BF"/>
          <w:sz w:val="24"/>
          <w:szCs w:val="24"/>
        </w:rPr>
        <w:t>‘</w:t>
      </w:r>
    </w:p>
    <w:p w14:paraId="6AC01020" w14:textId="77777777" w:rsidR="00D237C9" w:rsidRDefault="001106A4">
      <w:pPr>
        <w:keepNext/>
        <w:spacing w:before="240" w:after="60"/>
        <w:ind w:firstLine="1560"/>
        <w:outlineLvl w:val="1"/>
        <w:rPr>
          <w:rFonts w:ascii="AvenirNext LT Pro LightCn" w:hAnsi="AvenirNext LT Pro LightCn" w:cs="Arial"/>
          <w:i/>
          <w:iCs/>
          <w:color w:val="00A6A3"/>
        </w:rPr>
      </w:pPr>
      <w:bookmarkStart w:id="53" w:name="_Toc164174621"/>
      <w:r>
        <w:rPr>
          <w:rFonts w:ascii="AvenirNext LT Pro LightCn" w:hAnsi="AvenirNext LT Pro LightCn" w:cs="Arial"/>
          <w:i/>
          <w:iCs/>
          <w:color w:val="00A6A3"/>
        </w:rPr>
        <w:t>Article 1.2.5 - Variantes</w:t>
      </w:r>
      <w:bookmarkEnd w:id="51"/>
      <w:bookmarkEnd w:id="52"/>
      <w:bookmarkEnd w:id="53"/>
    </w:p>
    <w:p w14:paraId="65378E30" w14:textId="77777777" w:rsidR="00D237C9" w:rsidRDefault="001106A4">
      <w:pPr>
        <w:keepNext/>
        <w:spacing w:before="240" w:after="60"/>
        <w:outlineLvl w:val="1"/>
        <w:rPr>
          <w:rFonts w:ascii="AvenirNext LT Pro LightCn" w:hAnsi="AvenirNext LT Pro LightCn" w:cs="Arial"/>
          <w:iCs/>
        </w:rPr>
      </w:pPr>
      <w:bookmarkStart w:id="54" w:name="_Toc34900480"/>
      <w:bookmarkStart w:id="55" w:name="_Toc38967291"/>
      <w:bookmarkStart w:id="56" w:name="_Toc39657589"/>
      <w:bookmarkStart w:id="57" w:name="_Toc41990845"/>
      <w:bookmarkStart w:id="58" w:name="_Toc87260671"/>
      <w:bookmarkStart w:id="59" w:name="_Toc87279190"/>
      <w:bookmarkStart w:id="60" w:name="_Toc87369907"/>
      <w:bookmarkStart w:id="61" w:name="_Toc87870638"/>
      <w:bookmarkStart w:id="62" w:name="_Toc88213011"/>
      <w:bookmarkStart w:id="63" w:name="_Toc89357113"/>
      <w:bookmarkStart w:id="64" w:name="_Toc89686462"/>
      <w:bookmarkStart w:id="65" w:name="_Toc97131976"/>
      <w:bookmarkStart w:id="66" w:name="_Toc97644144"/>
      <w:bookmarkStart w:id="67" w:name="_Toc135996148"/>
      <w:bookmarkStart w:id="68" w:name="_Toc136870032"/>
      <w:bookmarkStart w:id="69" w:name="_Toc136874407"/>
      <w:bookmarkStart w:id="70" w:name="_Toc137109887"/>
      <w:bookmarkStart w:id="71" w:name="_Toc162255759"/>
      <w:bookmarkStart w:id="72" w:name="_Toc164174622"/>
      <w:r>
        <w:rPr>
          <w:rFonts w:ascii="AvenirNext LT Pro LightCn" w:hAnsi="AvenirNext LT Pro LightCn" w:cs="Arial"/>
          <w:iCs/>
        </w:rPr>
        <w:t>Les variantes ne sont pas autorisées. Les soumissionnaires doivent obligatoirement présenter une offre entièrement conforme au dossier de consultation.</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1F56BD3A" w14:textId="77777777" w:rsidR="00D237C9" w:rsidRDefault="001106A4">
      <w:pPr>
        <w:pStyle w:val="Titre2"/>
        <w:numPr>
          <w:ilvl w:val="0"/>
          <w:numId w:val="0"/>
        </w:numPr>
        <w:ind w:left="142"/>
        <w:rPr>
          <w:rFonts w:ascii="AvenirNext LT Pro LightCn" w:hAnsi="AvenirNext LT Pro LightCn"/>
        </w:rPr>
      </w:pPr>
      <w:bookmarkStart w:id="73" w:name="_Toc41990846"/>
      <w:bookmarkStart w:id="74" w:name="_Toc164174623"/>
      <w:bookmarkStart w:id="75" w:name="_Toc34900481"/>
      <w:bookmarkEnd w:id="48"/>
      <w:bookmarkEnd w:id="49"/>
      <w:r>
        <w:rPr>
          <w:rFonts w:ascii="AvenirNext LT Pro LightCn" w:hAnsi="AvenirNext LT Pro LightCn"/>
        </w:rPr>
        <w:t>1.3. – Forme</w:t>
      </w:r>
      <w:bookmarkEnd w:id="73"/>
      <w:bookmarkEnd w:id="74"/>
      <w:r>
        <w:rPr>
          <w:rFonts w:ascii="AvenirNext LT Pro LightCn" w:hAnsi="AvenirNext LT Pro LightCn"/>
        </w:rPr>
        <w:t xml:space="preserve"> </w:t>
      </w:r>
      <w:bookmarkEnd w:id="75"/>
    </w:p>
    <w:p w14:paraId="5DA6223A" w14:textId="77777777" w:rsidR="00D237C9" w:rsidRDefault="001106A4">
      <w:pPr>
        <w:rPr>
          <w:rFonts w:ascii="AvenirNext LT Pro LightCn" w:hAnsi="AvenirNext LT Pro LightCn"/>
        </w:rPr>
      </w:pPr>
      <w:r>
        <w:rPr>
          <w:rFonts w:ascii="AvenirNext LT Pro LightCn" w:hAnsi="AvenirNext LT Pro LightCn"/>
        </w:rPr>
        <w:t>Le marché est un marché ordinaire.</w:t>
      </w:r>
    </w:p>
    <w:p w14:paraId="497BE1D6" w14:textId="77777777" w:rsidR="00D237C9" w:rsidRDefault="001106A4">
      <w:pPr>
        <w:pStyle w:val="Titre2"/>
        <w:numPr>
          <w:ilvl w:val="0"/>
          <w:numId w:val="0"/>
        </w:numPr>
        <w:ind w:left="142"/>
        <w:rPr>
          <w:rFonts w:ascii="AvenirNext LT Pro LightCn" w:hAnsi="AvenirNext LT Pro LightCn"/>
        </w:rPr>
      </w:pPr>
      <w:bookmarkStart w:id="76" w:name="_Toc532666543"/>
      <w:bookmarkStart w:id="77" w:name="_Toc34900482"/>
      <w:bookmarkStart w:id="78" w:name="_Toc41990847"/>
      <w:bookmarkStart w:id="79" w:name="_Toc164174624"/>
      <w:r>
        <w:rPr>
          <w:rFonts w:ascii="AvenirNext LT Pro LightCn" w:hAnsi="AvenirNext LT Pro LightCn"/>
        </w:rPr>
        <w:t xml:space="preserve">1.4. – </w:t>
      </w:r>
      <w:bookmarkEnd w:id="76"/>
      <w:bookmarkEnd w:id="77"/>
      <w:bookmarkEnd w:id="78"/>
      <w:r>
        <w:rPr>
          <w:rFonts w:ascii="AvenirNext LT Pro LightCn" w:hAnsi="AvenirNext LT Pro LightCn"/>
        </w:rPr>
        <w:t>Modifications du marché</w:t>
      </w:r>
      <w:bookmarkEnd w:id="79"/>
    </w:p>
    <w:p w14:paraId="3093B59F" w14:textId="77777777" w:rsidR="00D237C9" w:rsidRDefault="001106A4">
      <w:pPr>
        <w:rPr>
          <w:rFonts w:ascii="AvenirNext LT Pro LightCn" w:hAnsi="AvenirNext LT Pro LightCn" w:cs="Arial"/>
        </w:rPr>
      </w:pPr>
      <w:r>
        <w:rPr>
          <w:rFonts w:ascii="AvenirNext LT Pro LightCn" w:hAnsi="AvenirNext LT Pro LightCn" w:cs="Arial"/>
        </w:rPr>
        <w:t>Le marché prévoit que le contrat puisse être modifié, conformément aux articles R2194-1 à R2194-9 du code de la commande publique.</w:t>
      </w:r>
    </w:p>
    <w:p w14:paraId="2DAB574D" w14:textId="77777777" w:rsidR="00D237C9" w:rsidRDefault="001106A4">
      <w:pPr>
        <w:pStyle w:val="Titre1"/>
        <w:spacing w:before="360" w:after="240"/>
        <w:ind w:left="357" w:hanging="357"/>
        <w:rPr>
          <w:rFonts w:ascii="AvenirNext LT Pro LightCn" w:hAnsi="AvenirNext LT Pro LightCn"/>
          <w:i/>
          <w:iCs/>
        </w:rPr>
      </w:pPr>
      <w:bookmarkStart w:id="80" w:name="_Toc164174625"/>
      <w:r>
        <w:rPr>
          <w:rFonts w:ascii="AvenirNext LT Pro LightCn" w:hAnsi="AvenirNext LT Pro LightCn"/>
        </w:rPr>
        <w:t>PIÈCES CONTRACTUELLES DU MARCHÉ</w:t>
      </w:r>
      <w:bookmarkEnd w:id="80"/>
    </w:p>
    <w:p w14:paraId="2140E3D7" w14:textId="77777777" w:rsidR="00D237C9" w:rsidRDefault="001106A4">
      <w:pPr>
        <w:rPr>
          <w:rFonts w:ascii="AvenirNext LT Pro LightCn" w:hAnsi="AvenirNext LT Pro LightCn"/>
          <w:sz w:val="20"/>
          <w:szCs w:val="20"/>
        </w:rPr>
      </w:pPr>
      <w:r>
        <w:rPr>
          <w:rFonts w:ascii="AvenirNext LT Pro LightCn" w:hAnsi="AvenirNext LT Pro LightCn"/>
        </w:rPr>
        <w:t>Par dérogation à l’article 4.1 du CCAG-FCS, les pièces constitutives du présent marché sont les suivantes, par ordre décroissant de priorité :</w:t>
      </w:r>
    </w:p>
    <w:p w14:paraId="517171CA" w14:textId="77777777" w:rsidR="00D237C9" w:rsidRDefault="001106A4">
      <w:pPr>
        <w:pStyle w:val="Titre2"/>
        <w:numPr>
          <w:ilvl w:val="0"/>
          <w:numId w:val="0"/>
        </w:numPr>
        <w:rPr>
          <w:rFonts w:ascii="AvenirNext LT Pro LightCn" w:hAnsi="AvenirNext LT Pro LightCn"/>
        </w:rPr>
      </w:pPr>
      <w:bookmarkStart w:id="81" w:name="_Toc41990851"/>
      <w:bookmarkStart w:id="82" w:name="_Toc164174626"/>
      <w:r>
        <w:rPr>
          <w:rFonts w:ascii="AvenirNext LT Pro LightCn" w:hAnsi="AvenirNext LT Pro LightCn"/>
        </w:rPr>
        <w:lastRenderedPageBreak/>
        <w:t>2.1 – Pièces particulières</w:t>
      </w:r>
      <w:bookmarkEnd w:id="81"/>
      <w:bookmarkEnd w:id="82"/>
    </w:p>
    <w:p w14:paraId="0827458D" w14:textId="77777777" w:rsidR="00D237C9" w:rsidRDefault="001106A4">
      <w:pPr>
        <w:pStyle w:val="Paragraphedeliste"/>
        <w:numPr>
          <w:ilvl w:val="0"/>
          <w:numId w:val="3"/>
        </w:numPr>
        <w:rPr>
          <w:rFonts w:ascii="AvenirNext LT Pro LightCn" w:eastAsia="Times New Roman" w:hAnsi="AvenirNext LT Pro LightCn" w:cs="Times-Roman"/>
          <w:color w:val="2C2A2A"/>
          <w:lang w:eastAsia="fr-FR"/>
        </w:rPr>
      </w:pPr>
      <w:r>
        <w:rPr>
          <w:rFonts w:ascii="AvenirNext LT Pro LightCn" w:hAnsi="AvenirNext LT Pro LightCn"/>
        </w:rPr>
        <w:t xml:space="preserve">Le présent acte d’engagement valant cahier des clauses particulières du marché (AECCP) et ses éventuelles annexes, dans la version résultant des dernières modifications éventuelles, opérées par avenant. (Par dérogation à l’article 4.2.1 du CCAG-FCS, il est précisé que seule une copie de l’acte d’engagement est notifiée au titulaire du marché). </w:t>
      </w:r>
    </w:p>
    <w:p w14:paraId="65A3ECAA" w14:textId="77777777" w:rsidR="00D237C9" w:rsidRDefault="001106A4">
      <w:pPr>
        <w:pStyle w:val="Paragraphedeliste"/>
        <w:numPr>
          <w:ilvl w:val="0"/>
          <w:numId w:val="5"/>
        </w:numPr>
        <w:rPr>
          <w:rFonts w:ascii="AvenirNext LT Pro LightCn" w:hAnsi="AvenirNext LT Pro LightCn"/>
        </w:rPr>
      </w:pPr>
      <w:r>
        <w:rPr>
          <w:rFonts w:ascii="AvenirNext LT Pro LightCn" w:hAnsi="AvenirNext LT Pro LightCn"/>
        </w:rPr>
        <w:t>L’offre financière et technique du titulaire, complétée le cas échéant, par les documents transmis au cours des négociations</w:t>
      </w:r>
    </w:p>
    <w:p w14:paraId="5CBB29AC" w14:textId="77777777" w:rsidR="00D237C9" w:rsidRDefault="001106A4">
      <w:pPr>
        <w:pStyle w:val="Paragraphedeliste"/>
        <w:numPr>
          <w:ilvl w:val="0"/>
          <w:numId w:val="5"/>
        </w:numPr>
        <w:rPr>
          <w:rFonts w:ascii="AvenirNext LT Pro LightCn" w:hAnsi="AvenirNext LT Pro LightCn"/>
          <w:sz w:val="20"/>
          <w:szCs w:val="20"/>
        </w:rPr>
      </w:pPr>
      <w:r>
        <w:rPr>
          <w:rFonts w:ascii="AvenirNext LT Pro LightCn" w:hAnsi="AvenirNext LT Pro LightCn"/>
        </w:rPr>
        <w:t>Les actes spéciaux de sous-traitance et leurs modifications, postérieures à la notification du marché.</w:t>
      </w:r>
    </w:p>
    <w:p w14:paraId="133A8540" w14:textId="77777777" w:rsidR="00D237C9" w:rsidRDefault="001106A4">
      <w:pPr>
        <w:pStyle w:val="Titre2"/>
        <w:numPr>
          <w:ilvl w:val="0"/>
          <w:numId w:val="0"/>
        </w:numPr>
        <w:rPr>
          <w:rFonts w:ascii="AvenirNext LT Pro LightCn" w:hAnsi="AvenirNext LT Pro LightCn"/>
          <w:sz w:val="20"/>
          <w:szCs w:val="20"/>
        </w:rPr>
      </w:pPr>
      <w:bookmarkStart w:id="83" w:name="_Toc41990852"/>
      <w:bookmarkStart w:id="84" w:name="_Toc164174627"/>
      <w:r>
        <w:rPr>
          <w:rFonts w:ascii="AvenirNext LT Pro LightCn" w:hAnsi="AvenirNext LT Pro LightCn"/>
        </w:rPr>
        <w:t>2.2 – Pièces générales</w:t>
      </w:r>
      <w:bookmarkEnd w:id="83"/>
      <w:bookmarkEnd w:id="84"/>
      <w:r>
        <w:rPr>
          <w:rFonts w:ascii="AvenirNext LT Pro LightCn" w:hAnsi="AvenirNext LT Pro LightCn"/>
        </w:rPr>
        <w:t xml:space="preserve"> </w:t>
      </w:r>
    </w:p>
    <w:p w14:paraId="4716B2F4" w14:textId="77777777" w:rsidR="00D237C9" w:rsidRDefault="001106A4">
      <w:pPr>
        <w:pStyle w:val="Paragraphedeliste"/>
        <w:numPr>
          <w:ilvl w:val="0"/>
          <w:numId w:val="4"/>
        </w:numPr>
        <w:ind w:left="714" w:hanging="357"/>
        <w:rPr>
          <w:rFonts w:ascii="AvenirNext LT Pro LightCn" w:hAnsi="AvenirNext LT Pro LightCn"/>
        </w:rPr>
      </w:pPr>
      <w:r>
        <w:rPr>
          <w:rFonts w:ascii="AvenirNext LT Pro LightCn" w:hAnsi="AvenirNext LT Pro LightCn"/>
        </w:rPr>
        <w:t>Le cahier des clauses administratives générales applicables aux marchés publics de fournitures courantes et de services (CCAG—FCS) approuvé par l’arrêté du 30 mars 2021 portant approbation du cahier des clauses administratives générales des marchés publics de fournitures courantes et de services et modifié par l’arrêté du 30 septembre 2021.</w:t>
      </w:r>
    </w:p>
    <w:p w14:paraId="4CDC1827" w14:textId="77777777" w:rsidR="00D237C9" w:rsidRDefault="001106A4">
      <w:pPr>
        <w:pStyle w:val="Paragraphedeliste"/>
        <w:numPr>
          <w:ilvl w:val="0"/>
          <w:numId w:val="4"/>
        </w:numPr>
        <w:rPr>
          <w:rFonts w:ascii="AvenirNext LT Pro LightCn" w:hAnsi="AvenirNext LT Pro LightCn"/>
        </w:rPr>
      </w:pPr>
      <w:r>
        <w:rPr>
          <w:rFonts w:ascii="AvenirNext LT Pro LightCn" w:hAnsi="AvenirNext LT Pro LightCn"/>
        </w:rPr>
        <w:t>Les normes et règlements nationaux, européens et internationaux en vigueur, relatifs au domaine objet du marché.</w:t>
      </w:r>
    </w:p>
    <w:p w14:paraId="32975E05" w14:textId="77777777" w:rsidR="00D237C9" w:rsidRDefault="00D237C9">
      <w:pPr>
        <w:rPr>
          <w:rFonts w:ascii="AvenirNext LT Pro LightCn" w:hAnsi="AvenirNext LT Pro LightCn"/>
        </w:rPr>
      </w:pPr>
    </w:p>
    <w:p w14:paraId="73FEB516" w14:textId="77777777" w:rsidR="00D237C9" w:rsidRDefault="001106A4">
      <w:pPr>
        <w:spacing w:after="0"/>
        <w:rPr>
          <w:rFonts w:ascii="AvenirNext LT Pro LightCn" w:hAnsi="AvenirNext LT Pro LightCn"/>
          <w:u w:val="single"/>
        </w:rPr>
      </w:pPr>
      <w:r>
        <w:rPr>
          <w:rFonts w:ascii="AvenirNext LT Pro LightCn" w:hAnsi="AvenirNext LT Pro LightCn"/>
        </w:rPr>
        <w:t xml:space="preserve">Toute clause, portée dans le(s) catalogue(s), tarif(s), offre du titulaire ou documentation quelconque et contraire aux dispositions des pièces contractuelles énumérées ci-avant, est réputée non écrite. </w:t>
      </w:r>
      <w:r>
        <w:rPr>
          <w:rFonts w:ascii="AvenirNext LT Pro LightCn" w:hAnsi="AvenirNext LT Pro LightCn"/>
          <w:u w:val="single"/>
        </w:rPr>
        <w:t>Les conditions générales de vente du titulaire sont concernées par cette disposition.</w:t>
      </w:r>
    </w:p>
    <w:p w14:paraId="0D7613F1" w14:textId="77777777" w:rsidR="00D237C9" w:rsidRDefault="00D237C9">
      <w:pPr>
        <w:spacing w:after="0"/>
        <w:rPr>
          <w:rFonts w:ascii="AvenirNext LT Pro LightCn" w:hAnsi="AvenirNext LT Pro LightCn"/>
          <w:u w:val="single"/>
        </w:rPr>
      </w:pPr>
    </w:p>
    <w:p w14:paraId="05E7BD46" w14:textId="77777777" w:rsidR="00D237C9" w:rsidRDefault="001106A4">
      <w:pPr>
        <w:spacing w:before="0" w:after="0"/>
        <w:jc w:val="left"/>
        <w:rPr>
          <w:rFonts w:ascii="AvenirNext LT Pro LightCn" w:hAnsi="AvenirNext LT Pro LightCn"/>
          <w:u w:val="single"/>
        </w:rPr>
      </w:pPr>
      <w:r>
        <w:rPr>
          <w:rFonts w:ascii="AvenirNext LT Pro LightCn" w:hAnsi="AvenirNext LT Pro LightCn"/>
          <w:u w:val="single"/>
        </w:rPr>
        <w:br w:type="page" w:clear="all"/>
      </w:r>
    </w:p>
    <w:p w14:paraId="2654ED2A" w14:textId="77777777" w:rsidR="00D237C9" w:rsidRDefault="001106A4">
      <w:pPr>
        <w:pStyle w:val="Titre1"/>
        <w:rPr>
          <w:rFonts w:ascii="AvenirNext LT Pro LightCn" w:hAnsi="AvenirNext LT Pro LightCn"/>
          <w:i/>
          <w:iCs/>
          <w:color w:val="C00000"/>
        </w:rPr>
      </w:pPr>
      <w:bookmarkStart w:id="85" w:name="_Toc164174628"/>
      <w:r>
        <w:rPr>
          <w:rFonts w:ascii="AvenirNext LT Pro LightCn" w:hAnsi="AvenirNext LT Pro LightCn"/>
        </w:rPr>
        <w:lastRenderedPageBreak/>
        <w:t>CONTENU DES PRESTATIONS</w:t>
      </w:r>
      <w:bookmarkEnd w:id="85"/>
      <w:r>
        <w:rPr>
          <w:rFonts w:ascii="AvenirNext LT Pro LightCn" w:hAnsi="AvenirNext LT Pro LightCn"/>
        </w:rPr>
        <w:t xml:space="preserve"> </w:t>
      </w:r>
    </w:p>
    <w:p w14:paraId="231B29B8" w14:textId="77777777" w:rsidR="00D237C9" w:rsidRDefault="001106A4">
      <w:pPr>
        <w:pStyle w:val="Titre2"/>
        <w:rPr>
          <w:rFonts w:ascii="AvenirNext LT Pro LightCn" w:hAnsi="AvenirNext LT Pro LightCn"/>
        </w:rPr>
      </w:pPr>
      <w:bookmarkStart w:id="86" w:name="_Toc164174629"/>
      <w:r>
        <w:rPr>
          <w:rFonts w:ascii="AvenirNext LT Pro LightCn" w:hAnsi="AvenirNext LT Pro LightCn"/>
        </w:rPr>
        <w:t>– Performances techniques - Normes</w:t>
      </w:r>
      <w:bookmarkEnd w:id="86"/>
    </w:p>
    <w:p w14:paraId="641C39EE" w14:textId="77777777" w:rsidR="00D237C9" w:rsidRDefault="001106A4">
      <w:pPr>
        <w:rPr>
          <w:rFonts w:ascii="AvenirNext LT Pro LightCn" w:hAnsi="AvenirNext LT Pro LightCn"/>
          <w:color w:val="E36C0A" w:themeColor="accent6" w:themeShade="BF"/>
        </w:rPr>
      </w:pPr>
      <w:r>
        <w:rPr>
          <w:rFonts w:ascii="AvenirNext LT Pro LightCn" w:hAnsi="AvenirNext LT Pro LightCn"/>
        </w:rPr>
        <w:t xml:space="preserve">L’équipement proposé doit être conforme aux normes européennes en vigueur. </w:t>
      </w:r>
    </w:p>
    <w:p w14:paraId="29E7413E" w14:textId="77777777" w:rsidR="00D237C9" w:rsidRDefault="001106A4">
      <w:pPr>
        <w:rPr>
          <w:rFonts w:ascii="AvenirNext LT Pro LightCn" w:hAnsi="AvenirNext LT Pro LightCn"/>
        </w:rPr>
      </w:pPr>
      <w:r>
        <w:rPr>
          <w:rFonts w:ascii="AvenirNext LT Pro LightCn" w:hAnsi="AvenirNext LT Pro LightCn"/>
        </w:rPr>
        <w:t>La combinaison des principales caractéristiques de l’équipement doit satisfaire aux contraintes expérimentales du programme scientifique et assurer sa compatibilité avec l’environnement instrumental existant.</w:t>
      </w:r>
    </w:p>
    <w:p w14:paraId="27BEC2F0" w14:textId="77777777" w:rsidR="00D237C9" w:rsidRDefault="001106A4">
      <w:pPr>
        <w:rPr>
          <w:rFonts w:ascii="AvenirNext LT Pro LightCn" w:hAnsi="AvenirNext LT Pro LightCn"/>
        </w:rPr>
      </w:pPr>
      <w:r>
        <w:rPr>
          <w:rFonts w:ascii="AvenirNext LT Pro LightCn" w:hAnsi="AvenirNext LT Pro LightCn"/>
        </w:rPr>
        <w:t>Le respect des prescriptions légales, prises de terre notamment et, d’une manière générale, de la réglementation sur l’emploi des matériels livrés, incombe à INRAE. L’unité déclare disposer d’un emplacement ou d’une installation électrique conforme aux spécifications techniques fournies par le titulaire.</w:t>
      </w:r>
    </w:p>
    <w:p w14:paraId="5C493BBD" w14:textId="77777777" w:rsidR="00D237C9" w:rsidRDefault="001106A4">
      <w:pPr>
        <w:pStyle w:val="Titre2"/>
        <w:rPr>
          <w:rFonts w:ascii="AvenirNext LT Pro LightCn" w:hAnsi="AvenirNext LT Pro LightCn"/>
        </w:rPr>
      </w:pPr>
      <w:bookmarkStart w:id="87" w:name="_Toc41990858"/>
      <w:bookmarkStart w:id="88" w:name="_Toc164174630"/>
      <w:r>
        <w:rPr>
          <w:rFonts w:ascii="AvenirNext LT Pro LightCn" w:hAnsi="AvenirNext LT Pro LightCn"/>
        </w:rPr>
        <w:t>– Spécifications techniques</w:t>
      </w:r>
      <w:bookmarkEnd w:id="87"/>
      <w:bookmarkEnd w:id="88"/>
    </w:p>
    <w:p w14:paraId="0D043F15" w14:textId="544AA58A" w:rsidR="008705F3" w:rsidRPr="00B80B87" w:rsidRDefault="008705F3" w:rsidP="008705F3">
      <w:pPr>
        <w:pStyle w:val="Paragraphedeliste"/>
        <w:spacing w:after="0"/>
        <w:ind w:left="0"/>
      </w:pPr>
      <w:r>
        <w:t>L’unité Ferments du futur, dans le cadre de son développement, souhaite acquérir un l</w:t>
      </w:r>
      <w:r w:rsidRPr="00B80B87">
        <w:t>ot de 2 enceintes climatique</w:t>
      </w:r>
      <w:r>
        <w:t>s</w:t>
      </w:r>
      <w:r w:rsidRPr="00B80B87">
        <w:t xml:space="preserve"> permettant le contrôle de la température et de l'humidité sur des plages compatibles avec la culture de microorganismes en milieu solide. Ces enceintes permettent également de générer des cycles de décontamination (par chauffage) ou de conservation (par refroidissement).</w:t>
      </w:r>
      <w:r>
        <w:t xml:space="preserve"> </w:t>
      </w:r>
      <w:r w:rsidRPr="00B80B87">
        <w:t>L'une (A) des deux enceintes sera destinée à des tests avec des changements rapides de température et d'humidité, et dont les valeurs réelles d'humidité et de température suivront au mieux celles de la consigne. L'autre enceinte (B) sera destinée à des tests de routine acceptant un chargement de substrat plus important, pour un encombrement dans le laboratoire (dimension externe de la machine) modéré.</w:t>
      </w:r>
    </w:p>
    <w:p w14:paraId="4984B8CC" w14:textId="77777777" w:rsidR="008705F3" w:rsidRPr="00B80B87" w:rsidRDefault="008705F3" w:rsidP="008705F3">
      <w:pPr>
        <w:pStyle w:val="Paragraphedeliste"/>
        <w:spacing w:after="0"/>
        <w:ind w:left="0"/>
        <w:rPr>
          <w:u w:val="single"/>
        </w:rPr>
      </w:pPr>
      <w:r w:rsidRPr="00B80B87">
        <w:rPr>
          <w:u w:val="single"/>
        </w:rPr>
        <w:t xml:space="preserve">Enceinte A </w:t>
      </w:r>
    </w:p>
    <w:p w14:paraId="03B23498" w14:textId="7B631FFD" w:rsidR="008705F3" w:rsidRPr="00B80B87" w:rsidRDefault="008705F3" w:rsidP="008705F3">
      <w:pPr>
        <w:pStyle w:val="Paragraphedeliste"/>
        <w:spacing w:after="0"/>
        <w:ind w:left="0"/>
      </w:pPr>
      <w:r w:rsidRPr="00B80B87">
        <w:t>La puissance de chauffage et de refroidissement doit être élevée pour permettre des changements rapides de température et d'humidité, et pour assurer la stabilité de la température et de l'humidité malgré un processus fermentaire exothermique. Cette enceinte devra offrir une large amplitude de température pour permettre des cycles de congélation autant que de cuisson.</w:t>
      </w:r>
      <w:r w:rsidR="000A26FD">
        <w:t xml:space="preserve"> Les caractéristiques requises sont les suivantes : </w:t>
      </w:r>
    </w:p>
    <w:p w14:paraId="7BE08214" w14:textId="77777777" w:rsidR="008705F3" w:rsidRPr="00B80B87" w:rsidRDefault="008705F3" w:rsidP="008705F3">
      <w:pPr>
        <w:pStyle w:val="Paragraphedeliste"/>
        <w:numPr>
          <w:ilvl w:val="0"/>
          <w:numId w:val="29"/>
        </w:numPr>
        <w:spacing w:before="0" w:after="0" w:line="259" w:lineRule="auto"/>
        <w:contextualSpacing/>
        <w:jc w:val="left"/>
      </w:pPr>
      <w:r w:rsidRPr="00B80B87">
        <w:t>4 grilles pour incubateur à 4 niveaux</w:t>
      </w:r>
    </w:p>
    <w:p w14:paraId="6EEB2DC7" w14:textId="77777777" w:rsidR="008705F3" w:rsidRPr="00B80B87" w:rsidRDefault="008705F3" w:rsidP="008705F3">
      <w:pPr>
        <w:pStyle w:val="Paragraphedeliste"/>
        <w:numPr>
          <w:ilvl w:val="0"/>
          <w:numId w:val="29"/>
        </w:numPr>
        <w:spacing w:before="0" w:after="0" w:line="259" w:lineRule="auto"/>
        <w:contextualSpacing/>
        <w:jc w:val="left"/>
      </w:pPr>
      <w:r w:rsidRPr="00B80B87">
        <w:t>&gt;4 K/min de capacitée de refroidissement</w:t>
      </w:r>
    </w:p>
    <w:p w14:paraId="4F481684" w14:textId="77777777" w:rsidR="008705F3" w:rsidRPr="00B80B87" w:rsidRDefault="008705F3" w:rsidP="008705F3">
      <w:pPr>
        <w:pStyle w:val="Paragraphedeliste"/>
        <w:numPr>
          <w:ilvl w:val="0"/>
          <w:numId w:val="29"/>
        </w:numPr>
        <w:spacing w:before="0" w:after="0" w:line="259" w:lineRule="auto"/>
        <w:contextualSpacing/>
        <w:jc w:val="left"/>
      </w:pPr>
      <w:r w:rsidRPr="00B80B87">
        <w:t>Amplitude de températures : -40°C à +180°C</w:t>
      </w:r>
    </w:p>
    <w:p w14:paraId="1B949D19" w14:textId="77777777" w:rsidR="008705F3" w:rsidRPr="00B80B87" w:rsidRDefault="008705F3" w:rsidP="008705F3">
      <w:pPr>
        <w:pStyle w:val="Paragraphedeliste"/>
        <w:numPr>
          <w:ilvl w:val="0"/>
          <w:numId w:val="29"/>
        </w:numPr>
        <w:spacing w:before="0" w:after="0" w:line="259" w:lineRule="auto"/>
        <w:contextualSpacing/>
        <w:jc w:val="left"/>
      </w:pPr>
      <w:r w:rsidRPr="00B80B87">
        <w:t>Recirculation de l’aire par une double paroi</w:t>
      </w:r>
    </w:p>
    <w:p w14:paraId="2F5B8513" w14:textId="77777777" w:rsidR="008705F3" w:rsidRPr="00B80B87" w:rsidRDefault="008705F3" w:rsidP="008705F3">
      <w:pPr>
        <w:pStyle w:val="Paragraphedeliste"/>
        <w:numPr>
          <w:ilvl w:val="0"/>
          <w:numId w:val="29"/>
        </w:numPr>
        <w:spacing w:before="0" w:after="0" w:line="259" w:lineRule="auto"/>
        <w:contextualSpacing/>
        <w:jc w:val="left"/>
      </w:pPr>
      <w:r w:rsidRPr="00B80B87">
        <w:t>Echange d'air avec l'extérieur contrôlables, grâce à plusieurs ouvertures refermables.</w:t>
      </w:r>
    </w:p>
    <w:p w14:paraId="650CFE32" w14:textId="78267C15" w:rsidR="008705F3" w:rsidRPr="00B80B87" w:rsidRDefault="008705F3" w:rsidP="008705F3">
      <w:pPr>
        <w:pStyle w:val="Paragraphedeliste"/>
        <w:numPr>
          <w:ilvl w:val="0"/>
          <w:numId w:val="29"/>
        </w:numPr>
        <w:spacing w:before="0" w:after="0" w:line="259" w:lineRule="auto"/>
        <w:contextualSpacing/>
        <w:jc w:val="left"/>
      </w:pPr>
      <w:r>
        <w:t>Ordre de grandeur du v</w:t>
      </w:r>
      <w:r w:rsidRPr="00B80B87">
        <w:t>olume de travail</w:t>
      </w:r>
      <w:r>
        <w:t> :</w:t>
      </w:r>
      <w:r w:rsidRPr="00B80B87">
        <w:t xml:space="preserve"> 115 L</w:t>
      </w:r>
    </w:p>
    <w:p w14:paraId="3E80AB44" w14:textId="569EAB51" w:rsidR="008705F3" w:rsidRPr="00B80B87" w:rsidRDefault="008705F3" w:rsidP="008705F3">
      <w:pPr>
        <w:pStyle w:val="Paragraphedeliste"/>
        <w:numPr>
          <w:ilvl w:val="0"/>
          <w:numId w:val="33"/>
        </w:numPr>
        <w:spacing w:before="0" w:after="0" w:line="259" w:lineRule="auto"/>
        <w:ind w:left="284" w:hanging="284"/>
        <w:contextualSpacing/>
        <w:jc w:val="left"/>
      </w:pPr>
      <w:r w:rsidRPr="00B80B87">
        <w:t>Dimensions</w:t>
      </w:r>
      <w:r>
        <w:t xml:space="preserve"> maximales</w:t>
      </w:r>
      <w:r w:rsidRPr="00B80B87">
        <w:t xml:space="preserve"> : H 1725 x L 980 x P 865 mm</w:t>
      </w:r>
    </w:p>
    <w:p w14:paraId="69372724" w14:textId="74610D72" w:rsidR="008705F3" w:rsidRPr="00B80B87" w:rsidRDefault="000A26FD" w:rsidP="008705F3">
      <w:pPr>
        <w:pStyle w:val="Paragraphedeliste"/>
        <w:numPr>
          <w:ilvl w:val="0"/>
          <w:numId w:val="33"/>
        </w:numPr>
        <w:spacing w:before="0" w:after="0" w:line="259" w:lineRule="auto"/>
        <w:ind w:left="284" w:hanging="284"/>
        <w:contextualSpacing/>
        <w:jc w:val="left"/>
      </w:pPr>
      <w:r>
        <w:t xml:space="preserve">Ordre de grandeur </w:t>
      </w:r>
      <w:r>
        <w:t>de grandeur de la p</w:t>
      </w:r>
      <w:r w:rsidR="008705F3" w:rsidRPr="00B80B87">
        <w:t>uissance : 4 800 W</w:t>
      </w:r>
    </w:p>
    <w:p w14:paraId="54BC9CD3" w14:textId="77777777" w:rsidR="008705F3" w:rsidRPr="00B80B87" w:rsidRDefault="008705F3" w:rsidP="008705F3">
      <w:pPr>
        <w:pStyle w:val="Paragraphedeliste"/>
        <w:spacing w:after="0"/>
        <w:ind w:left="0"/>
        <w:rPr>
          <w:u w:val="single"/>
        </w:rPr>
      </w:pPr>
      <w:r w:rsidRPr="00B80B87">
        <w:rPr>
          <w:u w:val="single"/>
        </w:rPr>
        <w:t>Enceinte B</w:t>
      </w:r>
    </w:p>
    <w:p w14:paraId="05EAA64A" w14:textId="7C71034A" w:rsidR="000A26FD" w:rsidRPr="00B80B87" w:rsidRDefault="008705F3" w:rsidP="000A26FD">
      <w:pPr>
        <w:pStyle w:val="Paragraphedeliste"/>
        <w:spacing w:after="0"/>
        <w:ind w:left="0"/>
      </w:pPr>
      <w:r w:rsidRPr="00B80B87">
        <w:t>La puissance de chauffage et de refroidissement peut être moins forte pour l’enceinte A, mais puisque le groupe froid et le dispositif de chauffage prendra moins de place, le volume intérieur de l’enceinte sera plus grand, pour permettre l’incubation de plus de matériel (boite de pétrie, erlenmeyer, plateau inox, etc).</w:t>
      </w:r>
      <w:r w:rsidR="000A26FD">
        <w:t xml:space="preserve"> Les caractéristiques requises </w:t>
      </w:r>
      <w:r w:rsidR="000A26FD">
        <w:t xml:space="preserve">pour cette seconde enceintes </w:t>
      </w:r>
      <w:r w:rsidR="000A26FD">
        <w:t xml:space="preserve">sont les suivantes : </w:t>
      </w:r>
    </w:p>
    <w:p w14:paraId="3A9601E1" w14:textId="77777777" w:rsidR="008705F3" w:rsidRPr="00B80B87" w:rsidRDefault="008705F3" w:rsidP="008705F3">
      <w:pPr>
        <w:pStyle w:val="Paragraphedeliste"/>
        <w:numPr>
          <w:ilvl w:val="0"/>
          <w:numId w:val="33"/>
        </w:numPr>
        <w:spacing w:before="0" w:after="0" w:line="259" w:lineRule="auto"/>
        <w:ind w:left="284" w:hanging="284"/>
        <w:contextualSpacing/>
        <w:jc w:val="left"/>
      </w:pPr>
      <w:r w:rsidRPr="00B80B87">
        <w:t>6 grilles pour incubateur à 6 niveaux</w:t>
      </w:r>
    </w:p>
    <w:p w14:paraId="27D2DD45" w14:textId="77777777" w:rsidR="008705F3" w:rsidRPr="00B80B87" w:rsidRDefault="008705F3" w:rsidP="008705F3">
      <w:pPr>
        <w:pStyle w:val="Paragraphedeliste"/>
        <w:numPr>
          <w:ilvl w:val="0"/>
          <w:numId w:val="33"/>
        </w:numPr>
        <w:spacing w:before="0" w:after="0" w:line="259" w:lineRule="auto"/>
        <w:ind w:left="284" w:hanging="284"/>
        <w:contextualSpacing/>
        <w:jc w:val="left"/>
      </w:pPr>
      <w:r w:rsidRPr="00B80B87">
        <w:t>Amplitude de températures : -20°C à 100°C</w:t>
      </w:r>
    </w:p>
    <w:p w14:paraId="5F7F734F" w14:textId="77777777" w:rsidR="008705F3" w:rsidRPr="00B80B87" w:rsidRDefault="008705F3" w:rsidP="008705F3">
      <w:pPr>
        <w:pStyle w:val="Paragraphedeliste"/>
        <w:numPr>
          <w:ilvl w:val="0"/>
          <w:numId w:val="33"/>
        </w:numPr>
        <w:spacing w:before="0" w:after="0" w:line="259" w:lineRule="auto"/>
        <w:ind w:left="284" w:hanging="284"/>
        <w:contextualSpacing/>
        <w:jc w:val="left"/>
      </w:pPr>
      <w:r w:rsidRPr="00B80B87">
        <w:t>Recirculation de l’aire par une double paroi</w:t>
      </w:r>
    </w:p>
    <w:p w14:paraId="37779656" w14:textId="77777777" w:rsidR="008705F3" w:rsidRPr="00B80B87" w:rsidRDefault="008705F3" w:rsidP="008705F3">
      <w:pPr>
        <w:pStyle w:val="Paragraphedeliste"/>
        <w:numPr>
          <w:ilvl w:val="0"/>
          <w:numId w:val="33"/>
        </w:numPr>
        <w:spacing w:before="0" w:after="0" w:line="259" w:lineRule="auto"/>
        <w:ind w:left="284" w:hanging="284"/>
        <w:contextualSpacing/>
        <w:jc w:val="left"/>
      </w:pPr>
      <w:r w:rsidRPr="00B80B87">
        <w:t>Echange d'air avec l'extérieur limité à une seul ouverture refermable (type « passage de câble »).</w:t>
      </w:r>
    </w:p>
    <w:p w14:paraId="01CF25A8" w14:textId="7849DC21" w:rsidR="008705F3" w:rsidRPr="00B80B87" w:rsidRDefault="000A26FD" w:rsidP="008705F3">
      <w:pPr>
        <w:pStyle w:val="Paragraphedeliste"/>
        <w:numPr>
          <w:ilvl w:val="0"/>
          <w:numId w:val="33"/>
        </w:numPr>
        <w:spacing w:before="0" w:after="0" w:line="259" w:lineRule="auto"/>
        <w:ind w:left="284" w:hanging="284"/>
        <w:contextualSpacing/>
        <w:jc w:val="left"/>
      </w:pPr>
      <w:r>
        <w:t>Ordre de grandeur du v</w:t>
      </w:r>
      <w:r w:rsidRPr="00B80B87">
        <w:t>olume de travail</w:t>
      </w:r>
      <w:r>
        <w:t> </w:t>
      </w:r>
      <w:r w:rsidRPr="00B80B87">
        <w:t xml:space="preserve"> </w:t>
      </w:r>
      <w:r w:rsidR="008705F3" w:rsidRPr="00B80B87">
        <w:t>: 127 L</w:t>
      </w:r>
    </w:p>
    <w:p w14:paraId="02E44B4B" w14:textId="03900A21" w:rsidR="008705F3" w:rsidRPr="00B80B87" w:rsidRDefault="000A26FD" w:rsidP="008705F3">
      <w:pPr>
        <w:pStyle w:val="Paragraphedeliste"/>
        <w:numPr>
          <w:ilvl w:val="0"/>
          <w:numId w:val="33"/>
        </w:numPr>
        <w:spacing w:before="0" w:after="0" w:line="259" w:lineRule="auto"/>
        <w:ind w:left="284" w:hanging="284"/>
        <w:contextualSpacing/>
        <w:jc w:val="left"/>
      </w:pPr>
      <w:r w:rsidRPr="00B80B87">
        <w:t>Dimensions</w:t>
      </w:r>
      <w:r>
        <w:t xml:space="preserve"> maximales</w:t>
      </w:r>
      <w:r w:rsidR="008705F3" w:rsidRPr="00B80B87">
        <w:t>: H 1005 x L 900 x P 710 mm</w:t>
      </w:r>
    </w:p>
    <w:p w14:paraId="0B2924A3" w14:textId="35D180A1" w:rsidR="008705F3" w:rsidRPr="00B80B87" w:rsidRDefault="000A26FD" w:rsidP="008705F3">
      <w:pPr>
        <w:pStyle w:val="Paragraphedeliste"/>
        <w:numPr>
          <w:ilvl w:val="0"/>
          <w:numId w:val="33"/>
        </w:numPr>
        <w:spacing w:before="0" w:after="0" w:line="259" w:lineRule="auto"/>
        <w:ind w:left="284" w:hanging="284"/>
        <w:contextualSpacing/>
        <w:jc w:val="left"/>
      </w:pPr>
      <w:r>
        <w:t>Ordre de grandeur de grandeur de la p</w:t>
      </w:r>
      <w:r w:rsidRPr="00B80B87">
        <w:t>uissance </w:t>
      </w:r>
      <w:r w:rsidR="008705F3" w:rsidRPr="00B80B87">
        <w:t>: 1900 W</w:t>
      </w:r>
    </w:p>
    <w:p w14:paraId="7C2AAC9E" w14:textId="77777777" w:rsidR="008705F3" w:rsidRPr="00B80B87" w:rsidRDefault="008705F3" w:rsidP="008705F3">
      <w:pPr>
        <w:pStyle w:val="Paragraphedeliste"/>
        <w:spacing w:after="0"/>
        <w:ind w:left="0"/>
      </w:pPr>
      <w:r w:rsidRPr="00B80B87">
        <w:lastRenderedPageBreak/>
        <w:t>L’offre doit également inclure pour les deux enceintes un système de raccordement à l’eau déminéralisée, en plus du fonctionnement avec réserves d’eau intégrée.</w:t>
      </w:r>
    </w:p>
    <w:p w14:paraId="0E43B47C" w14:textId="334C6E3F" w:rsidR="008705F3" w:rsidRPr="00B80B87" w:rsidRDefault="008705F3" w:rsidP="000A26FD">
      <w:pPr>
        <w:pStyle w:val="Paragraphedeliste"/>
        <w:spacing w:after="0"/>
        <w:ind w:left="0"/>
      </w:pPr>
      <w:r w:rsidRPr="00B80B87">
        <w:t>Prestations requises :</w:t>
      </w:r>
      <w:r w:rsidR="000A26FD">
        <w:t xml:space="preserve"> l</w:t>
      </w:r>
      <w:r w:rsidRPr="00B80B87">
        <w:t xml:space="preserve">ivraison, installation et formation </w:t>
      </w:r>
    </w:p>
    <w:p w14:paraId="34EF5941" w14:textId="77777777" w:rsidR="00D237C9" w:rsidRPr="008A1A90" w:rsidRDefault="001106A4">
      <w:pPr>
        <w:pStyle w:val="Titre2"/>
        <w:rPr>
          <w:rFonts w:ascii="AvenirNext LT Pro LightCn" w:hAnsi="AvenirNext LT Pro LightCn"/>
        </w:rPr>
      </w:pPr>
      <w:bookmarkStart w:id="89" w:name="_Toc164174631"/>
      <w:r w:rsidRPr="008A1A90">
        <w:rPr>
          <w:rFonts w:ascii="AvenirNext LT Pro LightCn" w:hAnsi="AvenirNext LT Pro LightCn"/>
        </w:rPr>
        <w:t>Indicateurs de suivi et taux de disponibilité</w:t>
      </w:r>
      <w:bookmarkEnd w:id="89"/>
    </w:p>
    <w:p w14:paraId="5D3FF272" w14:textId="77777777" w:rsidR="00D237C9" w:rsidRPr="008A1A90" w:rsidRDefault="001106A4">
      <w:pPr>
        <w:rPr>
          <w:rFonts w:ascii="AvenirNext LT Pro LightCn" w:hAnsi="AvenirNext LT Pro LightCn"/>
        </w:rPr>
      </w:pPr>
      <w:r w:rsidRPr="008A1A90">
        <w:rPr>
          <w:rFonts w:ascii="AvenirNext LT Pro LightCn" w:hAnsi="AvenirNext LT Pro LightCn"/>
        </w:rPr>
        <w:t>Un taux de disponibilité de l’équipement est calculé, l’indicateur retenu est le délai d’intervention. Ces indicateurs sont définis et calculés selon les règles décrites ci-après. Si les seuils définis ne sont pas respectés, le titulaire encourt des pénalités.</w:t>
      </w:r>
    </w:p>
    <w:p w14:paraId="7944E577" w14:textId="77777777" w:rsidR="00D237C9" w:rsidRPr="008A1A90" w:rsidRDefault="001106A4">
      <w:pPr>
        <w:pStyle w:val="Titre2"/>
        <w:rPr>
          <w:rFonts w:ascii="AvenirNext LT Pro LightCn" w:hAnsi="AvenirNext LT Pro LightCn"/>
        </w:rPr>
      </w:pPr>
      <w:bookmarkStart w:id="90" w:name="_Toc164174632"/>
      <w:r w:rsidRPr="008A1A90">
        <w:rPr>
          <w:rFonts w:ascii="AvenirNext LT Pro LightCn" w:hAnsi="AvenirNext LT Pro LightCn"/>
        </w:rPr>
        <w:t>Définition de l’indisponibilité</w:t>
      </w:r>
      <w:bookmarkEnd w:id="90"/>
    </w:p>
    <w:p w14:paraId="6323EF34" w14:textId="77777777" w:rsidR="00D237C9" w:rsidRPr="008A1A90" w:rsidRDefault="001106A4">
      <w:pPr>
        <w:rPr>
          <w:rFonts w:ascii="AvenirNext LT Pro LightCn" w:hAnsi="AvenirNext LT Pro LightCn"/>
        </w:rPr>
      </w:pPr>
      <w:r w:rsidRPr="008A1A90">
        <w:rPr>
          <w:rFonts w:ascii="AvenirNext LT Pro LightCn" w:hAnsi="AvenirNext LT Pro LightCn"/>
        </w:rPr>
        <w:t xml:space="preserve">L’équipement est déclaré indisponible lorsque, sans faute d’INRAE et en dehors des opérations de maintenance préventive, son usage est rendu impossible, soit par le fonctionnement défectueux de l’un de ses accessoires ou d'un dispositif qui est inclus, soit par le défaut de fonctionnement de l'un des logiciels faisant partie de cet instrument. </w:t>
      </w:r>
    </w:p>
    <w:p w14:paraId="749C8A29" w14:textId="77777777" w:rsidR="00D237C9" w:rsidRPr="008A1A90" w:rsidRDefault="001106A4">
      <w:pPr>
        <w:rPr>
          <w:rFonts w:ascii="AvenirNext LT Pro LightCn" w:hAnsi="AvenirNext LT Pro LightCn"/>
        </w:rPr>
      </w:pPr>
      <w:r w:rsidRPr="008A1A90">
        <w:rPr>
          <w:rFonts w:ascii="AvenirNext LT Pro LightCn" w:hAnsi="AvenirNext LT Pro LightCn"/>
        </w:rPr>
        <w:t>Ne sont pas considérés comme temps d'arrêt décomptés, les temps d'arrêt observés pendant les heures extérieures à l'horaire normal d'interventions du titulaire.</w:t>
      </w:r>
    </w:p>
    <w:p w14:paraId="346D32CB" w14:textId="77777777" w:rsidR="00D237C9" w:rsidRPr="008A1A90" w:rsidRDefault="001106A4">
      <w:pPr>
        <w:keepNext/>
        <w:keepLines/>
        <w:numPr>
          <w:ilvl w:val="2"/>
          <w:numId w:val="11"/>
        </w:numPr>
        <w:spacing w:before="360" w:after="240"/>
        <w:outlineLvl w:val="2"/>
        <w:rPr>
          <w:rFonts w:ascii="AvenirNext LT Pro LightCn" w:eastAsiaTheme="majorEastAsia" w:hAnsi="AvenirNext LT Pro LightCn" w:cstheme="majorBidi"/>
          <w:color w:val="00A6A3"/>
          <w:sz w:val="24"/>
          <w:szCs w:val="24"/>
        </w:rPr>
      </w:pPr>
      <w:bookmarkStart w:id="91" w:name="_Toc164174633"/>
      <w:r w:rsidRPr="008A1A90">
        <w:rPr>
          <w:rFonts w:ascii="AvenirNext LT Pro LightCn" w:eastAsiaTheme="majorEastAsia" w:hAnsi="AvenirNext LT Pro LightCn" w:cstheme="majorBidi"/>
          <w:color w:val="00A6A3"/>
          <w:sz w:val="24"/>
          <w:szCs w:val="24"/>
        </w:rPr>
        <w:t>Mesure de la durée d’arrêt</w:t>
      </w:r>
      <w:bookmarkEnd w:id="91"/>
    </w:p>
    <w:p w14:paraId="5C425ECD" w14:textId="77777777" w:rsidR="00D237C9" w:rsidRPr="008A1A90" w:rsidRDefault="001106A4">
      <w:pPr>
        <w:rPr>
          <w:rFonts w:ascii="AvenirNext LT Pro LightCn" w:hAnsi="AvenirNext LT Pro LightCn"/>
        </w:rPr>
      </w:pPr>
      <w:r w:rsidRPr="008A1A90">
        <w:rPr>
          <w:rFonts w:ascii="AvenirNext LT Pro LightCn" w:hAnsi="AvenirNext LT Pro LightCn"/>
        </w:rPr>
        <w:t xml:space="preserve">La période d'arrêt commence à la réception de l'appel, du courriel ou du signalement d’INRAE sur le support dédié du titulaire. Si l'accès du personnel du titulaire auprès de l’instrument est différé du fait d’INRAE, le décomptage de la période d'arrêt reprend dès que le matériel est mis à la disposition du personnel du titulaire. </w:t>
      </w:r>
    </w:p>
    <w:p w14:paraId="793BBC21" w14:textId="77777777" w:rsidR="00D237C9" w:rsidRPr="008A1A90" w:rsidRDefault="001106A4">
      <w:pPr>
        <w:rPr>
          <w:rFonts w:ascii="AvenirNext LT Pro LightCn" w:hAnsi="AvenirNext LT Pro LightCn"/>
        </w:rPr>
      </w:pPr>
      <w:r w:rsidRPr="008A1A90">
        <w:rPr>
          <w:rFonts w:ascii="AvenirNext LT Pro LightCn" w:hAnsi="AvenirNext LT Pro LightCn"/>
        </w:rPr>
        <w:t xml:space="preserve">La période d'arrêt cesse lorsque le personnel du titulaire remet l’instrument concerné, en état de marche, à la disposition d’INRAE. </w:t>
      </w:r>
    </w:p>
    <w:p w14:paraId="03AD4025" w14:textId="77777777" w:rsidR="00D237C9" w:rsidRDefault="001106A4">
      <w:pPr>
        <w:rPr>
          <w:rFonts w:ascii="AvenirNext LT Pro LightCn" w:hAnsi="AvenirNext LT Pro LightCn"/>
        </w:rPr>
      </w:pPr>
      <w:r w:rsidRPr="008A1A90">
        <w:rPr>
          <w:rFonts w:ascii="AvenirNext LT Pro LightCn" w:hAnsi="AvenirNext LT Pro LightCn"/>
        </w:rPr>
        <w:t>Les heures de début et de fin de la période d'arrêt</w:t>
      </w:r>
      <w:r>
        <w:rPr>
          <w:rFonts w:ascii="AvenirNext LT Pro LightCn" w:hAnsi="AvenirNext LT Pro LightCn"/>
        </w:rPr>
        <w:t xml:space="preserve"> sont relevées sur un carnet de bord.</w:t>
      </w:r>
    </w:p>
    <w:p w14:paraId="28826C30" w14:textId="77777777" w:rsidR="00D237C9" w:rsidRDefault="001106A4">
      <w:pPr>
        <w:pStyle w:val="Titre2"/>
        <w:rPr>
          <w:rFonts w:ascii="AvenirNext LT Pro LightCn" w:hAnsi="AvenirNext LT Pro LightCn"/>
        </w:rPr>
      </w:pPr>
      <w:bookmarkStart w:id="92" w:name="_Toc164174634"/>
      <w:r>
        <w:rPr>
          <w:rFonts w:ascii="AvenirNext LT Pro LightCn" w:hAnsi="AvenirNext LT Pro LightCn"/>
        </w:rPr>
        <w:t>Taux de disponibilité</w:t>
      </w:r>
      <w:bookmarkEnd w:id="92"/>
    </w:p>
    <w:p w14:paraId="2E7D2F60" w14:textId="77777777" w:rsidR="00D237C9" w:rsidRDefault="001106A4">
      <w:pPr>
        <w:rPr>
          <w:rFonts w:ascii="AvenirNext LT Pro LightCn" w:hAnsi="AvenirNext LT Pro LightCn"/>
        </w:rPr>
      </w:pPr>
      <w:r>
        <w:rPr>
          <w:rFonts w:ascii="AvenirNext LT Pro LightCn" w:hAnsi="AvenirNext LT Pro LightCn"/>
        </w:rPr>
        <w:t xml:space="preserve">INRAE et le titulaire conviennent de mesurer le taux de disponibilité annuel dudit équipement. </w:t>
      </w:r>
    </w:p>
    <w:p w14:paraId="138F49B9" w14:textId="77777777" w:rsidR="00D237C9" w:rsidRDefault="001106A4">
      <w:pPr>
        <w:rPr>
          <w:rFonts w:ascii="AvenirNext LT Pro LightCn" w:hAnsi="AvenirNext LT Pro LightCn"/>
        </w:rPr>
      </w:pPr>
      <w:r>
        <w:rPr>
          <w:rFonts w:ascii="AvenirNext LT Pro LightCn" w:hAnsi="AvenirNext LT Pro LightCn"/>
        </w:rPr>
        <w:t xml:space="preserve">Ce taux est défini par la formule suivante : </w:t>
      </w:r>
    </w:p>
    <w:p w14:paraId="7B0BFB7F" w14:textId="77777777" w:rsidR="00D237C9" w:rsidRDefault="001106A4">
      <w:pPr>
        <w:rPr>
          <w:rFonts w:ascii="AvenirNext LT Pro LightCn" w:hAnsi="AvenirNext LT Pro LightCn"/>
        </w:rPr>
      </w:pPr>
      <w:r>
        <w:rPr>
          <w:rFonts w:ascii="AvenirNext LT Pro LightCn" w:hAnsi="AvenirNext LT Pro LightCn"/>
        </w:rPr>
        <w:t xml:space="preserve">T = 100(1-T1/T2) exprimé en % </w:t>
      </w:r>
    </w:p>
    <w:p w14:paraId="15BC274F" w14:textId="77777777" w:rsidR="00D237C9" w:rsidRDefault="001106A4">
      <w:pPr>
        <w:spacing w:before="0" w:after="0"/>
        <w:rPr>
          <w:rFonts w:ascii="AvenirNext LT Pro LightCn" w:hAnsi="AvenirNext LT Pro LightCn"/>
        </w:rPr>
      </w:pPr>
      <w:r>
        <w:rPr>
          <w:rFonts w:ascii="AvenirNext LT Pro LightCn" w:hAnsi="AvenirNext LT Pro LightCn"/>
        </w:rPr>
        <w:t>Dans laquelle :</w:t>
      </w:r>
    </w:p>
    <w:p w14:paraId="6E3CB207" w14:textId="77777777" w:rsidR="00D237C9" w:rsidRDefault="001106A4">
      <w:pPr>
        <w:numPr>
          <w:ilvl w:val="0"/>
          <w:numId w:val="12"/>
        </w:numPr>
        <w:spacing w:before="0" w:after="0"/>
        <w:rPr>
          <w:rFonts w:ascii="AvenirNext LT Pro LightCn" w:hAnsi="AvenirNext LT Pro LightCn"/>
        </w:rPr>
      </w:pPr>
      <w:r>
        <w:rPr>
          <w:rFonts w:ascii="AvenirNext LT Pro LightCn" w:hAnsi="AvenirNext LT Pro LightCn"/>
        </w:rPr>
        <w:t>T1 représente la somme des durées d’arrêt définies au paragraphe « Mesure de la durée d’arrêt » sur la période de mesure considérée (annuellement)</w:t>
      </w:r>
    </w:p>
    <w:p w14:paraId="29869674" w14:textId="77777777" w:rsidR="00D237C9" w:rsidRDefault="001106A4">
      <w:pPr>
        <w:numPr>
          <w:ilvl w:val="0"/>
          <w:numId w:val="12"/>
        </w:numPr>
        <w:spacing w:before="0" w:after="0"/>
        <w:rPr>
          <w:rFonts w:ascii="AvenirNext LT Pro LightCn" w:hAnsi="AvenirNext LT Pro LightCn"/>
        </w:rPr>
      </w:pPr>
      <w:r>
        <w:rPr>
          <w:rFonts w:ascii="AvenirNext LT Pro LightCn" w:hAnsi="AvenirNext LT Pro LightCn"/>
        </w:rPr>
        <w:t>T2 représente la durée d’utilisation annuelle effective de l’équipement.</w:t>
      </w:r>
    </w:p>
    <w:p w14:paraId="2B46A6CD" w14:textId="77777777" w:rsidR="00D237C9" w:rsidRDefault="001106A4">
      <w:pPr>
        <w:keepNext/>
        <w:keepLines/>
        <w:numPr>
          <w:ilvl w:val="2"/>
          <w:numId w:val="13"/>
        </w:numPr>
        <w:spacing w:before="360" w:after="240"/>
        <w:outlineLvl w:val="2"/>
        <w:rPr>
          <w:rFonts w:ascii="AvenirNext LT Pro LightCn" w:eastAsiaTheme="majorEastAsia" w:hAnsi="AvenirNext LT Pro LightCn" w:cstheme="majorBidi"/>
          <w:color w:val="00A6A3"/>
          <w:sz w:val="24"/>
          <w:szCs w:val="24"/>
        </w:rPr>
      </w:pPr>
      <w:bookmarkStart w:id="93" w:name="_Toc164174635"/>
      <w:r>
        <w:rPr>
          <w:rFonts w:ascii="AvenirNext LT Pro LightCn" w:eastAsiaTheme="majorEastAsia" w:hAnsi="AvenirNext LT Pro LightCn" w:cstheme="majorBidi"/>
          <w:color w:val="00A6A3"/>
          <w:sz w:val="24"/>
          <w:szCs w:val="24"/>
        </w:rPr>
        <w:t>Délai maximal autorisé</w:t>
      </w:r>
      <w:bookmarkEnd w:id="93"/>
    </w:p>
    <w:p w14:paraId="5079C4F6" w14:textId="77777777" w:rsidR="00D237C9" w:rsidRDefault="001106A4">
      <w:pPr>
        <w:rPr>
          <w:rFonts w:ascii="AvenirNext LT Pro LightCn" w:hAnsi="AvenirNext LT Pro LightCn"/>
        </w:rPr>
      </w:pPr>
      <w:r>
        <w:rPr>
          <w:rFonts w:ascii="AvenirNext LT Pro LightCn" w:hAnsi="AvenirNext LT Pro LightCn"/>
        </w:rPr>
        <w:t>Le délai maximal autorisé est décompté à partir du jour et de l’heure du signalement par INRAE aux services du titulaire, tel que décrit au paragraphe « Mesure de la durée d’arrêt ».</w:t>
      </w:r>
    </w:p>
    <w:p w14:paraId="6A85FDF0" w14:textId="77777777" w:rsidR="00D237C9" w:rsidRDefault="001106A4">
      <w:pPr>
        <w:rPr>
          <w:rFonts w:ascii="AvenirNext LT Pro LightCn" w:hAnsi="AvenirNext LT Pro LightCn"/>
        </w:rPr>
      </w:pPr>
      <w:r>
        <w:rPr>
          <w:rFonts w:ascii="AvenirNext LT Pro LightCn" w:hAnsi="AvenirNext LT Pro LightCn"/>
        </w:rPr>
        <w:t>Le titulaire devra minimiser son délai d’intervention afin de ne pas dégrader le taux de disponibilité de l’équipement.</w:t>
      </w:r>
    </w:p>
    <w:p w14:paraId="316BC198" w14:textId="77777777" w:rsidR="00D237C9" w:rsidRDefault="001106A4">
      <w:pPr>
        <w:pStyle w:val="Titre2"/>
        <w:rPr>
          <w:rFonts w:ascii="AvenirNext LT Pro LightCn" w:hAnsi="AvenirNext LT Pro LightCn"/>
        </w:rPr>
      </w:pPr>
      <w:bookmarkStart w:id="94" w:name="_Toc164174636"/>
      <w:r>
        <w:rPr>
          <w:rFonts w:ascii="AvenirNext LT Pro LightCn" w:hAnsi="AvenirNext LT Pro LightCn"/>
        </w:rPr>
        <w:lastRenderedPageBreak/>
        <w:t>– Emballage et transport</w:t>
      </w:r>
      <w:bookmarkEnd w:id="94"/>
    </w:p>
    <w:p w14:paraId="0DEEC328" w14:textId="77777777" w:rsidR="00D237C9" w:rsidRDefault="001106A4">
      <w:pPr>
        <w:rPr>
          <w:rFonts w:ascii="AvenirNext LT Pro LightCn" w:hAnsi="AvenirNext LT Pro LightCn"/>
        </w:rPr>
      </w:pPr>
      <w:r>
        <w:rPr>
          <w:rFonts w:ascii="AvenirNext LT Pro LightCn" w:hAnsi="AvenirNext LT Pro LightCn"/>
        </w:rPr>
        <w:t>Les inscriptions sur les emballages livrés au titre du présent marché doivent être libellées en français, en application de la loi n°94-665 du 4 août 1994 et sa circulaire du 19 mars 1996, publiée au Journal Officiel du 20 mars 1996.</w:t>
      </w:r>
    </w:p>
    <w:p w14:paraId="1BC18E54" w14:textId="77777777" w:rsidR="00D237C9" w:rsidRDefault="001106A4">
      <w:pPr>
        <w:rPr>
          <w:rFonts w:ascii="AvenirNext LT Pro LightCn" w:hAnsi="AvenirNext LT Pro LightCn"/>
        </w:rPr>
      </w:pPr>
      <w:r>
        <w:rPr>
          <w:rFonts w:ascii="AvenirNext LT Pro LightCn" w:hAnsi="AvenirNext LT Pro LightCn"/>
        </w:rPr>
        <w:t>Les risques afférents au transport et à la livraison de l’équipement sont à la charge du titulaire.</w:t>
      </w:r>
    </w:p>
    <w:p w14:paraId="6B7DFA37" w14:textId="77777777" w:rsidR="00D237C9" w:rsidRDefault="001106A4">
      <w:pPr>
        <w:rPr>
          <w:rFonts w:ascii="AvenirNext LT Pro LightCn" w:hAnsi="AvenirNext LT Pro LightCn"/>
        </w:rPr>
      </w:pPr>
      <w:r>
        <w:rPr>
          <w:rFonts w:ascii="AvenirNext LT Pro LightCn" w:hAnsi="AvenirNext LT Pro LightCn"/>
        </w:rPr>
        <w:t>La récupération des emballages relatifs aux matériels livrés est à la charge du titulaire.</w:t>
      </w:r>
    </w:p>
    <w:p w14:paraId="5AF4F7AE" w14:textId="77777777" w:rsidR="00D237C9" w:rsidRDefault="001106A4">
      <w:pPr>
        <w:rPr>
          <w:rFonts w:ascii="AvenirNext LT Pro LightCn" w:hAnsi="AvenirNext LT Pro LightCn"/>
          <w:b/>
        </w:rPr>
      </w:pPr>
      <w:r>
        <w:rPr>
          <w:rFonts w:ascii="AvenirNext LT Pro LightCn" w:hAnsi="AvenirNext LT Pro LightCn"/>
          <w:b/>
        </w:rPr>
        <w:t>Le titulaire est incité à utiliser un emballage respectueux de l’environnement, notamment :</w:t>
      </w:r>
    </w:p>
    <w:p w14:paraId="02CEB70A" w14:textId="77777777" w:rsidR="00D237C9" w:rsidRDefault="001106A4">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utilisant des emballages pour lesquels les déchets produits lors de leur fabrication sont traités pour en réduire les impacts écologiques négatifs ;</w:t>
      </w:r>
    </w:p>
    <w:p w14:paraId="4F50B287" w14:textId="77777777" w:rsidR="00D237C9" w:rsidRDefault="001106A4">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utilisant des emballages comprenant des matériaux recyclés ;</w:t>
      </w:r>
    </w:p>
    <w:p w14:paraId="65DDD237" w14:textId="77777777" w:rsidR="00D237C9" w:rsidRDefault="001106A4">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utilisant des emballages réutilisables ;</w:t>
      </w:r>
    </w:p>
    <w:p w14:paraId="09D66B6A" w14:textId="77777777" w:rsidR="00D237C9" w:rsidRDefault="001106A4">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diminuant le volume d’emballage utilisé ;</w:t>
      </w:r>
    </w:p>
    <w:p w14:paraId="01E37669" w14:textId="77777777" w:rsidR="00D237C9" w:rsidRDefault="001106A4">
      <w:pPr>
        <w:pStyle w:val="Paragraphedeliste"/>
        <w:numPr>
          <w:ilvl w:val="0"/>
          <w:numId w:val="4"/>
        </w:numPr>
        <w:spacing w:before="40" w:after="40"/>
        <w:ind w:left="714" w:hanging="357"/>
        <w:rPr>
          <w:rFonts w:ascii="AvenirNext LT Pro LightCn" w:hAnsi="AvenirNext LT Pro LightCn"/>
        </w:rPr>
      </w:pPr>
      <w:r>
        <w:rPr>
          <w:rFonts w:ascii="AvenirNext LT Pro LightCn" w:hAnsi="AvenirNext LT Pro LightCn"/>
        </w:rPr>
        <w:t>En assurant le recyclage des emballages utilisés.</w:t>
      </w:r>
    </w:p>
    <w:p w14:paraId="0E4256C4" w14:textId="77777777" w:rsidR="00D237C9" w:rsidRDefault="00D237C9">
      <w:pPr>
        <w:spacing w:before="40" w:after="40"/>
        <w:rPr>
          <w:rFonts w:ascii="AvenirNext LT Pro LightCn" w:hAnsi="AvenirNext LT Pro LightCn"/>
        </w:rPr>
      </w:pPr>
    </w:p>
    <w:p w14:paraId="22074EA9" w14:textId="77777777" w:rsidR="00D237C9" w:rsidRDefault="001106A4">
      <w:pPr>
        <w:spacing w:before="40" w:after="40"/>
        <w:rPr>
          <w:rFonts w:ascii="AvenirNext LT Pro LightCn" w:hAnsi="AvenirNext LT Pro LightCn"/>
        </w:rPr>
      </w:pPr>
      <w:r>
        <w:rPr>
          <w:rFonts w:ascii="AvenirNext LT Pro LightCn" w:hAnsi="AvenirNext LT Pro LightCn"/>
        </w:rPr>
        <w:t>L</w:t>
      </w:r>
      <w:r>
        <w:rPr>
          <w:rFonts w:ascii="AvenirNext LT Pro LightCn" w:hAnsi="AvenirNext LT Pro LightCn"/>
          <w:b/>
        </w:rPr>
        <w:t>a prestation de transport peut également faire l’objet d’efforts écologiques de la part du titulaire, notamment :</w:t>
      </w:r>
    </w:p>
    <w:p w14:paraId="0D616F62" w14:textId="77777777" w:rsidR="00D237C9" w:rsidRDefault="001106A4">
      <w:pPr>
        <w:pStyle w:val="Paragraphedeliste"/>
        <w:numPr>
          <w:ilvl w:val="0"/>
          <w:numId w:val="4"/>
        </w:numPr>
        <w:spacing w:before="40" w:after="40"/>
        <w:rPr>
          <w:rFonts w:ascii="AvenirNext LT Pro LightCn" w:hAnsi="AvenirNext LT Pro LightCn"/>
        </w:rPr>
      </w:pPr>
      <w:r>
        <w:rPr>
          <w:rFonts w:ascii="AvenirNext LT Pro LightCn" w:hAnsi="AvenirNext LT Pro LightCn"/>
        </w:rPr>
        <w:t>Si le délai de livraison le permet, en évitant le recours à l’avion ;</w:t>
      </w:r>
    </w:p>
    <w:p w14:paraId="6DFAA8BD" w14:textId="77777777" w:rsidR="00D237C9" w:rsidRDefault="001106A4">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utilisant des véhicules économes en carburant traditionnel ;</w:t>
      </w:r>
    </w:p>
    <w:p w14:paraId="442845F5" w14:textId="77777777" w:rsidR="00D237C9" w:rsidRDefault="001106A4">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utilisant des véhicules totalement ou partiellement électriques ou compatibles GPL ou GNV ;</w:t>
      </w:r>
    </w:p>
    <w:p w14:paraId="5810A60A" w14:textId="77777777" w:rsidR="00D237C9" w:rsidRDefault="001106A4">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recourant à des véhicules réduisant les nuisances sonores.</w:t>
      </w:r>
    </w:p>
    <w:p w14:paraId="11BEA5E7" w14:textId="77777777" w:rsidR="00D237C9" w:rsidRDefault="001106A4">
      <w:pPr>
        <w:pStyle w:val="Titre2"/>
        <w:rPr>
          <w:rFonts w:ascii="AvenirNext LT Pro LightCn" w:hAnsi="AvenirNext LT Pro LightCn"/>
        </w:rPr>
      </w:pPr>
      <w:bookmarkStart w:id="95" w:name="_Toc41990868"/>
      <w:bookmarkStart w:id="96" w:name="_Toc164174637"/>
      <w:r>
        <w:rPr>
          <w:rFonts w:ascii="AvenirNext LT Pro LightCn" w:hAnsi="AvenirNext LT Pro LightCn"/>
        </w:rPr>
        <w:t>– Livraison</w:t>
      </w:r>
      <w:bookmarkEnd w:id="95"/>
      <w:bookmarkEnd w:id="96"/>
    </w:p>
    <w:p w14:paraId="59EF4158" w14:textId="77777777" w:rsidR="00D237C9" w:rsidRDefault="001106A4">
      <w:pPr>
        <w:rPr>
          <w:rFonts w:ascii="AvenirNext LT Pro LightCn" w:hAnsi="AvenirNext LT Pro LightCn"/>
        </w:rPr>
      </w:pPr>
      <w:r>
        <w:rPr>
          <w:rFonts w:ascii="AvenirNext LT Pro LightCn" w:hAnsi="AvenirNext LT Pro LightCn"/>
        </w:rPr>
        <w:t>Les livraisons doivent être effectuées aux heures d’ouverture suivantes </w:t>
      </w:r>
    </w:p>
    <w:p w14:paraId="4AAAB02C" w14:textId="77777777" w:rsidR="00D237C9" w:rsidRDefault="001106A4">
      <w:pPr>
        <w:spacing w:before="0" w:after="0"/>
        <w:rPr>
          <w:rFonts w:ascii="AvenirNext LT Pro LightCn" w:hAnsi="AvenirNext LT Pro LightCn"/>
        </w:rPr>
      </w:pPr>
      <w:r>
        <w:rPr>
          <w:rFonts w:ascii="AvenirNext LT Pro LightCn" w:hAnsi="AvenirNext LT Pro LightCn"/>
        </w:rPr>
        <w:t>INRAE – US1503 Ferments du Futur</w:t>
      </w:r>
    </w:p>
    <w:p w14:paraId="113574B5" w14:textId="77777777" w:rsidR="00D237C9" w:rsidRDefault="001106A4">
      <w:pPr>
        <w:spacing w:before="0" w:after="0"/>
        <w:rPr>
          <w:rFonts w:ascii="AvenirNext LT Pro LightCn" w:hAnsi="AvenirNext LT Pro LightCn"/>
        </w:rPr>
      </w:pPr>
      <w:r>
        <w:rPr>
          <w:rFonts w:ascii="AvenirNext LT Pro LightCn" w:hAnsi="AvenirNext LT Pro LightCn"/>
        </w:rPr>
        <w:t>2 rue Jean Rostand</w:t>
      </w:r>
    </w:p>
    <w:p w14:paraId="4ACB0CBC" w14:textId="77777777" w:rsidR="00D237C9" w:rsidRDefault="001106A4">
      <w:pPr>
        <w:spacing w:before="0" w:after="0"/>
        <w:rPr>
          <w:rFonts w:ascii="AvenirNext LT Pro LightCn" w:hAnsi="AvenirNext LT Pro LightCn"/>
        </w:rPr>
      </w:pPr>
      <w:r>
        <w:rPr>
          <w:rFonts w:ascii="AvenirNext LT Pro LightCn" w:hAnsi="AvenirNext LT Pro LightCn"/>
        </w:rPr>
        <w:t>91400 ORSAY</w:t>
      </w:r>
    </w:p>
    <w:p w14:paraId="6AB45EFD" w14:textId="77777777" w:rsidR="00D237C9" w:rsidRDefault="00D237C9">
      <w:pPr>
        <w:spacing w:before="0" w:after="0"/>
        <w:rPr>
          <w:rFonts w:ascii="AvenirNext LT Pro LightCn" w:hAnsi="AvenirNext LT Pro LightCn"/>
        </w:rPr>
      </w:pPr>
    </w:p>
    <w:p w14:paraId="24ACEFD2" w14:textId="77777777" w:rsidR="00D237C9" w:rsidRDefault="001106A4">
      <w:pPr>
        <w:spacing w:before="0" w:after="0"/>
        <w:rPr>
          <w:rFonts w:ascii="AvenirNext LT Pro LightCn" w:hAnsi="AvenirNext LT Pro LightCn"/>
        </w:rPr>
      </w:pPr>
      <w:r>
        <w:rPr>
          <w:rFonts w:ascii="AvenirNext LT Pro LightCn" w:hAnsi="AvenirNext LT Pro LightCn"/>
        </w:rPr>
        <w:t>Du lundi au vendredi, de 9h30 à 12h30 et de 13h30 à 17h30.</w:t>
      </w:r>
    </w:p>
    <w:p w14:paraId="197911F3" w14:textId="77777777" w:rsidR="00D237C9" w:rsidRDefault="00D237C9">
      <w:pPr>
        <w:spacing w:before="0" w:after="0"/>
        <w:rPr>
          <w:rFonts w:ascii="AvenirNext LT Pro LightCn" w:hAnsi="AvenirNext LT Pro LightCn"/>
          <w:highlight w:val="yellow"/>
        </w:rPr>
      </w:pPr>
    </w:p>
    <w:p w14:paraId="54B255C4" w14:textId="77777777" w:rsidR="00D237C9" w:rsidRDefault="001106A4">
      <w:pPr>
        <w:rPr>
          <w:rFonts w:ascii="AvenirNext LT Pro LightCn" w:hAnsi="AvenirNext LT Pro LightCn"/>
        </w:rPr>
      </w:pPr>
      <w:r>
        <w:rPr>
          <w:rFonts w:ascii="AvenirNext LT Pro LightCn" w:hAnsi="AvenirNext LT Pro LightCn"/>
        </w:rPr>
        <w:t>Par dérogation aux stipulations de l’article 19 du CCAG-FCS, INRAE n’informe pas systématiquement le titulaire de la disponibilité des locaux destinés à l’installation du matériel, dans le délai de quinze jours au moins, avant la livraison de celui-ci.</w:t>
      </w:r>
    </w:p>
    <w:p w14:paraId="58912CC6" w14:textId="77777777" w:rsidR="00D237C9" w:rsidRDefault="001106A4">
      <w:pPr>
        <w:rPr>
          <w:rFonts w:ascii="AvenirNext LT Pro LightCn" w:hAnsi="AvenirNext LT Pro LightCn"/>
        </w:rPr>
      </w:pPr>
      <w:r>
        <w:rPr>
          <w:rFonts w:ascii="AvenirNext LT Pro LightCn" w:hAnsi="AvenirNext LT Pro LightCn"/>
        </w:rPr>
        <w:t>Par dérogation aux dispositions de l’article 21.2 du CCAG-FCS, le bon de livraison doit faire apparaitre :</w:t>
      </w:r>
    </w:p>
    <w:p w14:paraId="546F8956" w14:textId="77777777" w:rsidR="00D237C9" w:rsidRDefault="001106A4">
      <w:pPr>
        <w:pStyle w:val="Paragraphedeliste"/>
        <w:numPr>
          <w:ilvl w:val="0"/>
          <w:numId w:val="4"/>
        </w:numPr>
        <w:spacing w:before="40" w:after="0"/>
        <w:ind w:left="714" w:hanging="357"/>
        <w:rPr>
          <w:rFonts w:ascii="AvenirNext LT Pro LightCn" w:hAnsi="AvenirNext LT Pro LightCn"/>
        </w:rPr>
      </w:pPr>
      <w:r>
        <w:rPr>
          <w:rFonts w:ascii="AvenirNext LT Pro LightCn" w:hAnsi="AvenirNext LT Pro LightCn"/>
        </w:rPr>
        <w:t>La date d’expédition</w:t>
      </w:r>
    </w:p>
    <w:p w14:paraId="55F4872D" w14:textId="77777777" w:rsidR="00D237C9" w:rsidRDefault="001106A4">
      <w:pPr>
        <w:pStyle w:val="Paragraphedeliste"/>
        <w:numPr>
          <w:ilvl w:val="0"/>
          <w:numId w:val="4"/>
        </w:numPr>
        <w:spacing w:before="40" w:after="0"/>
        <w:ind w:left="714" w:hanging="357"/>
        <w:rPr>
          <w:rFonts w:ascii="AvenirNext LT Pro LightCn" w:hAnsi="AvenirNext LT Pro LightCn"/>
        </w:rPr>
      </w:pPr>
      <w:r>
        <w:rPr>
          <w:rFonts w:ascii="AvenirNext LT Pro LightCn" w:hAnsi="AvenirNext LT Pro LightCn"/>
        </w:rPr>
        <w:t>Le destinataire</w:t>
      </w:r>
    </w:p>
    <w:p w14:paraId="20F2A882" w14:textId="77777777" w:rsidR="00D237C9" w:rsidRDefault="001106A4">
      <w:pPr>
        <w:pStyle w:val="Paragraphedeliste"/>
        <w:numPr>
          <w:ilvl w:val="0"/>
          <w:numId w:val="4"/>
        </w:numPr>
        <w:spacing w:before="40" w:after="0"/>
        <w:ind w:left="714" w:hanging="357"/>
        <w:rPr>
          <w:rFonts w:ascii="AvenirNext LT Pro LightCn" w:hAnsi="AvenirNext LT Pro LightCn"/>
        </w:rPr>
      </w:pPr>
      <w:r>
        <w:rPr>
          <w:rFonts w:ascii="AvenirNext LT Pro LightCn" w:hAnsi="AvenirNext LT Pro LightCn"/>
        </w:rPr>
        <w:t>L’adresse de livraison</w:t>
      </w:r>
    </w:p>
    <w:p w14:paraId="183750EE" w14:textId="77777777" w:rsidR="00D237C9" w:rsidRDefault="001106A4">
      <w:pPr>
        <w:pStyle w:val="Paragraphedeliste"/>
        <w:numPr>
          <w:ilvl w:val="0"/>
          <w:numId w:val="4"/>
        </w:numPr>
        <w:spacing w:before="40" w:after="0"/>
        <w:ind w:left="714" w:hanging="357"/>
        <w:rPr>
          <w:rFonts w:ascii="AvenirNext LT Pro LightCn" w:hAnsi="AvenirNext LT Pro LightCn"/>
        </w:rPr>
      </w:pPr>
      <w:r>
        <w:rPr>
          <w:rFonts w:ascii="AvenirNext LT Pro LightCn" w:hAnsi="AvenirNext LT Pro LightCn"/>
        </w:rPr>
        <w:t>La référence du marché</w:t>
      </w:r>
    </w:p>
    <w:p w14:paraId="1D287BCD" w14:textId="77777777" w:rsidR="00D237C9" w:rsidRDefault="001106A4">
      <w:pPr>
        <w:pStyle w:val="Paragraphedeliste"/>
        <w:numPr>
          <w:ilvl w:val="0"/>
          <w:numId w:val="4"/>
        </w:numPr>
        <w:spacing w:before="40" w:after="0"/>
        <w:ind w:left="714" w:hanging="357"/>
        <w:rPr>
          <w:rFonts w:ascii="AvenirNext LT Pro LightCn" w:hAnsi="AvenirNext LT Pro LightCn"/>
        </w:rPr>
      </w:pPr>
      <w:r>
        <w:rPr>
          <w:rFonts w:ascii="AvenirNext LT Pro LightCn" w:hAnsi="AvenirNext LT Pro LightCn"/>
        </w:rPr>
        <w:t>L’identification du titulaire</w:t>
      </w:r>
    </w:p>
    <w:p w14:paraId="352229EF" w14:textId="77777777" w:rsidR="00D237C9" w:rsidRDefault="001106A4">
      <w:pPr>
        <w:pStyle w:val="Paragraphedeliste"/>
        <w:numPr>
          <w:ilvl w:val="0"/>
          <w:numId w:val="4"/>
        </w:numPr>
        <w:spacing w:before="40" w:after="0"/>
        <w:ind w:left="714" w:hanging="357"/>
        <w:rPr>
          <w:rFonts w:ascii="AvenirNext LT Pro LightCn" w:hAnsi="AvenirNext LT Pro LightCn"/>
        </w:rPr>
      </w:pPr>
      <w:r>
        <w:rPr>
          <w:rFonts w:ascii="AvenirNext LT Pro LightCn" w:hAnsi="AvenirNext LT Pro LightCn"/>
        </w:rPr>
        <w:t>L’identification des fournitures livrées et, quand il y a lieu, leur répartition par colis</w:t>
      </w:r>
    </w:p>
    <w:p w14:paraId="7AAF9415" w14:textId="77777777" w:rsidR="00D237C9" w:rsidRDefault="001106A4">
      <w:pPr>
        <w:pStyle w:val="Paragraphedeliste"/>
        <w:numPr>
          <w:ilvl w:val="0"/>
          <w:numId w:val="4"/>
        </w:numPr>
        <w:spacing w:before="40" w:after="0"/>
        <w:ind w:left="714" w:hanging="357"/>
        <w:rPr>
          <w:rFonts w:ascii="AvenirNext LT Pro LightCn" w:hAnsi="AvenirNext LT Pro LightCn"/>
        </w:rPr>
      </w:pPr>
      <w:r>
        <w:rPr>
          <w:rFonts w:ascii="AvenirNext LT Pro LightCn" w:hAnsi="AvenirNext LT Pro LightCn"/>
        </w:rPr>
        <w:t>Le numéro du ou des lots de fabrication, dans le cas où la réglementation l’impose en matière d’étiquetage. Chaque colis doit porter de façon apparente son numéro d’ordre, tel qu’il figure sur le bon de livraison ou l’état. Il renferme l’inventaire de son contenu.</w:t>
      </w:r>
    </w:p>
    <w:p w14:paraId="3CD0D6CD" w14:textId="77777777" w:rsidR="00D237C9" w:rsidRDefault="001106A4">
      <w:pPr>
        <w:pStyle w:val="Titre2"/>
        <w:rPr>
          <w:rFonts w:ascii="AvenirNext LT Pro LightCn" w:hAnsi="AvenirNext LT Pro LightCn"/>
        </w:rPr>
      </w:pPr>
      <w:bookmarkStart w:id="97" w:name="_Toc41990869"/>
      <w:bookmarkStart w:id="98" w:name="_Toc164174638"/>
      <w:r>
        <w:rPr>
          <w:rFonts w:ascii="AvenirNext LT Pro LightCn" w:hAnsi="AvenirNext LT Pro LightCn"/>
        </w:rPr>
        <w:lastRenderedPageBreak/>
        <w:t>– Documentation à fournir</w:t>
      </w:r>
      <w:bookmarkEnd w:id="97"/>
      <w:bookmarkEnd w:id="98"/>
    </w:p>
    <w:p w14:paraId="32CD42FA" w14:textId="77777777" w:rsidR="00D237C9" w:rsidRDefault="001106A4">
      <w:pPr>
        <w:rPr>
          <w:rFonts w:ascii="AvenirNext LT Pro LightCn" w:hAnsi="AvenirNext LT Pro LightCn"/>
        </w:rPr>
      </w:pPr>
      <w:r>
        <w:rPr>
          <w:rFonts w:ascii="AvenirNext LT Pro LightCn" w:hAnsi="AvenirNext LT Pro LightCn"/>
        </w:rPr>
        <w:t>Le titulaire s’engage à fournir la documentation suivante :</w:t>
      </w:r>
    </w:p>
    <w:p w14:paraId="078F35C2" w14:textId="77777777" w:rsidR="00D237C9" w:rsidRDefault="001106A4">
      <w:pPr>
        <w:pStyle w:val="Paragraphedeliste"/>
        <w:numPr>
          <w:ilvl w:val="0"/>
          <w:numId w:val="7"/>
        </w:numPr>
        <w:contextualSpacing/>
        <w:rPr>
          <w:rFonts w:ascii="AvenirNext LT Pro LightCn" w:hAnsi="AvenirNext LT Pro LightCn"/>
          <w:sz w:val="20"/>
          <w:szCs w:val="20"/>
        </w:rPr>
      </w:pPr>
      <w:r>
        <w:rPr>
          <w:rFonts w:ascii="AvenirNext LT Pro LightCn" w:hAnsi="AvenirNext LT Pro LightCn"/>
        </w:rPr>
        <w:t>Notice détaillée, si possible en langue française, précisant les modalités et les conditions d’utilisation de l’ensemble des fournitures livrées (équipement, logiciels)</w:t>
      </w:r>
    </w:p>
    <w:p w14:paraId="1C0E0B27" w14:textId="77777777" w:rsidR="00D237C9" w:rsidRDefault="001106A4">
      <w:pPr>
        <w:pStyle w:val="Paragraphedeliste"/>
        <w:numPr>
          <w:ilvl w:val="0"/>
          <w:numId w:val="7"/>
        </w:numPr>
        <w:spacing w:after="240"/>
        <w:ind w:left="714" w:hanging="357"/>
        <w:contextualSpacing/>
        <w:rPr>
          <w:rFonts w:ascii="AvenirNext LT Pro LightCn" w:hAnsi="AvenirNext LT Pro LightCn"/>
          <w:sz w:val="20"/>
          <w:szCs w:val="20"/>
        </w:rPr>
      </w:pPr>
      <w:r>
        <w:rPr>
          <w:rFonts w:ascii="AvenirNext LT Pro LightCn" w:hAnsi="AvenirNext LT Pro LightCn"/>
        </w:rPr>
        <w:t>Certificats de conformité aux normes CE des fournitures</w:t>
      </w:r>
    </w:p>
    <w:p w14:paraId="61CE8912" w14:textId="77777777" w:rsidR="00D237C9" w:rsidRDefault="001106A4">
      <w:pPr>
        <w:pStyle w:val="Paragraphedeliste"/>
        <w:numPr>
          <w:ilvl w:val="0"/>
          <w:numId w:val="7"/>
        </w:numPr>
        <w:spacing w:after="240"/>
        <w:ind w:left="714" w:hanging="357"/>
        <w:contextualSpacing/>
        <w:rPr>
          <w:rFonts w:ascii="AvenirNext LT Pro LightCn" w:hAnsi="AvenirNext LT Pro LightCn"/>
          <w:sz w:val="20"/>
          <w:szCs w:val="20"/>
        </w:rPr>
      </w:pPr>
      <w:r>
        <w:rPr>
          <w:rFonts w:ascii="AvenirNext LT Pro LightCn" w:hAnsi="AvenirNext LT Pro LightCn"/>
        </w:rPr>
        <w:t xml:space="preserve"> Manuel de formation des utilisateurs.</w:t>
      </w:r>
    </w:p>
    <w:p w14:paraId="4B6D5054" w14:textId="77777777" w:rsidR="00D237C9" w:rsidRDefault="001106A4">
      <w:pPr>
        <w:pStyle w:val="Titre2"/>
        <w:rPr>
          <w:rFonts w:ascii="AvenirNext LT Pro LightCn" w:hAnsi="AvenirNext LT Pro LightCn"/>
          <w:sz w:val="20"/>
          <w:szCs w:val="20"/>
        </w:rPr>
      </w:pPr>
      <w:bookmarkStart w:id="99" w:name="_Toc164174639"/>
      <w:r>
        <w:rPr>
          <w:rFonts w:ascii="AvenirNext LT Pro LightCn" w:hAnsi="AvenirNext LT Pro LightCn"/>
        </w:rPr>
        <w:t>– Licence logiciel</w:t>
      </w:r>
      <w:bookmarkEnd w:id="99"/>
    </w:p>
    <w:p w14:paraId="3BAF89B9" w14:textId="77777777" w:rsidR="00D237C9" w:rsidRDefault="001106A4">
      <w:pPr>
        <w:rPr>
          <w:rFonts w:ascii="AvenirNext LT Pro LightCn" w:hAnsi="AvenirNext LT Pro LightCn"/>
        </w:rPr>
      </w:pPr>
      <w:r>
        <w:rPr>
          <w:rFonts w:ascii="AvenirNext LT Pro LightCn" w:hAnsi="AvenirNext LT Pro LightCn"/>
        </w:rPr>
        <w:t>Le titulaire s’engage à fournir pour les logiciels de traitement des données une licence de site multi-utilisateurs permanente dans sa dernière version. Les conditions de mise à jour et de changement de version sont décrites à l’article 11.2.1 du présent AECCP.</w:t>
      </w:r>
    </w:p>
    <w:p w14:paraId="58434490" w14:textId="77777777" w:rsidR="00D237C9" w:rsidRDefault="001106A4">
      <w:pPr>
        <w:pStyle w:val="Titre2"/>
        <w:rPr>
          <w:rFonts w:ascii="AvenirNext LT Pro LightCn" w:hAnsi="AvenirNext LT Pro LightCn"/>
          <w:sz w:val="20"/>
          <w:szCs w:val="20"/>
        </w:rPr>
      </w:pPr>
      <w:bookmarkStart w:id="100" w:name="_Toc164174640"/>
      <w:r>
        <w:rPr>
          <w:rFonts w:ascii="AvenirNext LT Pro LightCn" w:hAnsi="AvenirNext LT Pro LightCn"/>
        </w:rPr>
        <w:t>– Formation à l’utilisation et à la maintenance de l’équipement</w:t>
      </w:r>
      <w:bookmarkEnd w:id="100"/>
    </w:p>
    <w:p w14:paraId="27AA37A8" w14:textId="7EDF5D57" w:rsidR="00D237C9" w:rsidRDefault="001106A4">
      <w:pPr>
        <w:rPr>
          <w:rFonts w:ascii="AvenirNext LT Pro LightCn" w:hAnsi="AvenirNext LT Pro LightCn"/>
        </w:rPr>
      </w:pPr>
      <w:r>
        <w:rPr>
          <w:rFonts w:ascii="AvenirNext LT Pro LightCn" w:hAnsi="AvenirNext LT Pro LightCn"/>
        </w:rPr>
        <w:t>Le marché inclut, à la charge du titulaire, une journée de formation par un spécialiste de l’équipement pour 1 à 4 utilisateurs.</w:t>
      </w:r>
    </w:p>
    <w:p w14:paraId="4825FEB9" w14:textId="77777777" w:rsidR="00D237C9" w:rsidRDefault="001106A4">
      <w:pPr>
        <w:pStyle w:val="Titre2"/>
        <w:rPr>
          <w:rFonts w:ascii="AvenirNext LT Pro LightCn" w:hAnsi="AvenirNext LT Pro LightCn"/>
          <w:sz w:val="20"/>
          <w:szCs w:val="20"/>
        </w:rPr>
      </w:pPr>
      <w:bookmarkStart w:id="101" w:name="_Toc164174641"/>
      <w:r>
        <w:rPr>
          <w:rFonts w:ascii="AvenirNext LT Pro LightCn" w:hAnsi="AvenirNext LT Pro LightCn"/>
        </w:rPr>
        <w:t>– Brevets et licences</w:t>
      </w:r>
      <w:bookmarkEnd w:id="101"/>
    </w:p>
    <w:p w14:paraId="74A9DF1D" w14:textId="77777777" w:rsidR="00D237C9" w:rsidRDefault="001106A4">
      <w:pPr>
        <w:rPr>
          <w:rFonts w:ascii="AvenirNext LT Pro LightCn" w:hAnsi="AvenirNext LT Pro LightCn"/>
        </w:rPr>
      </w:pPr>
      <w:r>
        <w:rPr>
          <w:rFonts w:ascii="AvenirNext LT Pro LightCn" w:hAnsi="AvenirNext LT Pro LightCn"/>
        </w:rPr>
        <w:t>Le titulaire s’engage à être à jour du règlement des redevances dues au titre des brevets et licences d’exploitation des matériels distribués.</w:t>
      </w:r>
    </w:p>
    <w:p w14:paraId="33E1488F" w14:textId="77777777" w:rsidR="00D237C9" w:rsidRDefault="001106A4">
      <w:pPr>
        <w:pStyle w:val="Titre2"/>
        <w:rPr>
          <w:rFonts w:ascii="AvenirNext LT Pro LightCn" w:hAnsi="AvenirNext LT Pro LightCn"/>
          <w:sz w:val="20"/>
          <w:szCs w:val="20"/>
        </w:rPr>
      </w:pPr>
      <w:bookmarkStart w:id="102" w:name="_Toc164174642"/>
      <w:r>
        <w:rPr>
          <w:rFonts w:ascii="AvenirNext LT Pro LightCn" w:hAnsi="AvenirNext LT Pro LightCn"/>
        </w:rPr>
        <w:t>– Sous-traitance</w:t>
      </w:r>
      <w:bookmarkEnd w:id="102"/>
    </w:p>
    <w:p w14:paraId="64A95483" w14:textId="77777777" w:rsidR="00D237C9" w:rsidRDefault="001106A4">
      <w:pPr>
        <w:rPr>
          <w:rFonts w:ascii="AvenirNext LT Pro LightCn" w:hAnsi="AvenirNext LT Pro LightCn"/>
        </w:rPr>
      </w:pPr>
      <w:r>
        <w:rPr>
          <w:rFonts w:ascii="AvenirNext LT Pro LightCn" w:hAnsi="AvenirNext LT Pro LightCn"/>
        </w:rPr>
        <w:t>Les prestations de services et les travaux de pose ou d’installation pourront être sous-traitées, dans les conditions prévues à l’article L.2193-1 du code de la commande publique, à condition d’avoir obtenu d’INRAE, l’acceptation de chaque sous-traitant et l’agrément de ses conditions de paiement lors de la remise de son offre ou en cours d’exécution du marché.</w:t>
      </w:r>
    </w:p>
    <w:p w14:paraId="4F1C1921" w14:textId="77777777" w:rsidR="00D237C9" w:rsidRDefault="001106A4">
      <w:pPr>
        <w:spacing w:before="0" w:after="0"/>
        <w:rPr>
          <w:rFonts w:ascii="AvenirNext LT Pro LightCn" w:hAnsi="AvenirNext LT Pro LightCn"/>
        </w:rPr>
      </w:pPr>
      <w:r>
        <w:rPr>
          <w:rFonts w:ascii="AvenirNext LT Pro LightCn" w:hAnsi="AvenirNext LT Pro LightCn"/>
        </w:rPr>
        <w:t>Le DC4 (</w:t>
      </w:r>
      <w:hyperlink r:id="rId16" w:tooltip="https://www.economie.gouv.fr/daj/formulaires-declaration-du-candidat" w:history="1">
        <w:r>
          <w:rPr>
            <w:rFonts w:ascii="AvenirNext LT Pro LightCn" w:hAnsi="AvenirNext LT Pro LightCn"/>
            <w:color w:val="0000FF"/>
            <w:u w:val="single"/>
          </w:rPr>
          <w:t>Les formulaires de déclaration du candidat | economie.gouv.fr</w:t>
        </w:r>
      </w:hyperlink>
      <w:r>
        <w:rPr>
          <w:rFonts w:ascii="AvenirNext LT Pro LightCn" w:hAnsi="AvenirNext LT Pro LightCn"/>
        </w:rPr>
        <w:t xml:space="preserve">) doit être envoyé par le titulaire à INRAE, en main propre contre récépissé ou par lettre recommandée avec avis de réception ou par tout autre moyen permettant d’en attester la date et heure de réception. </w:t>
      </w:r>
    </w:p>
    <w:p w14:paraId="03FCE447" w14:textId="77777777" w:rsidR="00D237C9" w:rsidRDefault="001106A4">
      <w:pPr>
        <w:spacing w:after="0"/>
        <w:rPr>
          <w:rFonts w:ascii="AvenirNext LT Pro LightCn" w:hAnsi="AvenirNext LT Pro LightCn"/>
        </w:rPr>
      </w:pPr>
      <w:r>
        <w:rPr>
          <w:rFonts w:ascii="AvenirNext LT Pro LightCn" w:hAnsi="AvenirNext LT Pro LightCn"/>
        </w:rPr>
        <w:t xml:space="preserve">Le titulaire avise ses sous-traitants de ce que les obligations énoncées notamment aux articles L.2193-2 à L.2193-14 du même code leur sont applicables et reste responsable du respect de celles-ci envers INRAE. </w:t>
      </w:r>
    </w:p>
    <w:p w14:paraId="17CE30BE" w14:textId="77777777" w:rsidR="00D237C9" w:rsidRDefault="001106A4">
      <w:pPr>
        <w:rPr>
          <w:rFonts w:ascii="AvenirNext LT Pro LightCn" w:hAnsi="AvenirNext LT Pro LightCn"/>
        </w:rPr>
      </w:pPr>
      <w:r>
        <w:rPr>
          <w:rFonts w:ascii="AvenirNext LT Pro LightCn" w:hAnsi="AvenirNext LT Pro LightCn"/>
        </w:rPr>
        <w:t>En tout état de cause, le titulaire s’engage à insérer dans les documents contractuels régissant ses rapports avec son sous-traitant, l’obligation pour celui-ci de respecter l’ensemble des règles de sécurité et des règles de protection des données auxquelles le titulaire est lui-même soumis aux termes du présent marché.</w:t>
      </w:r>
    </w:p>
    <w:p w14:paraId="5C309E4C" w14:textId="77777777" w:rsidR="00D237C9" w:rsidRDefault="00D237C9">
      <w:pPr>
        <w:pStyle w:val="Default"/>
        <w:rPr>
          <w:rFonts w:ascii="AvenirNext LT Pro LightCn" w:hAnsi="AvenirNext LT Pro LightCn"/>
          <w:b/>
          <w:bCs/>
          <w:color w:val="00A6A3"/>
        </w:rPr>
      </w:pPr>
    </w:p>
    <w:p w14:paraId="5035A911" w14:textId="77777777" w:rsidR="00D237C9" w:rsidRDefault="001106A4">
      <w:pPr>
        <w:pStyle w:val="Default"/>
        <w:rPr>
          <w:rFonts w:ascii="AvenirNext LT Pro LightCn" w:eastAsiaTheme="minorEastAsia" w:hAnsi="AvenirNext LT Pro LightCn" w:cs="Arial"/>
          <w:color w:val="00A6A3"/>
          <w:lang w:eastAsia="en-US"/>
        </w:rPr>
      </w:pPr>
      <w:r>
        <w:rPr>
          <w:rFonts w:ascii="AvenirNext LT Pro LightCn" w:hAnsi="AvenirNext LT Pro LightCn"/>
          <w:b/>
          <w:bCs/>
          <w:color w:val="00A6A3"/>
        </w:rPr>
        <w:t xml:space="preserve">Paiement direct du sous-traitant </w:t>
      </w:r>
      <w:r>
        <w:rPr>
          <w:rFonts w:ascii="AvenirNext LT Pro LightCn" w:hAnsi="AvenirNext LT Pro LightCn"/>
          <w:color w:val="00A6A3"/>
        </w:rPr>
        <w:t xml:space="preserve">: </w:t>
      </w:r>
    </w:p>
    <w:p w14:paraId="35A3DAC0" w14:textId="77777777" w:rsidR="00D237C9" w:rsidRDefault="001106A4">
      <w:pPr>
        <w:pStyle w:val="Default"/>
        <w:spacing w:before="120"/>
        <w:jc w:val="both"/>
        <w:rPr>
          <w:rFonts w:ascii="AvenirNext LT Pro LightCn" w:eastAsiaTheme="minorHAnsi" w:hAnsi="AvenirNext LT Pro LightCn" w:cstheme="minorBidi"/>
          <w:color w:val="auto"/>
          <w:sz w:val="22"/>
          <w:szCs w:val="22"/>
          <w:lang w:eastAsia="en-US"/>
        </w:rPr>
      </w:pPr>
      <w:r>
        <w:rPr>
          <w:rFonts w:ascii="AvenirNext LT Pro LightCn" w:eastAsiaTheme="minorHAnsi" w:hAnsi="AvenirNext LT Pro LightCn" w:cstheme="minorBidi"/>
          <w:color w:val="auto"/>
          <w:sz w:val="22"/>
          <w:szCs w:val="22"/>
          <w:lang w:eastAsia="en-US"/>
        </w:rPr>
        <w:t xml:space="preserve">Le sous-traitant a droit à un </w:t>
      </w:r>
      <w:r>
        <w:rPr>
          <w:rFonts w:ascii="AvenirNext LT Pro LightCn" w:eastAsiaTheme="minorHAnsi" w:hAnsi="AvenirNext LT Pro LightCn" w:cstheme="minorBidi"/>
          <w:b/>
          <w:color w:val="auto"/>
          <w:sz w:val="22"/>
          <w:szCs w:val="22"/>
          <w:lang w:eastAsia="en-US"/>
        </w:rPr>
        <w:t>paiement direct</w:t>
      </w:r>
      <w:r>
        <w:rPr>
          <w:rFonts w:ascii="AvenirNext LT Pro LightCn" w:eastAsiaTheme="minorHAnsi" w:hAnsi="AvenirNext LT Pro LightCn" w:cstheme="minorBidi"/>
          <w:color w:val="auto"/>
          <w:sz w:val="22"/>
          <w:szCs w:val="22"/>
          <w:lang w:eastAsia="en-US"/>
        </w:rPr>
        <w:t xml:space="preserve"> pour des prestations supérieures à 600 €TTC. </w:t>
      </w:r>
    </w:p>
    <w:p w14:paraId="6A0BCEF7" w14:textId="77777777" w:rsidR="00D237C9" w:rsidRDefault="001106A4">
      <w:pPr>
        <w:pStyle w:val="Default"/>
        <w:spacing w:before="120"/>
        <w:jc w:val="both"/>
        <w:rPr>
          <w:rFonts w:ascii="AvenirNext LT Pro LightCn" w:hAnsi="AvenirNext LT Pro LightCn"/>
          <w:color w:val="auto"/>
        </w:rPr>
      </w:pPr>
      <w:r>
        <w:rPr>
          <w:rFonts w:ascii="AvenirNext LT Pro LightCn" w:eastAsiaTheme="minorHAnsi" w:hAnsi="AvenirNext LT Pro LightCn" w:cstheme="minorBidi"/>
          <w:color w:val="auto"/>
          <w:sz w:val="22"/>
          <w:szCs w:val="22"/>
          <w:lang w:eastAsia="en-US"/>
        </w:rPr>
        <w:t>Selon les dispositions de l’article R2193-16 du CCP, le sous-traitant dépose sa demande de paiement sans autre formalité, au format pdf. sur le site</w:t>
      </w:r>
      <w:r>
        <w:rPr>
          <w:rFonts w:ascii="AvenirNext LT Pro LightCn" w:hAnsi="AvenirNext LT Pro LightCn"/>
          <w:color w:val="auto"/>
        </w:rPr>
        <w:t xml:space="preserve"> : </w:t>
      </w:r>
      <w:hyperlink r:id="rId17" w:tooltip="https://chorus-pro.gouv.fr" w:history="1">
        <w:r>
          <w:rPr>
            <w:rStyle w:val="Lienhypertexte"/>
            <w:rFonts w:ascii="AvenirNext LT Pro LightCn" w:hAnsi="AvenirNext LT Pro LightCn"/>
          </w:rPr>
          <w:t>https://chorus-pro.gouv.fr</w:t>
        </w:r>
      </w:hyperlink>
      <w:r>
        <w:rPr>
          <w:rFonts w:ascii="AvenirNext LT Pro LightCn" w:hAnsi="AvenirNext LT Pro LightCn"/>
          <w:color w:val="auto"/>
        </w:rPr>
        <w:t>.</w:t>
      </w:r>
    </w:p>
    <w:p w14:paraId="620FC40D" w14:textId="77777777" w:rsidR="00D237C9" w:rsidRDefault="001106A4">
      <w:pPr>
        <w:spacing w:after="0"/>
        <w:rPr>
          <w:rFonts w:ascii="AvenirNext LT Pro LightCn" w:hAnsi="AvenirNext LT Pro LightCn"/>
        </w:rPr>
      </w:pPr>
      <w:r>
        <w:rPr>
          <w:rFonts w:ascii="AvenirNext LT Pro LightCn" w:hAnsi="AvenirNext LT Pro LightCn"/>
        </w:rPr>
        <w:t>Le titulaire dispose de quinze jours à compter de ce dépôt pour accepter ou refuser la demande de paiement sur ce portail.</w:t>
      </w:r>
    </w:p>
    <w:p w14:paraId="11E11D43" w14:textId="77777777" w:rsidR="00D237C9" w:rsidRDefault="001106A4">
      <w:pPr>
        <w:spacing w:after="0"/>
        <w:rPr>
          <w:rFonts w:ascii="AvenirNext LT Pro LightCn" w:hAnsi="AvenirNext LT Pro LightCn"/>
        </w:rPr>
      </w:pPr>
      <w:r>
        <w:rPr>
          <w:rFonts w:ascii="AvenirNext LT Pro LightCn" w:hAnsi="AvenirNext LT Pro LightCn"/>
        </w:rPr>
        <w:t xml:space="preserve">INRAE procède au paiement du sous-traitant dans le délai maximum de 30 jours. Ce délai court à compter de la réception par INRAE de l'accord, total ou partiel, du titulaire sur le paiement, ou de l'expiration du délai de 15 jours susmentionné </w:t>
      </w:r>
      <w:r>
        <w:rPr>
          <w:rFonts w:ascii="AvenirNext LT Pro LightCn" w:hAnsi="AvenirNext LT Pro LightCn"/>
        </w:rPr>
        <w:lastRenderedPageBreak/>
        <w:t xml:space="preserve">si, pendant ce délai, le titulaire n'a notifié aucun accord ni aucun refus. INRAE informe le titulaire des paiements qu'il verse au sous-traitant. </w:t>
      </w:r>
    </w:p>
    <w:p w14:paraId="042C5475" w14:textId="77777777" w:rsidR="00D237C9" w:rsidRDefault="00D237C9">
      <w:pPr>
        <w:spacing w:after="0"/>
        <w:rPr>
          <w:rFonts w:ascii="AvenirNext LT Pro LightCn" w:hAnsi="AvenirNext LT Pro LightCn"/>
        </w:rPr>
      </w:pPr>
    </w:p>
    <w:p w14:paraId="33B0BA10" w14:textId="77777777" w:rsidR="00D237C9" w:rsidRDefault="001106A4">
      <w:pPr>
        <w:pStyle w:val="Titre1"/>
        <w:spacing w:before="360" w:after="240"/>
        <w:ind w:left="357" w:hanging="357"/>
        <w:rPr>
          <w:rFonts w:ascii="AvenirNext LT Pro LightCn" w:hAnsi="AvenirNext LT Pro LightCn"/>
          <w:i/>
          <w:iCs/>
        </w:rPr>
      </w:pPr>
      <w:bookmarkStart w:id="103" w:name="_Toc164174643"/>
      <w:r>
        <w:rPr>
          <w:rFonts w:ascii="AvenirNext LT Pro LightCn" w:hAnsi="AvenirNext LT Pro LightCn"/>
        </w:rPr>
        <w:t>DURÉE ET DELAIS D’EXECUTION DU MARCHÉ</w:t>
      </w:r>
      <w:bookmarkEnd w:id="103"/>
      <w:r>
        <w:rPr>
          <w:rFonts w:ascii="AvenirNext LT Pro LightCn" w:hAnsi="AvenirNext LT Pro LightCn"/>
        </w:rPr>
        <w:t xml:space="preserve"> </w:t>
      </w:r>
    </w:p>
    <w:p w14:paraId="1DDEBC13" w14:textId="77777777" w:rsidR="00D237C9" w:rsidRDefault="001106A4">
      <w:pPr>
        <w:pStyle w:val="Titre2"/>
        <w:rPr>
          <w:rFonts w:ascii="AvenirNext LT Pro LightCn" w:hAnsi="AvenirNext LT Pro LightCn"/>
          <w:sz w:val="20"/>
          <w:szCs w:val="20"/>
        </w:rPr>
      </w:pPr>
      <w:bookmarkStart w:id="104" w:name="_Toc41990854"/>
      <w:bookmarkStart w:id="105" w:name="_Toc164174644"/>
      <w:r>
        <w:rPr>
          <w:rFonts w:ascii="AvenirNext LT Pro LightCn" w:hAnsi="AvenirNext LT Pro LightCn"/>
        </w:rPr>
        <w:t>– Durée du marché</w:t>
      </w:r>
      <w:bookmarkEnd w:id="104"/>
      <w:bookmarkEnd w:id="105"/>
    </w:p>
    <w:p w14:paraId="04E1EA97" w14:textId="423BC82C" w:rsidR="00D237C9" w:rsidRDefault="001106A4">
      <w:pPr>
        <w:rPr>
          <w:rFonts w:ascii="AvenirNext LT Pro LightCn" w:hAnsi="AvenirNext LT Pro LightCn"/>
        </w:rPr>
      </w:pPr>
      <w:r>
        <w:rPr>
          <w:rFonts w:ascii="AvenirNext LT Pro LightCn" w:hAnsi="AvenirNext LT Pro LightCn"/>
        </w:rPr>
        <w:t>La durée du marché débute à sa date de notification et se termine à l’extinction du délai de garantie.</w:t>
      </w:r>
    </w:p>
    <w:p w14:paraId="69F1537B" w14:textId="77777777" w:rsidR="00D237C9" w:rsidRDefault="001106A4">
      <w:pPr>
        <w:pStyle w:val="Titre2"/>
        <w:rPr>
          <w:rFonts w:ascii="AvenirNext LT Pro LightCn" w:hAnsi="AvenirNext LT Pro LightCn"/>
        </w:rPr>
      </w:pPr>
      <w:bookmarkStart w:id="106" w:name="page4"/>
      <w:bookmarkStart w:id="107" w:name="_Toc41990855"/>
      <w:bookmarkStart w:id="108" w:name="_Toc164174645"/>
      <w:bookmarkEnd w:id="106"/>
      <w:r>
        <w:rPr>
          <w:rFonts w:ascii="AvenirNext LT Pro LightCn" w:hAnsi="AvenirNext LT Pro LightCn"/>
        </w:rPr>
        <w:t>– Délai de livraison</w:t>
      </w:r>
      <w:bookmarkEnd w:id="107"/>
      <w:bookmarkEnd w:id="108"/>
    </w:p>
    <w:p w14:paraId="6A1C9176" w14:textId="77777777" w:rsidR="00D237C9" w:rsidRDefault="001106A4">
      <w:pPr>
        <w:rPr>
          <w:rFonts w:ascii="AvenirNext LT Pro LightCn" w:hAnsi="AvenirNext LT Pro LightCn"/>
        </w:rPr>
      </w:pPr>
      <w:r>
        <w:rPr>
          <w:rFonts w:ascii="AvenirNext LT Pro LightCn" w:hAnsi="AvenirNext LT Pro LightCn"/>
        </w:rPr>
        <w:t>Le délai de livraison est le délai indiqué par le titulaire dans le devis précité. Ce délai court à compter de la date de réception du bon de commande par le titulaire.</w:t>
      </w:r>
    </w:p>
    <w:p w14:paraId="65055EC4" w14:textId="77777777" w:rsidR="00D237C9" w:rsidRDefault="001106A4">
      <w:pPr>
        <w:pStyle w:val="Titre2"/>
        <w:rPr>
          <w:rFonts w:ascii="AvenirNext LT Pro LightCn" w:hAnsi="AvenirNext LT Pro LightCn"/>
          <w:sz w:val="20"/>
          <w:szCs w:val="20"/>
        </w:rPr>
      </w:pPr>
      <w:bookmarkStart w:id="109" w:name="_Toc41990856"/>
      <w:bookmarkStart w:id="110" w:name="_Toc164174646"/>
      <w:r>
        <w:rPr>
          <w:rFonts w:ascii="AvenirNext LT Pro LightCn" w:hAnsi="AvenirNext LT Pro LightCn"/>
        </w:rPr>
        <w:t>- Prolongation du délai</w:t>
      </w:r>
      <w:bookmarkEnd w:id="109"/>
      <w:bookmarkEnd w:id="110"/>
    </w:p>
    <w:p w14:paraId="1A116B8F" w14:textId="77777777" w:rsidR="00D237C9" w:rsidRDefault="001106A4">
      <w:pPr>
        <w:rPr>
          <w:rFonts w:ascii="AvenirNext LT Pro LightCn" w:hAnsi="AvenirNext LT Pro LightCn"/>
        </w:rPr>
      </w:pPr>
      <w:r>
        <w:rPr>
          <w:rFonts w:ascii="AvenirNext LT Pro LightCn" w:hAnsi="AvenirNext LT Pro LightCn"/>
        </w:rPr>
        <w:t>Une prolongation du délai de livraison peut être accordée par le pouvoir adjudicateur dans les conditions de l’article 13.3 du CCAG-FCS.</w:t>
      </w:r>
    </w:p>
    <w:p w14:paraId="29580512" w14:textId="77777777" w:rsidR="00D237C9" w:rsidRDefault="001106A4">
      <w:pPr>
        <w:pStyle w:val="Titre1"/>
        <w:rPr>
          <w:rFonts w:ascii="AvenirNext LT Pro LightCn" w:hAnsi="AvenirNext LT Pro LightCn"/>
        </w:rPr>
      </w:pPr>
      <w:bookmarkStart w:id="111" w:name="_Toc164174647"/>
      <w:r>
        <w:rPr>
          <w:rFonts w:ascii="AvenirNext LT Pro LightCn" w:hAnsi="AvenirNext LT Pro LightCn"/>
        </w:rPr>
        <w:t>INSTALLATIONS, MISE EN ORDRE DE MARCHE, VÉRIFICATION ET ADMISSION DES FOURNITURES</w:t>
      </w:r>
      <w:bookmarkEnd w:id="111"/>
      <w:r>
        <w:rPr>
          <w:rFonts w:ascii="AvenirNext LT Pro LightCn" w:hAnsi="AvenirNext LT Pro LightCn"/>
        </w:rPr>
        <w:t xml:space="preserve"> </w:t>
      </w:r>
    </w:p>
    <w:p w14:paraId="30C75F41" w14:textId="77777777" w:rsidR="00D237C9" w:rsidRDefault="001106A4">
      <w:pPr>
        <w:pStyle w:val="Titre2"/>
        <w:rPr>
          <w:rFonts w:ascii="AvenirNext LT Pro LightCn" w:hAnsi="AvenirNext LT Pro LightCn"/>
          <w:sz w:val="20"/>
          <w:szCs w:val="20"/>
        </w:rPr>
      </w:pPr>
      <w:bookmarkStart w:id="112" w:name="_Toc164174648"/>
      <w:r>
        <w:rPr>
          <w:rFonts w:ascii="AvenirNext LT Pro LightCn" w:hAnsi="AvenirNext LT Pro LightCn"/>
        </w:rPr>
        <w:t>– Installation et mise en ordre de marche</w:t>
      </w:r>
      <w:bookmarkEnd w:id="112"/>
    </w:p>
    <w:p w14:paraId="6B9E00AD" w14:textId="77777777" w:rsidR="00D237C9" w:rsidRDefault="001106A4">
      <w:pPr>
        <w:rPr>
          <w:rFonts w:ascii="AvenirNext LT Pro LightCn" w:hAnsi="AvenirNext LT Pro LightCn"/>
        </w:rPr>
      </w:pPr>
      <w:r>
        <w:rPr>
          <w:rFonts w:ascii="AvenirNext LT Pro LightCn" w:hAnsi="AvenirNext LT Pro LightCn"/>
        </w:rPr>
        <w:t xml:space="preserve">Le présent marché inclut à la charge du titulaire l’ensemble des prestations et fournitures nécessaires à l’installation et à la mise en ordre de marche (mise en service opérationnelle) de l’équipement. </w:t>
      </w:r>
    </w:p>
    <w:p w14:paraId="278CD24D" w14:textId="77777777" w:rsidR="00D237C9" w:rsidRDefault="001106A4">
      <w:pPr>
        <w:rPr>
          <w:rFonts w:ascii="AvenirNext LT Pro LightCn" w:hAnsi="AvenirNext LT Pro LightCn"/>
        </w:rPr>
      </w:pPr>
      <w:r>
        <w:rPr>
          <w:rFonts w:ascii="AvenirNext LT Pro LightCn" w:hAnsi="AvenirNext LT Pro LightCn"/>
        </w:rPr>
        <w:t xml:space="preserve">Le titulaire du présent marché notifiera à INRAE la mise en ordre de marche (MOM) de l’équipement, selon le modèle joint en annexe, par courrier ou mail. Cette notification lancera l’étape relative aux opérations de vérification. </w:t>
      </w:r>
    </w:p>
    <w:p w14:paraId="606CABB6" w14:textId="77777777" w:rsidR="00D237C9" w:rsidRDefault="001106A4">
      <w:pPr>
        <w:pStyle w:val="Titre2"/>
        <w:rPr>
          <w:rFonts w:ascii="AvenirNext LT Pro LightCn" w:hAnsi="AvenirNext LT Pro LightCn"/>
          <w:sz w:val="20"/>
          <w:szCs w:val="20"/>
        </w:rPr>
      </w:pPr>
      <w:bookmarkStart w:id="113" w:name="_Toc164174649"/>
      <w:r>
        <w:rPr>
          <w:rFonts w:ascii="AvenirNext LT Pro LightCn" w:hAnsi="AvenirNext LT Pro LightCn"/>
        </w:rPr>
        <w:t>– Opérations de vérification – Admission des prestations</w:t>
      </w:r>
      <w:bookmarkEnd w:id="113"/>
    </w:p>
    <w:p w14:paraId="440459DB" w14:textId="77777777" w:rsidR="00D237C9" w:rsidRDefault="001106A4">
      <w:pPr>
        <w:spacing w:after="0"/>
        <w:rPr>
          <w:rFonts w:ascii="AvenirNext LT Pro LightCn" w:hAnsi="AvenirNext LT Pro LightCn"/>
        </w:rPr>
      </w:pPr>
      <w:r>
        <w:rPr>
          <w:rFonts w:ascii="AvenirNext LT Pro LightCn" w:hAnsi="AvenirNext LT Pro LightCn"/>
        </w:rPr>
        <w:t>Les opérations de vérification quantitative et qualitative sont effectuées par le représentant d’INRAE conformément aux dispositions prévues par les articles 27 à 33 du CCAG-FCS, excepté pour les points qui suivent.</w:t>
      </w:r>
    </w:p>
    <w:p w14:paraId="75F8003F" w14:textId="77777777" w:rsidR="00D237C9" w:rsidRDefault="001106A4">
      <w:pPr>
        <w:spacing w:after="0"/>
        <w:rPr>
          <w:rFonts w:ascii="AvenirNext LT Pro LightCn" w:hAnsi="AvenirNext LT Pro LightCn"/>
        </w:rPr>
      </w:pPr>
      <w:r>
        <w:rPr>
          <w:rFonts w:ascii="AvenirNext LT Pro LightCn" w:hAnsi="AvenirNext LT Pro LightCn"/>
        </w:rPr>
        <w:t>Les opérations de vérification, ainsi que les décisions d'admission, d'ajournement, de réfaction ou de rejet sont effectuées par INRAE.</w:t>
      </w:r>
    </w:p>
    <w:p w14:paraId="462E5AFC" w14:textId="77777777" w:rsidR="00D237C9" w:rsidRDefault="001106A4">
      <w:pPr>
        <w:spacing w:after="0"/>
        <w:rPr>
          <w:rFonts w:ascii="AvenirNext LT Pro LightCn" w:hAnsi="AvenirNext LT Pro LightCn"/>
        </w:rPr>
      </w:pPr>
      <w:r>
        <w:rPr>
          <w:rFonts w:ascii="AvenirNext LT Pro LightCn" w:hAnsi="AvenirNext LT Pro LightCn"/>
        </w:rPr>
        <w:t>Par dérogation à l’article 28 du CCAG-FCS, les opérations de vérification démarrent à compter de la date de notification de mise en ordre de l’équipement par le titulaire, sous sa responsabilité et sans supplément de prix, en conformité avec les performances techniques et fonctionnelles spécifiées dans le présent marché, dans les locaux désignés par INRAE.</w:t>
      </w:r>
    </w:p>
    <w:p w14:paraId="7B65572D" w14:textId="77777777" w:rsidR="00D237C9" w:rsidRDefault="001106A4">
      <w:pPr>
        <w:spacing w:after="0"/>
        <w:rPr>
          <w:rFonts w:ascii="AvenirNext LT Pro LightCn" w:hAnsi="AvenirNext LT Pro LightCn"/>
        </w:rPr>
      </w:pPr>
      <w:r>
        <w:rPr>
          <w:rFonts w:ascii="AvenirNext LT Pro LightCn" w:hAnsi="AvenirNext LT Pro LightCn"/>
        </w:rPr>
        <w:t>Par dérogation aux stipulations de l’article 27.2.2 du CCAG FCS, INRAE n’avise pas automatiquement le titulaire des jours et heures fixés pour les vérifications.</w:t>
      </w:r>
    </w:p>
    <w:p w14:paraId="79CE4D2F" w14:textId="77777777" w:rsidR="00D237C9" w:rsidRDefault="001106A4">
      <w:pPr>
        <w:spacing w:after="0"/>
        <w:rPr>
          <w:rFonts w:ascii="AvenirNext LT Pro LightCn" w:hAnsi="AvenirNext LT Pro LightCn"/>
        </w:rPr>
      </w:pPr>
      <w:r>
        <w:rPr>
          <w:rFonts w:ascii="AvenirNext LT Pro LightCn" w:hAnsi="AvenirNext LT Pro LightCn"/>
        </w:rPr>
        <w:t xml:space="preserve">Les opérations de vérifications sont réalisées conformément aux stipulations du CCAG FCS et notamment de ses articles 27 et suivants. </w:t>
      </w:r>
    </w:p>
    <w:p w14:paraId="7A73FD61" w14:textId="37E94D91" w:rsidR="00D237C9" w:rsidRDefault="001106A4">
      <w:pPr>
        <w:spacing w:after="0"/>
        <w:rPr>
          <w:rFonts w:ascii="AvenirNext LT Pro LightCn" w:hAnsi="AvenirNext LT Pro LightCn"/>
        </w:rPr>
      </w:pPr>
      <w:r>
        <w:rPr>
          <w:rFonts w:ascii="AvenirNext LT Pro LightCn" w:hAnsi="AvenirNext LT Pro LightCn"/>
        </w:rPr>
        <w:lastRenderedPageBreak/>
        <w:t xml:space="preserve">Cependant, par dérogation aux stipulations de l’article 28.2 du CCAG FCS, le délai dont dispose INRAE pour formaliser un </w:t>
      </w:r>
      <w:r w:rsidR="006A6AC9">
        <w:rPr>
          <w:rFonts w:ascii="AvenirNext LT Pro LightCn" w:hAnsi="AvenirNext LT Pro LightCn"/>
        </w:rPr>
        <w:t xml:space="preserve">procès – verbal  </w:t>
      </w:r>
      <w:r>
        <w:rPr>
          <w:rFonts w:ascii="AvenirNext LT Pro LightCn" w:hAnsi="AvenirNext LT Pro LightCn"/>
        </w:rPr>
        <w:t>(PV) et notifier sa décision est de soixante jours à compter de la mise en service ou le cas échéant à la fin de la formation initiale des utilisateurs de l’instrument si celle-ci est postérieure à la mise en service.</w:t>
      </w:r>
    </w:p>
    <w:p w14:paraId="4ECC7570" w14:textId="77777777" w:rsidR="00D237C9" w:rsidRDefault="001106A4">
      <w:pPr>
        <w:pStyle w:val="Titre1"/>
        <w:spacing w:before="360" w:after="240"/>
        <w:ind w:left="357" w:hanging="357"/>
        <w:rPr>
          <w:rFonts w:ascii="AvenirNext LT Pro LightCn" w:hAnsi="AvenirNext LT Pro LightCn"/>
        </w:rPr>
      </w:pPr>
      <w:bookmarkStart w:id="114" w:name="_Toc164174650"/>
      <w:r>
        <w:rPr>
          <w:rFonts w:ascii="AvenirNext LT Pro LightCn" w:hAnsi="AvenirNext LT Pro LightCn"/>
        </w:rPr>
        <w:t>ZONES A REGIME RESTRICTIF (ZRR) ET SECURITE DE L’INFORMATION</w:t>
      </w:r>
      <w:bookmarkEnd w:id="114"/>
    </w:p>
    <w:p w14:paraId="14C225A1" w14:textId="77777777" w:rsidR="00D237C9" w:rsidRDefault="001106A4">
      <w:pPr>
        <w:rPr>
          <w:rFonts w:ascii="AvenirNext LT Pro LightCn" w:hAnsi="AvenirNext LT Pro LightCn"/>
          <w:b/>
          <w:i/>
        </w:rPr>
      </w:pPr>
      <w:bookmarkStart w:id="115" w:name="_Toc473299930"/>
      <w:r>
        <w:rPr>
          <w:rFonts w:ascii="AvenirNext LT Pro LightCn" w:hAnsi="AvenirNext LT Pro LightCn"/>
        </w:rPr>
        <w:t>Lorsque les prestations de services 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115"/>
    </w:p>
    <w:p w14:paraId="772A4017" w14:textId="77777777" w:rsidR="00D237C9" w:rsidRDefault="001106A4">
      <w:pPr>
        <w:rPr>
          <w:rFonts w:ascii="AvenirNext LT Pro LightCn" w:hAnsi="AvenirNext LT Pro LightCn"/>
        </w:rPr>
      </w:pPr>
      <w:bookmarkStart w:id="116" w:name="_Toc473299931"/>
      <w:r>
        <w:rPr>
          <w:rFonts w:ascii="AvenirNext LT Pro LightCn" w:hAnsi="AvenirNext LT Pro LightCn"/>
        </w:rPr>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116"/>
    </w:p>
    <w:p w14:paraId="2AE9B1CF" w14:textId="77777777" w:rsidR="00D237C9" w:rsidRDefault="001106A4">
      <w:pPr>
        <w:spacing w:before="0" w:after="0"/>
        <w:jc w:val="left"/>
        <w:rPr>
          <w:rFonts w:ascii="AvenirNext LT Pro LightCn" w:hAnsi="AvenirNext LT Pro LightCn"/>
        </w:rPr>
      </w:pPr>
      <w:r>
        <w:rPr>
          <w:rFonts w:ascii="AvenirNext LT Pro LightCn" w:hAnsi="AvenirNext LT Pro LightCn"/>
        </w:rPr>
        <w:br w:type="page" w:clear="all"/>
      </w:r>
    </w:p>
    <w:p w14:paraId="62572AFD" w14:textId="77777777" w:rsidR="00D237C9" w:rsidRDefault="001106A4">
      <w:pPr>
        <w:pStyle w:val="Titre1"/>
        <w:spacing w:before="360" w:after="240"/>
        <w:ind w:left="357" w:hanging="357"/>
        <w:rPr>
          <w:rFonts w:ascii="AvenirNext LT Pro LightCn" w:hAnsi="AvenirNext LT Pro LightCn"/>
        </w:rPr>
      </w:pPr>
      <w:bookmarkStart w:id="117" w:name="_Toc164174651"/>
      <w:r>
        <w:rPr>
          <w:rFonts w:ascii="AvenirNext LT Pro LightCn" w:hAnsi="AvenirNext LT Pro LightCn"/>
        </w:rPr>
        <w:lastRenderedPageBreak/>
        <w:t>PRIX ET MODALITÉS DE PAIEMENTS</w:t>
      </w:r>
      <w:bookmarkEnd w:id="117"/>
    </w:p>
    <w:p w14:paraId="45190F1D" w14:textId="77777777" w:rsidR="00D237C9" w:rsidRDefault="001106A4">
      <w:pPr>
        <w:pStyle w:val="Titre2"/>
        <w:rPr>
          <w:rFonts w:ascii="AvenirNext LT Pro LightCn" w:hAnsi="AvenirNext LT Pro LightCn"/>
        </w:rPr>
      </w:pPr>
      <w:bookmarkStart w:id="118" w:name="_Toc164174652"/>
      <w:r>
        <w:rPr>
          <w:rFonts w:ascii="AvenirNext LT Pro LightCn" w:hAnsi="AvenirNext LT Pro LightCn"/>
        </w:rPr>
        <w:t>Prix du marché</w:t>
      </w:r>
      <w:bookmarkEnd w:id="118"/>
    </w:p>
    <w:p w14:paraId="6D65B841" w14:textId="77777777" w:rsidR="00D237C9" w:rsidRDefault="001106A4">
      <w:pPr>
        <w:rPr>
          <w:rFonts w:ascii="AvenirNext LT Pro LightCn" w:hAnsi="AvenirNext LT Pro LightCn"/>
        </w:rPr>
      </w:pPr>
      <w:r>
        <w:rPr>
          <w:rFonts w:ascii="AvenirNext LT Pro LightCn" w:hAnsi="AvenirNext LT Pro LightCn"/>
        </w:rPr>
        <w:t xml:space="preserve">Le présent marché est traité au prix global et forfaitaire précisé et décomposé par le titulaire dans son offre financière. </w:t>
      </w:r>
    </w:p>
    <w:p w14:paraId="725A84F4" w14:textId="77777777" w:rsidR="00D237C9" w:rsidRDefault="001106A4">
      <w:pPr>
        <w:rPr>
          <w:rFonts w:ascii="AvenirNext LT Pro LightCn" w:hAnsi="AvenirNext LT Pro LightCn"/>
          <w:color w:val="FF0000"/>
        </w:rPr>
      </w:pPr>
      <w:r>
        <w:rPr>
          <w:rFonts w:ascii="AvenirNext LT Pro LightCn" w:hAnsi="AvenirNext LT Pro LightCn"/>
        </w:rPr>
        <w:t xml:space="preserve">Conformément à l’article 10 du CCAG-FCS, le prix est réputé comprendre toutes les charges fiscales ou autres frappant obligatoirement les prestations, les frais afférents au conditionnement, au stockage, à l’emballage, à l’assurance et au transport jusqu’au lieu de livraison, ainsi que toutes les autres dépenses nécessaires à l’exécution des prestations telles que la formation, la garantie, le support technique et les marges pour risque et les marges bénéficiaires. </w:t>
      </w:r>
    </w:p>
    <w:p w14:paraId="15AB81D9" w14:textId="77777777" w:rsidR="00D237C9" w:rsidRDefault="001106A4">
      <w:pPr>
        <w:rPr>
          <w:rFonts w:ascii="AvenirNext LT Pro LightCn" w:hAnsi="AvenirNext LT Pro LightCn"/>
        </w:rPr>
      </w:pPr>
      <w:r>
        <w:rPr>
          <w:rFonts w:ascii="AvenirNext LT Pro LightCn" w:hAnsi="AvenirNext LT Pro LightCn"/>
        </w:rPr>
        <w:t>Les frais de manutention et de transport, qui naîtraient de l’ajournement ou du rejet des prestations, sont à la charge du titulaire.</w:t>
      </w:r>
    </w:p>
    <w:p w14:paraId="6FA12963" w14:textId="77777777" w:rsidR="00D237C9" w:rsidRDefault="00D237C9">
      <w:pPr>
        <w:rPr>
          <w:rFonts w:ascii="AvenirNext LT Pro LightCn" w:hAnsi="AvenirNext LT Pro LightCn"/>
        </w:rPr>
      </w:pPr>
    </w:p>
    <w:p w14:paraId="14BDA6B7" w14:textId="77777777" w:rsidR="00D237C9" w:rsidRDefault="001106A4">
      <w:pPr>
        <w:keepLines/>
        <w:widowControl w:val="0"/>
        <w:ind w:left="119" w:right="113"/>
        <w:rPr>
          <w:rFonts w:ascii="AvenirNext LT Pro LightCn" w:hAnsi="AvenirNext LT Pro LightCn" w:cs="Calibri"/>
        </w:rPr>
      </w:pPr>
      <w:r>
        <w:rPr>
          <w:rFonts w:ascii="AvenirNext LT Pro LightCn" w:eastAsiaTheme="minorEastAsia" w:hAnsi="AvenirNext LT Pro LightCn" w:cs="Calibri"/>
          <w:bCs/>
          <w:color w:val="000000"/>
          <w:lang w:eastAsia="fr-FR"/>
        </w:rPr>
        <w:t>Montant du prix global et forfaitaire</w:t>
      </w:r>
      <w:r>
        <w:rPr>
          <w:rFonts w:ascii="AvenirNext LT Pro LightCn" w:hAnsi="AvenirNext LT Pro LightCn" w:cs="Calibri"/>
        </w:rPr>
        <w:t>:</w:t>
      </w:r>
    </w:p>
    <w:p w14:paraId="4AB175C0" w14:textId="77777777" w:rsidR="00D237C9" w:rsidRDefault="00D237C9">
      <w:pPr>
        <w:keepLines/>
        <w:widowControl w:val="0"/>
        <w:ind w:left="119" w:right="113"/>
        <w:rPr>
          <w:rFonts w:ascii="AvenirNext LT Pro LightCn" w:hAnsi="AvenirNext LT Pro LightCn" w:cs="Calibri"/>
        </w:rPr>
      </w:pPr>
    </w:p>
    <w:tbl>
      <w:tblPr>
        <w:tblW w:w="9348" w:type="dxa"/>
        <w:tblInd w:w="17" w:type="dxa"/>
        <w:tblLayout w:type="fixed"/>
        <w:tblCellMar>
          <w:left w:w="0" w:type="dxa"/>
          <w:right w:w="0" w:type="dxa"/>
        </w:tblCellMar>
        <w:tblLook w:val="0000" w:firstRow="0" w:lastRow="0" w:firstColumn="0" w:lastColumn="0" w:noHBand="0" w:noVBand="0"/>
      </w:tblPr>
      <w:tblGrid>
        <w:gridCol w:w="5778"/>
        <w:gridCol w:w="3570"/>
      </w:tblGrid>
      <w:tr w:rsidR="00D237C9" w14:paraId="5D7B5E79" w14:textId="7777777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14FF143B" w14:textId="77777777" w:rsidR="00D237C9" w:rsidRDefault="001106A4">
            <w:pPr>
              <w:keepLines/>
              <w:widowControl w:val="0"/>
              <w:spacing w:before="60" w:after="60"/>
              <w:ind w:left="108" w:right="90"/>
              <w:rPr>
                <w:rFonts w:ascii="AvenirNext LT Pro LightCn" w:eastAsiaTheme="minorEastAsia" w:hAnsi="AvenirNext LT Pro LightCn" w:cstheme="minorHAnsi"/>
                <w:color w:val="000000" w:themeColor="text1"/>
                <w:lang w:eastAsia="fr-FR"/>
              </w:rPr>
            </w:pPr>
            <w:r>
              <w:rPr>
                <w:rFonts w:ascii="AvenirNext LT Pro LightCn" w:eastAsiaTheme="minorEastAsia" w:hAnsi="AvenirNext LT Pro LightCn" w:cstheme="minorHAnsi"/>
                <w:color w:val="000000" w:themeColor="text1"/>
                <w:lang w:eastAsia="fr-FR"/>
              </w:rPr>
              <w:t>Montant hors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18B7C7DE" w14:textId="77777777" w:rsidR="00D237C9" w:rsidRDefault="001106A4">
            <w:pPr>
              <w:keepLines/>
              <w:widowControl w:val="0"/>
              <w:spacing w:before="60" w:after="60"/>
              <w:ind w:left="126" w:right="80"/>
              <w:jc w:val="right"/>
              <w:rPr>
                <w:rFonts w:ascii="AvenirNext LT Pro LightCn" w:eastAsiaTheme="minorEastAsia" w:hAnsi="AvenirNext LT Pro LightCn" w:cstheme="minorHAnsi"/>
                <w:color w:val="000000" w:themeColor="text1"/>
                <w:lang w:eastAsia="fr-FR"/>
              </w:rPr>
            </w:pPr>
            <w:r>
              <w:rPr>
                <w:rFonts w:ascii="AvenirNext LT Pro LightCn" w:eastAsiaTheme="minorEastAsia" w:hAnsi="AvenirNext LT Pro LightCn" w:cstheme="minorHAnsi"/>
                <w:color w:val="000000" w:themeColor="text1"/>
                <w:lang w:eastAsia="fr-FR"/>
              </w:rPr>
              <w:t>€</w:t>
            </w:r>
          </w:p>
        </w:tc>
      </w:tr>
      <w:tr w:rsidR="00D237C9" w14:paraId="7D34E53B" w14:textId="7777777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60E42517" w14:textId="77777777" w:rsidR="00D237C9" w:rsidRDefault="001106A4">
            <w:pPr>
              <w:keepLines/>
              <w:widowControl w:val="0"/>
              <w:spacing w:before="60" w:after="60"/>
              <w:ind w:left="108" w:right="90"/>
              <w:rPr>
                <w:rFonts w:ascii="AvenirNext LT Pro LightCn" w:eastAsiaTheme="minorEastAsia" w:hAnsi="AvenirNext LT Pro LightCn" w:cstheme="minorHAnsi"/>
                <w:color w:val="000000"/>
                <w:lang w:eastAsia="fr-FR"/>
              </w:rPr>
            </w:pPr>
            <w:r>
              <w:rPr>
                <w:rFonts w:ascii="AvenirNext LT Pro LightCn" w:eastAsiaTheme="minorEastAsia" w:hAnsi="AvenirNext LT Pro LightCn" w:cstheme="minorHAnsi"/>
                <w:color w:val="000000"/>
                <w:lang w:eastAsia="fr-FR"/>
              </w:rPr>
              <w:t>Montant TVA (20%)</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2B6FDB18" w14:textId="77777777" w:rsidR="00D237C9" w:rsidRDefault="001106A4">
            <w:pPr>
              <w:widowControl w:val="0"/>
              <w:spacing w:before="60" w:after="60"/>
              <w:ind w:left="126" w:right="80"/>
              <w:jc w:val="right"/>
              <w:rPr>
                <w:rFonts w:ascii="AvenirNext LT Pro LightCn" w:eastAsiaTheme="minorEastAsia" w:hAnsi="AvenirNext LT Pro LightCn" w:cstheme="minorHAnsi"/>
                <w:color w:val="000000"/>
                <w:lang w:eastAsia="fr-FR"/>
              </w:rPr>
            </w:pPr>
            <w:r>
              <w:rPr>
                <w:rFonts w:ascii="AvenirNext LT Pro LightCn" w:eastAsiaTheme="minorEastAsia" w:hAnsi="AvenirNext LT Pro LightCn" w:cstheme="minorHAnsi"/>
                <w:color w:val="000000"/>
                <w:lang w:eastAsia="fr-FR"/>
              </w:rPr>
              <w:t>€</w:t>
            </w:r>
          </w:p>
        </w:tc>
      </w:tr>
      <w:tr w:rsidR="00D237C9" w14:paraId="4F9C8ED2" w14:textId="77777777">
        <w:tc>
          <w:tcPr>
            <w:tcW w:w="5778" w:type="dxa"/>
            <w:tcBorders>
              <w:top w:val="single" w:sz="6" w:space="0" w:color="C0C0C0"/>
              <w:left w:val="single" w:sz="6" w:space="0" w:color="C0C0C0"/>
              <w:bottom w:val="single" w:sz="6" w:space="0" w:color="C0C0C0"/>
              <w:right w:val="single" w:sz="12" w:space="0" w:color="C0C0C0"/>
            </w:tcBorders>
            <w:shd w:val="clear" w:color="auto" w:fill="FFFFFF"/>
          </w:tcPr>
          <w:p w14:paraId="714B0D81" w14:textId="77777777" w:rsidR="00D237C9" w:rsidRDefault="001106A4">
            <w:pPr>
              <w:keepLines/>
              <w:widowControl w:val="0"/>
              <w:spacing w:before="60" w:after="60"/>
              <w:ind w:left="108" w:right="90"/>
              <w:rPr>
                <w:rFonts w:ascii="AvenirNext LT Pro LightCn" w:eastAsiaTheme="minorEastAsia" w:hAnsi="AvenirNext LT Pro LightCn" w:cstheme="minorHAnsi"/>
                <w:lang w:eastAsia="fr-FR"/>
              </w:rPr>
            </w:pPr>
            <w:r>
              <w:rPr>
                <w:rFonts w:ascii="AvenirNext LT Pro LightCn" w:eastAsiaTheme="minorEastAsia" w:hAnsi="AvenirNext LT Pro LightCn" w:cstheme="minorHAnsi"/>
                <w:color w:val="000000"/>
                <w:lang w:eastAsia="fr-FR"/>
              </w:rPr>
              <w:t>Montant TVA incluse</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751FE7A" w14:textId="77777777" w:rsidR="00D237C9" w:rsidRDefault="001106A4">
            <w:pPr>
              <w:widowControl w:val="0"/>
              <w:spacing w:before="60" w:after="60"/>
              <w:ind w:left="126" w:right="80"/>
              <w:jc w:val="right"/>
              <w:rPr>
                <w:rFonts w:ascii="AvenirNext LT Pro LightCn" w:eastAsiaTheme="minorEastAsia" w:hAnsi="AvenirNext LT Pro LightCn" w:cstheme="minorHAnsi"/>
                <w:lang w:eastAsia="fr-FR"/>
              </w:rPr>
            </w:pPr>
            <w:r>
              <w:rPr>
                <w:rFonts w:ascii="AvenirNext LT Pro LightCn" w:eastAsiaTheme="minorEastAsia" w:hAnsi="AvenirNext LT Pro LightCn" w:cstheme="minorHAnsi"/>
                <w:lang w:eastAsia="fr-FR"/>
              </w:rPr>
              <w:t>€</w:t>
            </w:r>
          </w:p>
        </w:tc>
      </w:tr>
    </w:tbl>
    <w:p w14:paraId="441FFBD6" w14:textId="77777777" w:rsidR="00D237C9" w:rsidRDefault="001106A4">
      <w:pPr>
        <w:keepLines/>
        <w:widowControl w:val="0"/>
        <w:spacing w:before="240" w:after="0"/>
        <w:ind w:left="119" w:right="113"/>
        <w:rPr>
          <w:rFonts w:ascii="AvenirNext LT Pro LightCn" w:eastAsiaTheme="minorEastAsia" w:hAnsi="AvenirNext LT Pro LightCn" w:cstheme="minorHAnsi"/>
          <w:i/>
          <w:iCs/>
          <w:color w:val="000000"/>
          <w:lang w:eastAsia="fr-FR"/>
        </w:rPr>
      </w:pPr>
      <w:r>
        <w:rPr>
          <w:rFonts w:ascii="AvenirNext LT Pro LightCn" w:eastAsiaTheme="minorEastAsia" w:hAnsi="AvenirNext LT Pro LightCn" w:cstheme="minorHAnsi"/>
          <w:i/>
          <w:iCs/>
          <w:color w:val="000000"/>
          <w:lang w:eastAsia="fr-FR"/>
        </w:rPr>
        <w:t>Montant global TTC (en lettres) : cinq cent cinquante et un mille deux cents quarante-sept euros et soixante centimes</w:t>
      </w:r>
    </w:p>
    <w:p w14:paraId="1A0D09A6" w14:textId="77777777" w:rsidR="00D237C9" w:rsidRDefault="001106A4">
      <w:pPr>
        <w:rPr>
          <w:rFonts w:ascii="AvenirNext LT Pro LightCn" w:hAnsi="AvenirNext LT Pro LightCn"/>
        </w:rPr>
      </w:pPr>
      <w:r>
        <w:rPr>
          <w:rFonts w:ascii="AvenirNext LT Pro LightCn" w:hAnsi="AvenirNext LT Pro LightCn"/>
        </w:rPr>
        <w:t>Le marché est conclu à prix ferme et définitif.</w:t>
      </w:r>
    </w:p>
    <w:p w14:paraId="6C4B8671" w14:textId="77777777" w:rsidR="00D237C9" w:rsidRDefault="001106A4">
      <w:pPr>
        <w:pStyle w:val="Titre2"/>
        <w:rPr>
          <w:rFonts w:ascii="AvenirNext LT Pro LightCn" w:hAnsi="AvenirNext LT Pro LightCn"/>
        </w:rPr>
      </w:pPr>
      <w:bookmarkStart w:id="119" w:name="_Toc164174653"/>
      <w:r>
        <w:rPr>
          <w:rFonts w:ascii="AvenirNext LT Pro LightCn" w:hAnsi="AvenirNext LT Pro LightCn"/>
        </w:rPr>
        <w:t>Echéancier de paiement</w:t>
      </w:r>
      <w:bookmarkEnd w:id="119"/>
    </w:p>
    <w:p w14:paraId="287192C4" w14:textId="77777777" w:rsidR="00D237C9" w:rsidRDefault="001106A4">
      <w:pPr>
        <w:rPr>
          <w:rFonts w:ascii="AvenirNext LT Pro LightCn" w:hAnsi="AvenirNext LT Pro LightCn"/>
        </w:rPr>
      </w:pPr>
      <w:r>
        <w:rPr>
          <w:rFonts w:ascii="AvenirNext LT Pro LightCn" w:hAnsi="AvenirNext LT Pro LightCn"/>
        </w:rPr>
        <w:t>Le paiement des prestations se fait par virement administratif.</w:t>
      </w:r>
    </w:p>
    <w:p w14:paraId="28182A78" w14:textId="77777777" w:rsidR="00D237C9" w:rsidRDefault="001106A4">
      <w:pPr>
        <w:rPr>
          <w:rFonts w:ascii="AvenirNext LT Pro LightCn" w:hAnsi="AvenirNext LT Pro LightCn"/>
        </w:rPr>
      </w:pPr>
      <w:r>
        <w:rPr>
          <w:rFonts w:ascii="AvenirNext LT Pro LightCn" w:hAnsi="AvenirNext LT Pro LightCn"/>
        </w:rPr>
        <w:t>Les prestations qui ont donné lieu à un commencement d’exécution du marché ouvrent droit à des acomptes.</w:t>
      </w:r>
    </w:p>
    <w:p w14:paraId="4221F916" w14:textId="77777777" w:rsidR="00D237C9" w:rsidRDefault="001106A4">
      <w:pPr>
        <w:rPr>
          <w:rFonts w:ascii="AvenirNext LT Pro LightCn" w:hAnsi="AvenirNext LT Pro LightCn"/>
        </w:rPr>
      </w:pPr>
      <w:r>
        <w:rPr>
          <w:rFonts w:ascii="AvenirNext LT Pro LightCn" w:hAnsi="AvenirNext LT Pro LightCn"/>
        </w:rPr>
        <w:t>Le versement des acomptes pour l’acquisition de l’équipement se décompose comme suit :</w:t>
      </w:r>
    </w:p>
    <w:p w14:paraId="2C5DA360" w14:textId="77777777" w:rsidR="00D237C9" w:rsidRDefault="001106A4">
      <w:pPr>
        <w:pStyle w:val="Texte"/>
        <w:numPr>
          <w:ilvl w:val="0"/>
          <w:numId w:val="14"/>
        </w:numPr>
        <w:spacing w:before="60" w:after="0" w:line="240" w:lineRule="auto"/>
        <w:ind w:left="714" w:hanging="357"/>
        <w:rPr>
          <w:rFonts w:ascii="AvenirNext LT Pro LightCn" w:hAnsi="AvenirNext LT Pro LightCn" w:cstheme="minorHAnsi"/>
          <w:sz w:val="22"/>
          <w:szCs w:val="22"/>
        </w:rPr>
      </w:pPr>
      <w:r>
        <w:rPr>
          <w:rFonts w:ascii="AvenirNext LT Pro LightCn" w:hAnsi="AvenirNext LT Pro LightCn" w:cstheme="minorHAnsi"/>
          <w:sz w:val="22"/>
          <w:szCs w:val="22"/>
        </w:rPr>
        <w:t xml:space="preserve">60% à la mise en ordre de marche (MOM) </w:t>
      </w:r>
    </w:p>
    <w:p w14:paraId="1F51604F" w14:textId="77777777" w:rsidR="00D237C9" w:rsidRDefault="001106A4">
      <w:pPr>
        <w:pStyle w:val="Texte"/>
        <w:numPr>
          <w:ilvl w:val="0"/>
          <w:numId w:val="14"/>
        </w:numPr>
        <w:spacing w:before="60" w:after="0" w:line="240" w:lineRule="auto"/>
        <w:ind w:left="714" w:hanging="357"/>
        <w:rPr>
          <w:rFonts w:ascii="AvenirNext LT Pro LightCn" w:hAnsi="AvenirNext LT Pro LightCn" w:cstheme="minorHAnsi"/>
          <w:sz w:val="22"/>
          <w:szCs w:val="22"/>
        </w:rPr>
      </w:pPr>
      <w:r>
        <w:rPr>
          <w:rFonts w:ascii="AvenirNext LT Pro LightCn" w:hAnsi="AvenirNext LT Pro LightCn" w:cstheme="minorHAnsi"/>
          <w:sz w:val="22"/>
          <w:szCs w:val="22"/>
        </w:rPr>
        <w:t xml:space="preserve">40% à l’admission </w:t>
      </w:r>
    </w:p>
    <w:p w14:paraId="0FE886A7" w14:textId="77777777" w:rsidR="00D237C9" w:rsidRDefault="001106A4">
      <w:pPr>
        <w:rPr>
          <w:rFonts w:ascii="AvenirNext LT Pro LightCn" w:hAnsi="AvenirNext LT Pro LightCn"/>
        </w:rPr>
      </w:pPr>
      <w:r>
        <w:rPr>
          <w:rFonts w:ascii="AvenirNext LT Pro LightCn" w:hAnsi="AvenirNext LT Pro LightCn"/>
        </w:rPr>
        <w:t>Conformément à l’article 11.2 du CCAG-FCS, chaque acompte doit faire l’objet d’une demande de paiement de la part du titulaire.</w:t>
      </w:r>
    </w:p>
    <w:p w14:paraId="668260E0" w14:textId="77777777" w:rsidR="00D237C9" w:rsidRDefault="00D237C9">
      <w:pPr>
        <w:rPr>
          <w:rFonts w:ascii="AvenirNext LT Pro LightCn" w:hAnsi="AvenirNext LT Pro LightCn"/>
        </w:rPr>
      </w:pPr>
    </w:p>
    <w:p w14:paraId="32CB51A9" w14:textId="77777777" w:rsidR="00D237C9" w:rsidRDefault="001106A4">
      <w:pPr>
        <w:pStyle w:val="Titre2"/>
        <w:rPr>
          <w:rFonts w:ascii="AvenirNext LT Pro LightCn" w:hAnsi="AvenirNext LT Pro LightCn"/>
        </w:rPr>
      </w:pPr>
      <w:bookmarkStart w:id="120" w:name="_Toc164174654"/>
      <w:r>
        <w:rPr>
          <w:rFonts w:ascii="AvenirNext LT Pro LightCn" w:hAnsi="AvenirNext LT Pro LightCn"/>
        </w:rPr>
        <w:t>Modalités de paiement</w:t>
      </w:r>
      <w:bookmarkEnd w:id="120"/>
    </w:p>
    <w:p w14:paraId="3D088388" w14:textId="77777777" w:rsidR="00D237C9" w:rsidRDefault="001106A4">
      <w:pPr>
        <w:rPr>
          <w:rFonts w:ascii="AvenirNext LT Pro LightCn" w:hAnsi="AvenirNext LT Pro LightCn"/>
        </w:rPr>
      </w:pPr>
      <w:r>
        <w:rPr>
          <w:rFonts w:ascii="AvenirNext LT Pro LightCn" w:hAnsi="AvenirNext LT Pro LightCn"/>
        </w:rPr>
        <w:t xml:space="preserve">Le règlement du titulaire interviendra selon l’échéancier prévu à l’article 7.2 du présent document. </w:t>
      </w:r>
    </w:p>
    <w:p w14:paraId="0AAAC8A8" w14:textId="77777777" w:rsidR="00D237C9" w:rsidRDefault="001106A4">
      <w:pPr>
        <w:rPr>
          <w:rFonts w:ascii="AvenirNext LT Pro LightCn" w:hAnsi="AvenirNext LT Pro LightCn"/>
        </w:rPr>
      </w:pPr>
      <w:r>
        <w:rPr>
          <w:rFonts w:ascii="AvenirNext LT Pro LightCn" w:hAnsi="AvenirNext LT Pro LightCn"/>
        </w:rPr>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p>
    <w:p w14:paraId="54E09D1C" w14:textId="77777777" w:rsidR="00D237C9" w:rsidRDefault="001106A4">
      <w:pPr>
        <w:rPr>
          <w:rFonts w:ascii="AvenirNext LT Pro LightCn" w:hAnsi="AvenirNext LT Pro LightCn"/>
        </w:rPr>
      </w:pPr>
      <w:r>
        <w:rPr>
          <w:rFonts w:ascii="AvenirNext LT Pro LightCn" w:hAnsi="AvenirNext LT Pro LightCn"/>
        </w:rPr>
        <w:t xml:space="preserve">A l’heure actuelle, la transmission par le créancier de sa demande de paiement ne peut être prise en compte par INRAE que par dépôt au format PDF sur le site </w:t>
      </w:r>
      <w:hyperlink r:id="rId18" w:tooltip="https://chorus-pro.gouv.fr" w:history="1">
        <w:r>
          <w:rPr>
            <w:rStyle w:val="Lienhypertexte"/>
            <w:rFonts w:ascii="AvenirNext LT Pro LightCn" w:hAnsi="AvenirNext LT Pro LightCn" w:cs="Arial"/>
            <w:spacing w:val="4"/>
            <w:sz w:val="20"/>
            <w:szCs w:val="20"/>
          </w:rPr>
          <w:t>https://chorus-pro.gouv.fr</w:t>
        </w:r>
      </w:hyperlink>
      <w:r>
        <w:rPr>
          <w:rFonts w:ascii="AvenirNext LT Pro LightCn" w:hAnsi="AvenirNext LT Pro LightCn"/>
        </w:rPr>
        <w:t>.</w:t>
      </w:r>
    </w:p>
    <w:p w14:paraId="47F83155" w14:textId="77777777" w:rsidR="00D237C9" w:rsidRDefault="001106A4">
      <w:pPr>
        <w:rPr>
          <w:rFonts w:ascii="AvenirNext LT Pro LightCn" w:hAnsi="AvenirNext LT Pro LightCn"/>
        </w:rPr>
      </w:pPr>
      <w:r>
        <w:rPr>
          <w:rFonts w:ascii="AvenirNext LT Pro LightCn" w:hAnsi="AvenirNext LT Pro LightCn"/>
        </w:rPr>
        <w:lastRenderedPageBreak/>
        <w:t xml:space="preserve">Les factures seront établies en un original selon les règles prévues par la comptabilité publique. Elles comprendront outre les mentions légales, les renseignements suivants : </w:t>
      </w:r>
    </w:p>
    <w:p w14:paraId="178974E1" w14:textId="77777777" w:rsidR="00D237C9" w:rsidRDefault="001106A4">
      <w:pPr>
        <w:pStyle w:val="Paragraphedeliste"/>
        <w:numPr>
          <w:ilvl w:val="0"/>
          <w:numId w:val="1"/>
        </w:numPr>
        <w:spacing w:before="40" w:after="0"/>
        <w:ind w:left="714" w:hanging="357"/>
        <w:rPr>
          <w:rFonts w:ascii="AvenirNext LT Pro LightCn" w:hAnsi="AvenirNext LT Pro LightCn"/>
        </w:rPr>
      </w:pPr>
      <w:r>
        <w:rPr>
          <w:rFonts w:ascii="AvenirNext LT Pro LightCn" w:hAnsi="AvenirNext LT Pro LightCn"/>
        </w:rPr>
        <w:t xml:space="preserve">Le numéro SIRET du centre INRAE bénéficiaire : </w:t>
      </w:r>
      <w:sdt>
        <w:sdtPr>
          <w:rPr>
            <w:rFonts w:ascii="AvenirNext LT Pro LightCn" w:hAnsi="AvenirNext LT Pro LightCn"/>
          </w:rPr>
          <w:alias w:val="SIRET"/>
          <w:tag w:val="SIRET"/>
          <w:id w:val="409281488"/>
          <w:placeholder>
            <w:docPart w:val="6DA23371DB6C482D92F912D6CFE9C145"/>
          </w:placeholder>
          <w:comboBox>
            <w:listItem w:value="Choisissez un élément."/>
            <w:listItem w:displayText="VG/HDF : 180 070 039 00110" w:value="VG/HDF : 180 070 039 00110"/>
            <w:listItem w:displayText="JJA : 180 070 039 0078" w:value="JJA : 180 070 039 0078"/>
          </w:comboBox>
        </w:sdtPr>
        <w:sdtEndPr/>
        <w:sdtContent>
          <w:r>
            <w:rPr>
              <w:rFonts w:ascii="AvenirNext LT Pro LightCn" w:hAnsi="AvenirNext LT Pro LightCn"/>
            </w:rPr>
            <w:t>JJA : 180 070 039 0078</w:t>
          </w:r>
        </w:sdtContent>
      </w:sdt>
    </w:p>
    <w:p w14:paraId="0F559DE7" w14:textId="77777777" w:rsidR="00D237C9" w:rsidRDefault="001106A4">
      <w:pPr>
        <w:pStyle w:val="Paragraphedeliste"/>
        <w:numPr>
          <w:ilvl w:val="0"/>
          <w:numId w:val="1"/>
        </w:numPr>
        <w:spacing w:before="40" w:after="0"/>
        <w:ind w:left="714" w:hanging="357"/>
        <w:rPr>
          <w:rFonts w:ascii="AvenirNext LT Pro LightCn" w:hAnsi="AvenirNext LT Pro LightCn"/>
        </w:rPr>
      </w:pPr>
      <w:r>
        <w:rPr>
          <w:rFonts w:ascii="AvenirNext LT Pro LightCn" w:hAnsi="AvenirNext LT Pro LightCn"/>
        </w:rPr>
        <w:t>Le numéro du marché</w:t>
      </w:r>
    </w:p>
    <w:p w14:paraId="6297694D" w14:textId="77777777" w:rsidR="00D237C9" w:rsidRDefault="001106A4">
      <w:pPr>
        <w:pStyle w:val="Paragraphedeliste"/>
        <w:numPr>
          <w:ilvl w:val="0"/>
          <w:numId w:val="1"/>
        </w:numPr>
        <w:spacing w:before="40" w:after="0"/>
        <w:ind w:left="714" w:hanging="357"/>
        <w:rPr>
          <w:rFonts w:ascii="AvenirNext LT Pro LightCn" w:hAnsi="AvenirNext LT Pro LightCn"/>
        </w:rPr>
      </w:pPr>
      <w:r>
        <w:rPr>
          <w:rFonts w:ascii="AvenirNext LT Pro LightCn" w:hAnsi="AvenirNext LT Pro LightCn"/>
        </w:rPr>
        <w:t>Le numéro du bon de commande (n° d’engagement juridique)</w:t>
      </w:r>
    </w:p>
    <w:p w14:paraId="65AFACA0" w14:textId="77777777" w:rsidR="00D237C9" w:rsidRDefault="001106A4">
      <w:pPr>
        <w:pStyle w:val="Paragraphedeliste"/>
        <w:numPr>
          <w:ilvl w:val="0"/>
          <w:numId w:val="1"/>
        </w:numPr>
        <w:spacing w:before="40" w:after="0"/>
        <w:ind w:left="714" w:hanging="357"/>
        <w:rPr>
          <w:rFonts w:ascii="AvenirNext LT Pro LightCn" w:hAnsi="AvenirNext LT Pro LightCn"/>
        </w:rPr>
      </w:pPr>
      <w:r>
        <w:rPr>
          <w:rFonts w:ascii="AvenirNext LT Pro LightCn" w:hAnsi="AvenirNext LT Pro LightCn"/>
        </w:rPr>
        <w:t>Les prestations réalisées ou fournitures livrées</w:t>
      </w:r>
    </w:p>
    <w:p w14:paraId="1F7E676B" w14:textId="77777777" w:rsidR="00D237C9" w:rsidRDefault="001106A4">
      <w:pPr>
        <w:pStyle w:val="Paragraphedeliste"/>
        <w:numPr>
          <w:ilvl w:val="0"/>
          <w:numId w:val="1"/>
        </w:numPr>
        <w:spacing w:before="40" w:after="0"/>
        <w:ind w:left="714" w:hanging="357"/>
        <w:rPr>
          <w:rFonts w:ascii="AvenirNext LT Pro LightCn" w:hAnsi="AvenirNext LT Pro LightCn"/>
        </w:rPr>
      </w:pPr>
      <w:r>
        <w:rPr>
          <w:rFonts w:ascii="AvenirNext LT Pro LightCn" w:hAnsi="AvenirNext LT Pro LightCn"/>
        </w:rPr>
        <w:t>Le montant HT des prestations ou fournitures</w:t>
      </w:r>
    </w:p>
    <w:p w14:paraId="4F523FEC" w14:textId="77777777" w:rsidR="00D237C9" w:rsidRDefault="001106A4">
      <w:pPr>
        <w:pStyle w:val="Paragraphedeliste"/>
        <w:numPr>
          <w:ilvl w:val="0"/>
          <w:numId w:val="1"/>
        </w:numPr>
        <w:spacing w:before="40" w:after="0"/>
        <w:ind w:left="714" w:hanging="357"/>
        <w:rPr>
          <w:rFonts w:ascii="AvenirNext LT Pro LightCn" w:hAnsi="AvenirNext LT Pro LightCn"/>
        </w:rPr>
      </w:pPr>
      <w:r>
        <w:rPr>
          <w:rFonts w:ascii="AvenirNext LT Pro LightCn" w:hAnsi="AvenirNext LT Pro LightCn"/>
        </w:rPr>
        <w:t>Le taux et le montant de la TVA</w:t>
      </w:r>
    </w:p>
    <w:p w14:paraId="216B2896" w14:textId="77777777" w:rsidR="00D237C9" w:rsidRDefault="001106A4">
      <w:pPr>
        <w:pStyle w:val="Paragraphedeliste"/>
        <w:numPr>
          <w:ilvl w:val="0"/>
          <w:numId w:val="1"/>
        </w:numPr>
        <w:spacing w:before="40" w:after="0"/>
        <w:ind w:left="714" w:hanging="357"/>
        <w:rPr>
          <w:rFonts w:ascii="AvenirNext LT Pro LightCn" w:hAnsi="AvenirNext LT Pro LightCn"/>
        </w:rPr>
      </w:pPr>
      <w:r>
        <w:rPr>
          <w:rFonts w:ascii="AvenirNext LT Pro LightCn" w:hAnsi="AvenirNext LT Pro LightCn"/>
        </w:rPr>
        <w:t>Le montant total TTC</w:t>
      </w:r>
    </w:p>
    <w:p w14:paraId="2700D2E4" w14:textId="77777777" w:rsidR="00D237C9" w:rsidRDefault="001106A4">
      <w:pPr>
        <w:rPr>
          <w:rFonts w:ascii="AvenirNext LT Pro LightCn" w:hAnsi="AvenirNext LT Pro LightCn"/>
        </w:rPr>
      </w:pPr>
      <w:r>
        <w:rPr>
          <w:rFonts w:ascii="AvenirNext LT Pro LightCn" w:hAnsi="AvenirNext LT Pro LightCn"/>
        </w:rPr>
        <w:t>Conformément aux dispositions de l’article 4.1 du décret n°2016-1478 du 2 novembre 2016 relatif au développement de la facturation électronique, l’utilisation du portail de facturation est exclusive de tout autre mode de transmission.</w:t>
      </w:r>
    </w:p>
    <w:p w14:paraId="65A74AD8" w14:textId="77777777" w:rsidR="00D237C9" w:rsidRDefault="001106A4">
      <w:pPr>
        <w:rPr>
          <w:rFonts w:ascii="AvenirNext LT Pro LightCn" w:hAnsi="AvenirNext LT Pro LightCn"/>
        </w:rPr>
      </w:pPr>
      <w:r>
        <w:rPr>
          <w:rFonts w:ascii="AvenirNext LT Pro LightCn" w:hAnsi="AvenirNext LT Pro LightCn"/>
        </w:rPr>
        <w:t>L’annexe du présent AECCP détaille les modalités de transmission des factures sur Chorus Pro.</w:t>
      </w:r>
    </w:p>
    <w:p w14:paraId="5DEF2E63" w14:textId="77777777" w:rsidR="00D237C9" w:rsidRDefault="001106A4">
      <w:pPr>
        <w:rPr>
          <w:rStyle w:val="Textedelespacerserv"/>
          <w:rFonts w:ascii="AvenirNext LT Pro LightCn" w:hAnsi="AvenirNext LT Pro LightCn"/>
          <w:shd w:val="clear" w:color="auto" w:fill="F79646" w:themeFill="accent6"/>
        </w:rPr>
      </w:pPr>
      <w:r>
        <w:rPr>
          <w:rFonts w:ascii="AvenirNext LT Pro LightCn" w:hAnsi="AvenirNext LT Pro LightCn"/>
        </w:rPr>
        <w:t xml:space="preserve">L’ordonnateur chargé d’émettre le titre de paiement est  </w:t>
      </w:r>
      <w:sdt>
        <w:sdtPr>
          <w:rPr>
            <w:rFonts w:ascii="AvenirNext LT Pro LightCn" w:hAnsi="AvenirNext LT Pro LightCn"/>
          </w:rPr>
          <w:alias w:val="PC"/>
          <w:tag w:val="PC"/>
          <w:id w:val="-1829888857"/>
          <w:placeholder>
            <w:docPart w:val="B93E46833A694335B9D56EEC1E5E6F3B"/>
          </w:placeholder>
          <w:comboBox>
            <w:listItem w:value="Choisissez un élément."/>
            <w:listItem w:displayText="la Présidente" w:value="la Présidente"/>
            <w:listItem w:displayText="le Président" w:value="le Président"/>
          </w:comboBox>
        </w:sdtPr>
        <w:sdtEndPr/>
        <w:sdtContent>
          <w:r>
            <w:rPr>
              <w:rFonts w:ascii="AvenirNext LT Pro LightCn" w:hAnsi="AvenirNext LT Pro LightCn"/>
            </w:rPr>
            <w:t>le Président</w:t>
          </w:r>
        </w:sdtContent>
      </w:sdt>
      <w:r>
        <w:rPr>
          <w:rFonts w:ascii="AvenirNext LT Pro LightCn" w:hAnsi="AvenirNext LT Pro LightCn"/>
        </w:rPr>
        <w:t xml:space="preserve"> du centre INRAE IDF Versailles-Saclay.</w:t>
      </w:r>
    </w:p>
    <w:p w14:paraId="3BD377B6" w14:textId="77777777" w:rsidR="00D237C9" w:rsidRDefault="001106A4">
      <w:pPr>
        <w:spacing w:after="240"/>
        <w:rPr>
          <w:rFonts w:ascii="AvenirNext LT Pro LightCn" w:hAnsi="AvenirNext LT Pro LightCn"/>
        </w:rPr>
      </w:pPr>
      <w:r>
        <w:rPr>
          <w:rFonts w:ascii="AvenirNext LT Pro LightCn" w:hAnsi="AvenirNext LT Pro LightCn"/>
        </w:rPr>
        <w:t xml:space="preserve">Le paiement sera effectué par virement administratif au compte indiqué par le titulaire ci-dessous </w:t>
      </w:r>
      <w:r>
        <w:rPr>
          <w:rFonts w:ascii="AvenirNext LT Pro LightCn" w:hAnsi="AvenirNext LT Pro LightCn"/>
          <w:b/>
          <w:bCs/>
        </w:rPr>
        <w:t>(</w:t>
      </w:r>
      <w:r>
        <w:rPr>
          <w:rFonts w:ascii="AvenirNext LT Pro LightCn" w:hAnsi="AvenirNext LT Pro LightCn"/>
          <w:b/>
          <w:bCs/>
          <w:color w:val="FF0000"/>
        </w:rPr>
        <w:t>joindre un RIB</w:t>
      </w:r>
      <w:r>
        <w:rPr>
          <w:rFonts w:ascii="AvenirNext LT Pro LightCn" w:hAnsi="AvenirNext LT Pro LightCn"/>
          <w:b/>
          <w:bCs/>
        </w:rPr>
        <w:t>)</w:t>
      </w:r>
      <w:r>
        <w:rPr>
          <w:rFonts w:ascii="AvenirNext LT Pro LightCn" w:hAnsi="AvenirNext LT Pro LightCn"/>
        </w:rPr>
        <w:t xml:space="preserve"> : </w:t>
      </w:r>
    </w:p>
    <w:p w14:paraId="3AA46299" w14:textId="77777777" w:rsidR="00D237C9" w:rsidRDefault="001106A4">
      <w:pPr>
        <w:pBdr>
          <w:top w:val="single" w:sz="4" w:space="1" w:color="000000"/>
          <w:left w:val="single" w:sz="4" w:space="4" w:color="000000"/>
          <w:bottom w:val="single" w:sz="4" w:space="1" w:color="000000"/>
          <w:right w:val="single" w:sz="4" w:space="4" w:color="000000"/>
        </w:pBdr>
        <w:spacing w:before="0" w:after="0"/>
        <w:ind w:left="1440"/>
        <w:rPr>
          <w:rFonts w:ascii="AvenirNext LT Pro LightCn" w:hAnsi="AvenirNext LT Pro LightCn"/>
        </w:rPr>
      </w:pPr>
      <w:r>
        <w:rPr>
          <w:rFonts w:ascii="AvenirNext LT Pro LightCn" w:hAnsi="AvenirNext LT Pro LightCn"/>
        </w:rPr>
        <w:t>Banque</w:t>
      </w:r>
      <w:r>
        <w:rPr>
          <w:rFonts w:ascii="AvenirNext LT Pro LightCn" w:hAnsi="AvenirNext LT Pro LightCn"/>
        </w:rPr>
        <w:tab/>
        <w:t>: …………………………………………………………………………………..</w:t>
      </w:r>
    </w:p>
    <w:p w14:paraId="4F676D7C" w14:textId="77777777" w:rsidR="00D237C9" w:rsidRDefault="001106A4">
      <w:pPr>
        <w:pBdr>
          <w:top w:val="single" w:sz="4" w:space="1" w:color="000000"/>
          <w:left w:val="single" w:sz="4" w:space="4" w:color="000000"/>
          <w:bottom w:val="single" w:sz="4" w:space="1" w:color="000000"/>
          <w:right w:val="single" w:sz="4" w:space="4" w:color="000000"/>
        </w:pBdr>
        <w:spacing w:before="0" w:after="0"/>
        <w:ind w:left="1440"/>
        <w:rPr>
          <w:rFonts w:ascii="AvenirNext LT Pro LightCn" w:hAnsi="AvenirNext LT Pro LightCn"/>
        </w:rPr>
      </w:pPr>
      <w:r>
        <w:rPr>
          <w:rFonts w:ascii="AvenirNext LT Pro LightCn" w:hAnsi="AvenirNext LT Pro LightCn"/>
        </w:rPr>
        <w:t>Code Banque</w:t>
      </w:r>
      <w:r>
        <w:rPr>
          <w:rFonts w:ascii="AvenirNext LT Pro LightCn" w:hAnsi="AvenirNext LT Pro LightCn"/>
        </w:rPr>
        <w:tab/>
        <w:t>:…………………………………………………………………………..</w:t>
      </w:r>
    </w:p>
    <w:p w14:paraId="4DE00916" w14:textId="77777777" w:rsidR="00D237C9" w:rsidRDefault="001106A4">
      <w:pPr>
        <w:pBdr>
          <w:top w:val="single" w:sz="4" w:space="1" w:color="000000"/>
          <w:left w:val="single" w:sz="4" w:space="4" w:color="000000"/>
          <w:bottom w:val="single" w:sz="4" w:space="1" w:color="000000"/>
          <w:right w:val="single" w:sz="4" w:space="4" w:color="000000"/>
        </w:pBdr>
        <w:spacing w:before="0" w:after="0"/>
        <w:ind w:left="1440"/>
        <w:rPr>
          <w:rFonts w:ascii="AvenirNext LT Pro LightCn" w:hAnsi="AvenirNext LT Pro LightCn"/>
        </w:rPr>
      </w:pPr>
      <w:r>
        <w:rPr>
          <w:rFonts w:ascii="AvenirNext LT Pro LightCn" w:hAnsi="AvenirNext LT Pro LightCn"/>
        </w:rPr>
        <w:t>Code Guichet</w:t>
      </w:r>
      <w:r>
        <w:rPr>
          <w:rFonts w:ascii="AvenirNext LT Pro LightCn" w:hAnsi="AvenirNext LT Pro LightCn"/>
        </w:rPr>
        <w:tab/>
        <w:t>: …………………………………………………………………………..</w:t>
      </w:r>
    </w:p>
    <w:p w14:paraId="26C95F12" w14:textId="77777777" w:rsidR="00D237C9" w:rsidRDefault="001106A4">
      <w:pPr>
        <w:pBdr>
          <w:top w:val="single" w:sz="4" w:space="1" w:color="000000"/>
          <w:left w:val="single" w:sz="4" w:space="4" w:color="000000"/>
          <w:bottom w:val="single" w:sz="4" w:space="1" w:color="000000"/>
          <w:right w:val="single" w:sz="4" w:space="4" w:color="000000"/>
        </w:pBdr>
        <w:spacing w:before="0" w:after="0"/>
        <w:ind w:left="1440"/>
        <w:rPr>
          <w:rFonts w:ascii="AvenirNext LT Pro LightCn" w:hAnsi="AvenirNext LT Pro LightCn"/>
        </w:rPr>
      </w:pPr>
      <w:r>
        <w:rPr>
          <w:rFonts w:ascii="AvenirNext LT Pro LightCn" w:hAnsi="AvenirNext LT Pro LightCn"/>
        </w:rPr>
        <w:t>Compte n°</w:t>
      </w:r>
      <w:r>
        <w:rPr>
          <w:rFonts w:ascii="AvenirNext LT Pro LightCn" w:hAnsi="AvenirNext LT Pro LightCn"/>
        </w:rPr>
        <w:tab/>
        <w:t>:……………………………………………………………………………</w:t>
      </w:r>
    </w:p>
    <w:p w14:paraId="1650F35C" w14:textId="77777777" w:rsidR="00D237C9" w:rsidRDefault="001106A4">
      <w:pPr>
        <w:pBdr>
          <w:top w:val="single" w:sz="4" w:space="1" w:color="000000"/>
          <w:left w:val="single" w:sz="4" w:space="4" w:color="000000"/>
          <w:bottom w:val="single" w:sz="4" w:space="1" w:color="000000"/>
          <w:right w:val="single" w:sz="4" w:space="4" w:color="000000"/>
        </w:pBdr>
        <w:spacing w:before="0" w:after="0"/>
        <w:ind w:left="1440"/>
        <w:rPr>
          <w:rFonts w:ascii="AvenirNext LT Pro LightCn" w:hAnsi="AvenirNext LT Pro LightCn"/>
        </w:rPr>
      </w:pPr>
      <w:r>
        <w:rPr>
          <w:rFonts w:ascii="AvenirNext LT Pro LightCn" w:hAnsi="AvenirNext LT Pro LightCn"/>
        </w:rPr>
        <w:t>Clé</w:t>
      </w:r>
      <w:r>
        <w:rPr>
          <w:rFonts w:ascii="AvenirNext LT Pro LightCn" w:hAnsi="AvenirNext LT Pro LightCn"/>
        </w:rPr>
        <w:tab/>
        <w:t>:…………………………………………………………………………………………</w:t>
      </w:r>
    </w:p>
    <w:p w14:paraId="3A94BE47" w14:textId="77777777" w:rsidR="00D237C9" w:rsidRDefault="001106A4">
      <w:pPr>
        <w:spacing w:before="240"/>
        <w:rPr>
          <w:rFonts w:ascii="AvenirNext LT Pro LightCn" w:hAnsi="AvenirNext LT Pro LightCn"/>
        </w:rPr>
      </w:pPr>
      <w:r>
        <w:rPr>
          <w:rFonts w:ascii="AvenirNext LT Pro LightCn" w:hAnsi="AvenirNext LT Pro LightCn"/>
        </w:rPr>
        <w:t>Le délai global de paiement est de 30 jours maximum à compter de la réception de la facture dans les formes prescrites.</w:t>
      </w:r>
    </w:p>
    <w:p w14:paraId="775489EC" w14:textId="77777777" w:rsidR="00D237C9" w:rsidRDefault="001106A4">
      <w:pPr>
        <w:rPr>
          <w:rFonts w:ascii="AvenirNext LT Pro LightCn" w:hAnsi="AvenirNext LT Pro LightCn"/>
        </w:rPr>
      </w:pPr>
      <w:r>
        <w:rPr>
          <w:rFonts w:ascii="AvenirNext LT Pro LightCn" w:hAnsi="AvenirNext LT Pro LightCn"/>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013C24AA" w14:textId="77777777" w:rsidR="00D237C9" w:rsidRDefault="001106A4">
      <w:pPr>
        <w:rPr>
          <w:rFonts w:ascii="AvenirNext LT Pro LightCn" w:hAnsi="AvenirNext LT Pro LightCn"/>
        </w:rPr>
      </w:pPr>
      <w:r>
        <w:rPr>
          <w:rFonts w:ascii="AvenirNext LT Pro LightCn" w:hAnsi="AvenirNext LT Pro LightCn"/>
        </w:rPr>
        <w:t>Le règlement sera effectué au compte bancaire indiqué par le titulaire ci-dessus.</w:t>
      </w:r>
    </w:p>
    <w:p w14:paraId="7B574008" w14:textId="77777777" w:rsidR="00D237C9" w:rsidRDefault="00D237C9">
      <w:pPr>
        <w:rPr>
          <w:rFonts w:ascii="AvenirNext LT Pro LightCn" w:hAnsi="AvenirNext LT Pro LightCn"/>
        </w:rPr>
      </w:pPr>
    </w:p>
    <w:p w14:paraId="5D406E8A" w14:textId="77777777" w:rsidR="00D237C9" w:rsidRDefault="001106A4">
      <w:pPr>
        <w:rPr>
          <w:rFonts w:ascii="AvenirNext LT Pro LightCn" w:hAnsi="AvenirNext LT Pro LightCn"/>
        </w:rPr>
      </w:pPr>
      <w:r>
        <w:rPr>
          <w:rFonts w:ascii="AvenirNext LT Pro LightCn" w:hAnsi="AvenirNext LT Pro LightCn" w:cstheme="minorHAnsi"/>
          <w:noProof/>
          <w:lang w:eastAsia="fr-FR"/>
        </w:rPr>
        <w:lastRenderedPageBreak/>
        <mc:AlternateContent>
          <mc:Choice Requires="wpg">
            <w:drawing>
              <wp:inline distT="0" distB="0" distL="0" distR="0" wp14:anchorId="4497A3B0" wp14:editId="086F7533">
                <wp:extent cx="5987875" cy="65246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19"/>
                        <a:stretch/>
                      </pic:blipFill>
                      <pic:spPr bwMode="auto">
                        <a:xfrm>
                          <a:off x="0" y="0"/>
                          <a:ext cx="6009369" cy="6548045"/>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471.49pt;height:513.75pt;mso-wrap-distance-left:0.00pt;mso-wrap-distance-top:0.00pt;mso-wrap-distance-right:0.00pt;mso-wrap-distance-bottom:0.00pt;z-index:1;" stroked="false">
                <v:imagedata r:id="rId24" o:title=""/>
                <o:lock v:ext="edit" rotation="t"/>
              </v:shape>
            </w:pict>
          </mc:Fallback>
        </mc:AlternateContent>
      </w:r>
    </w:p>
    <w:p w14:paraId="0BDD7E46" w14:textId="77777777" w:rsidR="00D237C9" w:rsidRDefault="001106A4">
      <w:pPr>
        <w:pStyle w:val="Titre1"/>
        <w:spacing w:after="240"/>
        <w:ind w:left="357" w:hanging="357"/>
        <w:rPr>
          <w:rFonts w:ascii="AvenirNext LT Pro LightCn" w:hAnsi="AvenirNext LT Pro LightCn"/>
        </w:rPr>
      </w:pPr>
      <w:bookmarkStart w:id="121" w:name="_Toc164174655"/>
      <w:r>
        <w:rPr>
          <w:rFonts w:ascii="AvenirNext LT Pro LightCn" w:hAnsi="AvenirNext LT Pro LightCn"/>
        </w:rPr>
        <w:t>AVANCE</w:t>
      </w:r>
      <w:bookmarkEnd w:id="121"/>
      <w:r>
        <w:rPr>
          <w:rFonts w:ascii="AvenirNext LT Pro LightCn" w:hAnsi="AvenirNext LT Pro LightCn"/>
        </w:rPr>
        <w:t xml:space="preserve"> </w:t>
      </w:r>
    </w:p>
    <w:p w14:paraId="4B420A9C" w14:textId="77777777" w:rsidR="00D237C9" w:rsidRDefault="001106A4">
      <w:pPr>
        <w:rPr>
          <w:rFonts w:ascii="AvenirNext LT Pro LightCn" w:hAnsi="AvenirNext LT Pro LightCn"/>
        </w:rPr>
      </w:pPr>
      <w:r>
        <w:rPr>
          <w:rFonts w:ascii="AvenirNext LT Pro LightCn" w:hAnsi="AvenirNext LT Pro LightCn"/>
        </w:rPr>
        <w:t xml:space="preserve">L’option B du CCAG s’applique. Le taux de l’avance est fixé à 10%. </w:t>
      </w:r>
    </w:p>
    <w:p w14:paraId="3F9DF1F1" w14:textId="77777777" w:rsidR="00D237C9" w:rsidRDefault="001106A4">
      <w:pPr>
        <w:rPr>
          <w:rFonts w:ascii="AvenirNext LT Pro LightCn" w:hAnsi="AvenirNext LT Pro LightCn"/>
        </w:rPr>
      </w:pPr>
      <w:r>
        <w:rPr>
          <w:rFonts w:ascii="AvenirNext LT Pro LightCn" w:hAnsi="AvenirNext LT Pro LightCn"/>
        </w:rPr>
        <w:t xml:space="preserve">Le titulaire bénéficie d’une avance, dans les conditions des articles R2191-3 et suivants du code de la commande publique, si le montant initial du marché est supérieur à 50 000 € HT et si le délai d’exécution est supérieur à 2 mois, sauf renonciation expresse du titulaire en page 2 du présent document. </w:t>
      </w:r>
    </w:p>
    <w:p w14:paraId="29577A47" w14:textId="77777777" w:rsidR="00D237C9" w:rsidRDefault="001106A4">
      <w:pPr>
        <w:rPr>
          <w:rFonts w:ascii="AvenirNext LT Pro LightCn" w:hAnsi="AvenirNext LT Pro LightCn"/>
          <w:i/>
        </w:rPr>
      </w:pPr>
      <w:r>
        <w:rPr>
          <w:rFonts w:ascii="AvenirNext LT Pro LightCn" w:hAnsi="AvenirNext LT Pro LightCn"/>
        </w:rPr>
        <w:t>Le remboursement de l’avance, effectué par précompte sur les sommes dues au titulaire, commence lorsque le montant des prestations exécutées au titre du marché atteint soixante-cinq pour cent (65%). Le remboursement doit être terminé lorsque ce pourcentage atteint quatre-vingt pour cent (80 %)</w:t>
      </w:r>
      <w:r>
        <w:rPr>
          <w:rFonts w:ascii="AvenirNext LT Pro LightCn" w:hAnsi="AvenirNext LT Pro LightCn"/>
          <w:i/>
        </w:rPr>
        <w:t>.</w:t>
      </w:r>
    </w:p>
    <w:p w14:paraId="1BFAB376" w14:textId="77777777" w:rsidR="00D237C9" w:rsidRDefault="001106A4">
      <w:pPr>
        <w:pStyle w:val="Titre1"/>
        <w:rPr>
          <w:rFonts w:ascii="AvenirNext LT Pro LightCn" w:hAnsi="AvenirNext LT Pro LightCn"/>
        </w:rPr>
      </w:pPr>
      <w:r>
        <w:rPr>
          <w:rFonts w:ascii="AvenirNext LT Pro LightCn" w:hAnsi="AvenirNext LT Pro LightCn"/>
        </w:rPr>
        <w:lastRenderedPageBreak/>
        <w:t xml:space="preserve">     </w:t>
      </w:r>
      <w:bookmarkStart w:id="122" w:name="_Toc164174656"/>
      <w:r>
        <w:rPr>
          <w:rFonts w:ascii="AvenirNext LT Pro LightCn" w:hAnsi="AvenirNext LT Pro LightCn"/>
        </w:rPr>
        <w:t>PENALITES APPLICABLES</w:t>
      </w:r>
      <w:bookmarkEnd w:id="122"/>
    </w:p>
    <w:p w14:paraId="7BC37C26" w14:textId="77777777" w:rsidR="00D237C9" w:rsidRDefault="001106A4">
      <w:pPr>
        <w:rPr>
          <w:rFonts w:ascii="AvenirNext LT Pro LightCn" w:hAnsi="AvenirNext LT Pro LightCn"/>
        </w:rPr>
      </w:pPr>
      <w:r>
        <w:rPr>
          <w:rFonts w:ascii="AvenirNext LT Pro LightCn" w:hAnsi="AvenirNext LT Pro LightCn"/>
        </w:rPr>
        <w:t>En cas de non-respect des conditions d’exécution du marché et par dérogation à l’article 14.1.1 du CCAG-FCS, INRAE se réserve le droit d’appliquer au titulaire les pénalités suivantes sans mise en demeure préalable.</w:t>
      </w:r>
    </w:p>
    <w:p w14:paraId="157EA62F" w14:textId="77777777" w:rsidR="00D237C9" w:rsidRDefault="001106A4">
      <w:pPr>
        <w:rPr>
          <w:rFonts w:ascii="AvenirNext LT Pro LightCn" w:hAnsi="AvenirNext LT Pro LightCn"/>
        </w:rPr>
      </w:pPr>
      <w:r>
        <w:rPr>
          <w:rFonts w:ascii="AvenirNext LT Pro LightCn" w:hAnsi="AvenirNext LT Pro LightCn"/>
        </w:rPr>
        <w:t>Les pénalités applicables sont cumulables entre elles et complètent l’article 14 du CCAG-FCS.</w:t>
      </w:r>
    </w:p>
    <w:p w14:paraId="36BA0D9A" w14:textId="77777777" w:rsidR="00D237C9" w:rsidRDefault="001106A4">
      <w:pPr>
        <w:rPr>
          <w:rFonts w:ascii="AvenirNext LT Pro LightCn" w:hAnsi="AvenirNext LT Pro LightCn"/>
        </w:rPr>
      </w:pPr>
      <w:r>
        <w:rPr>
          <w:rFonts w:ascii="AvenirNext LT Pro LightCn" w:hAnsi="AvenirNext LT Pro LightCn"/>
        </w:rPr>
        <w:t>Ces pénalités sont déduites du montant restant dû par INRAE ou font l’objet d’un ordre de reversement à l’encontre du titulaire. Elles restent dues en cas de résiliation du marché.</w:t>
      </w:r>
    </w:p>
    <w:p w14:paraId="1AA88D16" w14:textId="77777777" w:rsidR="00D237C9" w:rsidRDefault="001106A4">
      <w:pPr>
        <w:rPr>
          <w:rFonts w:ascii="AvenirNext LT Pro LightCn" w:hAnsi="AvenirNext LT Pro LightCn"/>
          <w:color w:val="000000" w:themeColor="text1"/>
        </w:rPr>
      </w:pPr>
      <w:r>
        <w:rPr>
          <w:rFonts w:ascii="AvenirNext LT Pro LightCn" w:hAnsi="AvenirNext LT Pro LightCn"/>
        </w:rPr>
        <w:t xml:space="preserve">Par dérogation à l’article 14 du CCAG-FCS, le montant total de l’ensemble des pénalités appliquées dans le cadre de l’exécution du présent marché ne peut dépasser 20% du prix global et forfaitaire du </w:t>
      </w:r>
      <w:r>
        <w:rPr>
          <w:rFonts w:ascii="AvenirNext LT Pro LightCn" w:hAnsi="AvenirNext LT Pro LightCn"/>
          <w:color w:val="000000" w:themeColor="text1"/>
        </w:rPr>
        <w:t>marché.</w:t>
      </w:r>
    </w:p>
    <w:p w14:paraId="4F394B0D" w14:textId="77777777" w:rsidR="00D237C9" w:rsidRDefault="001106A4">
      <w:pPr>
        <w:rPr>
          <w:rFonts w:ascii="AvenirNext LT Pro LightCn" w:hAnsi="AvenirNext LT Pro LightCn"/>
        </w:rPr>
      </w:pPr>
      <w:r>
        <w:rPr>
          <w:rFonts w:ascii="AvenirNext LT Pro LightCn" w:hAnsi="AvenirNext LT Pro LightCn"/>
        </w:rPr>
        <w:t>Les pénalités sont dues dès le premier euro et dès le premier jour de retard. Celles-ci sont exprimées en jours calendaires et incluent donc les samedi, dimanche et les jours fériés.</w:t>
      </w:r>
    </w:p>
    <w:p w14:paraId="64010531" w14:textId="77777777" w:rsidR="00D237C9" w:rsidRDefault="001106A4">
      <w:pPr>
        <w:pStyle w:val="Titre2"/>
        <w:rPr>
          <w:rFonts w:ascii="AvenirNext LT Pro LightCn" w:hAnsi="AvenirNext LT Pro LightCn"/>
        </w:rPr>
      </w:pPr>
      <w:bookmarkStart w:id="123" w:name="_Toc164174657"/>
      <w:r>
        <w:rPr>
          <w:rFonts w:ascii="AvenirNext LT Pro LightCn" w:hAnsi="AvenirNext LT Pro LightCn"/>
        </w:rPr>
        <w:t>- Pénalités pour retard</w:t>
      </w:r>
      <w:bookmarkEnd w:id="123"/>
    </w:p>
    <w:p w14:paraId="16310FFB" w14:textId="77777777" w:rsidR="00D237C9" w:rsidRDefault="001106A4">
      <w:pPr>
        <w:spacing w:before="240"/>
        <w:rPr>
          <w:rFonts w:ascii="AvenirNext LT Pro LightCn" w:hAnsi="AvenirNext LT Pro LightCn"/>
          <w:sz w:val="20"/>
          <w:szCs w:val="20"/>
        </w:rPr>
      </w:pPr>
      <w:r>
        <w:rPr>
          <w:rFonts w:ascii="AvenirNext LT Pro LightCn" w:hAnsi="AvenirNext LT Pro LightCn"/>
        </w:rPr>
        <w:t>Conformément à l’article 14 du CCAG-FCS, lorsque le délai contractuel d’exécution du marché est dépassé, par le fait du titulaire, celui-ci encourt, après mise en demeure préalable, une pénalité de retard.</w:t>
      </w:r>
    </w:p>
    <w:p w14:paraId="733EC83A" w14:textId="77777777" w:rsidR="00D237C9" w:rsidRDefault="001106A4">
      <w:pPr>
        <w:rPr>
          <w:rFonts w:ascii="AvenirNext LT Pro LightCn" w:hAnsi="AvenirNext LT Pro LightCn"/>
          <w:sz w:val="20"/>
          <w:szCs w:val="20"/>
        </w:rPr>
      </w:pPr>
      <w:r>
        <w:rPr>
          <w:rFonts w:ascii="AvenirNext LT Pro LightCn" w:hAnsi="AvenirNext LT Pro LightCn"/>
        </w:rPr>
        <w:t>Cette pénalité est calculée par application de la formule suivante :</w:t>
      </w:r>
    </w:p>
    <w:p w14:paraId="4A94542D" w14:textId="77777777" w:rsidR="00D237C9" w:rsidRDefault="001106A4">
      <w:pPr>
        <w:rPr>
          <w:rFonts w:ascii="AvenirNext LT Pro LightCn" w:hAnsi="AvenirNext LT Pro LightCn"/>
          <w:b/>
          <w:sz w:val="20"/>
          <w:szCs w:val="20"/>
        </w:rPr>
      </w:pPr>
      <w:r>
        <w:rPr>
          <w:rFonts w:ascii="AvenirNext LT Pro LightCn" w:hAnsi="AvenirNext LT Pro LightCn"/>
          <w:b/>
        </w:rPr>
        <w:t>P = V x R / 1000</w:t>
      </w:r>
    </w:p>
    <w:p w14:paraId="376E2CF9" w14:textId="77777777" w:rsidR="00D237C9" w:rsidRDefault="001106A4">
      <w:pPr>
        <w:rPr>
          <w:rFonts w:ascii="AvenirNext LT Pro LightCn" w:hAnsi="AvenirNext LT Pro LightCn"/>
          <w:sz w:val="20"/>
          <w:szCs w:val="20"/>
        </w:rPr>
      </w:pPr>
      <w:r>
        <w:rPr>
          <w:rFonts w:ascii="AvenirNext LT Pro LightCn" w:hAnsi="AvenirNext LT Pro LightCn"/>
        </w:rPr>
        <w:t>Dans laquelle :</w:t>
      </w:r>
    </w:p>
    <w:p w14:paraId="18C01225" w14:textId="77777777" w:rsidR="00D237C9" w:rsidRDefault="001106A4">
      <w:pPr>
        <w:pStyle w:val="Paragraphedeliste"/>
        <w:numPr>
          <w:ilvl w:val="0"/>
          <w:numId w:val="6"/>
        </w:numPr>
        <w:spacing w:before="0" w:after="0"/>
        <w:ind w:left="714" w:hanging="357"/>
        <w:rPr>
          <w:rFonts w:ascii="AvenirNext LT Pro LightCn" w:hAnsi="AvenirNext LT Pro LightCn"/>
          <w:sz w:val="20"/>
          <w:szCs w:val="20"/>
        </w:rPr>
      </w:pPr>
      <w:r>
        <w:rPr>
          <w:rFonts w:ascii="AvenirNext LT Pro LightCn" w:hAnsi="AvenirNext LT Pro LightCn"/>
        </w:rPr>
        <w:t>P correspond au montant de la pénalité</w:t>
      </w:r>
    </w:p>
    <w:p w14:paraId="1B84C613" w14:textId="77777777" w:rsidR="00D237C9" w:rsidRDefault="001106A4">
      <w:pPr>
        <w:pStyle w:val="Paragraphedeliste"/>
        <w:numPr>
          <w:ilvl w:val="0"/>
          <w:numId w:val="6"/>
        </w:numPr>
        <w:spacing w:before="0" w:after="0"/>
        <w:ind w:left="714" w:hanging="357"/>
        <w:rPr>
          <w:rFonts w:ascii="AvenirNext LT Pro LightCn" w:hAnsi="AvenirNext LT Pro LightCn"/>
          <w:sz w:val="20"/>
          <w:szCs w:val="20"/>
        </w:rPr>
      </w:pPr>
      <w:r>
        <w:rPr>
          <w:rFonts w:ascii="AvenirNext LT Pro LightCn" w:hAnsi="AvenirNext LT Pro LightCn"/>
        </w:rPr>
        <w:t>V correspond à la valeur des fournitures ou services sur laquelle est calculée la pénalité, cette valeur étant égale au montant en prix de base, hors variations de prix et hors du champ d’application de la TVA, de la partie des prestations en retard, ou de l’ensemble des prestations si le retard de l’exécution d’une partie rend l’ensemble inutilisable</w:t>
      </w:r>
    </w:p>
    <w:p w14:paraId="4FAF75F5" w14:textId="77777777" w:rsidR="00D237C9" w:rsidRDefault="001106A4">
      <w:pPr>
        <w:pStyle w:val="Paragraphedeliste"/>
        <w:numPr>
          <w:ilvl w:val="0"/>
          <w:numId w:val="6"/>
        </w:numPr>
        <w:spacing w:before="0" w:after="0"/>
        <w:ind w:left="714" w:hanging="357"/>
        <w:rPr>
          <w:rFonts w:ascii="AvenirNext LT Pro LightCn" w:hAnsi="AvenirNext LT Pro LightCn"/>
        </w:rPr>
      </w:pPr>
      <w:r>
        <w:rPr>
          <w:rFonts w:ascii="AvenirNext LT Pro LightCn" w:hAnsi="AvenirNext LT Pro LightCn"/>
        </w:rPr>
        <w:t>R correspond au nombre de jours de retard.</w:t>
      </w:r>
    </w:p>
    <w:p w14:paraId="194D148B" w14:textId="77777777" w:rsidR="00D237C9" w:rsidRDefault="001106A4">
      <w:pPr>
        <w:pStyle w:val="Titre2"/>
        <w:rPr>
          <w:rFonts w:ascii="AvenirNext LT Pro LightCn" w:hAnsi="AvenirNext LT Pro LightCn"/>
        </w:rPr>
      </w:pPr>
      <w:bookmarkStart w:id="124" w:name="_Toc164174658"/>
      <w:r>
        <w:rPr>
          <w:rFonts w:ascii="AvenirNext LT Pro LightCn" w:hAnsi="AvenirNext LT Pro LightCn"/>
        </w:rPr>
        <w:t>- - Pénalités pour non-respect du délai d’intervention en cas de panne</w:t>
      </w:r>
      <w:bookmarkEnd w:id="124"/>
    </w:p>
    <w:p w14:paraId="3D19D87C" w14:textId="1552462F" w:rsidR="00D237C9" w:rsidRDefault="001106A4">
      <w:pPr>
        <w:spacing w:before="0" w:after="0"/>
        <w:rPr>
          <w:rFonts w:ascii="AvenirNext LT Pro LightCn" w:hAnsi="AvenirNext LT Pro LightCn"/>
        </w:rPr>
      </w:pPr>
      <w:r>
        <w:rPr>
          <w:rFonts w:ascii="AvenirNext LT Pro LightCn" w:hAnsi="AvenirNext LT Pro LightCn"/>
        </w:rPr>
        <w:t>En garantie, en cas de dépassement des délais d’intervention sur lesquels s’est engagé le titulaire, celui-ci peut, sur décision d’INRAE, se voir appliquer, sans mise en demeure préalable, une pénalité calculée par l’application de la formule suivante, tout jour entamé étant dû :</w:t>
      </w:r>
    </w:p>
    <w:p w14:paraId="2392EB89" w14:textId="77777777" w:rsidR="00D237C9" w:rsidRDefault="00D237C9">
      <w:pPr>
        <w:spacing w:before="0" w:after="0"/>
        <w:rPr>
          <w:rFonts w:ascii="AvenirNext LT Pro LightCn" w:hAnsi="AvenirNext LT Pro LightCn"/>
        </w:rPr>
      </w:pPr>
    </w:p>
    <w:p w14:paraId="56629C1E" w14:textId="77777777" w:rsidR="00D237C9" w:rsidRDefault="001106A4">
      <w:pPr>
        <w:spacing w:before="0" w:after="0"/>
        <w:rPr>
          <w:rFonts w:ascii="AvenirNext LT Pro LightCn" w:hAnsi="AvenirNext LT Pro LightCn"/>
        </w:rPr>
      </w:pPr>
      <w:r>
        <w:rPr>
          <w:rFonts w:ascii="AvenirNext LT Pro LightCn" w:hAnsi="AvenirNext LT Pro LightCn"/>
        </w:rPr>
        <w:t xml:space="preserve">P = </w:t>
      </w:r>
      <w:r>
        <w:rPr>
          <w:rFonts w:ascii="AvenirNext LT Pro LightCn" w:hAnsi="AvenirNext LT Pro LightCn"/>
        </w:rPr>
        <w:tab/>
      </w:r>
      <w:r>
        <w:rPr>
          <w:rFonts w:ascii="AvenirNext LT Pro LightCn" w:hAnsi="AvenirNext LT Pro LightCn"/>
          <w:u w:val="single"/>
        </w:rPr>
        <w:t>V x R</w:t>
      </w:r>
    </w:p>
    <w:p w14:paraId="200C1154" w14:textId="77777777" w:rsidR="00D237C9" w:rsidRDefault="001106A4">
      <w:pPr>
        <w:spacing w:before="0" w:after="0"/>
        <w:ind w:firstLine="720"/>
        <w:rPr>
          <w:rFonts w:ascii="AvenirNext LT Pro LightCn" w:hAnsi="AvenirNext LT Pro LightCn"/>
        </w:rPr>
      </w:pPr>
      <w:r>
        <w:rPr>
          <w:rFonts w:ascii="AvenirNext LT Pro LightCn" w:hAnsi="AvenirNext LT Pro LightCn"/>
        </w:rPr>
        <w:t>200</w:t>
      </w:r>
    </w:p>
    <w:p w14:paraId="0A01829C" w14:textId="77777777" w:rsidR="00D237C9" w:rsidRDefault="00D237C9">
      <w:pPr>
        <w:spacing w:before="0" w:after="0"/>
        <w:rPr>
          <w:rFonts w:ascii="AvenirNext LT Pro LightCn" w:hAnsi="AvenirNext LT Pro LightCn"/>
        </w:rPr>
      </w:pPr>
    </w:p>
    <w:p w14:paraId="76FC4BE6" w14:textId="77777777" w:rsidR="00D237C9" w:rsidRDefault="001106A4">
      <w:pPr>
        <w:spacing w:before="0" w:after="0"/>
        <w:rPr>
          <w:rFonts w:ascii="AvenirNext LT Pro LightCn" w:hAnsi="AvenirNext LT Pro LightCn"/>
        </w:rPr>
      </w:pPr>
      <w:r>
        <w:rPr>
          <w:rFonts w:ascii="AvenirNext LT Pro LightCn" w:hAnsi="AvenirNext LT Pro LightCn"/>
        </w:rPr>
        <w:t>Dans laquelle :</w:t>
      </w:r>
    </w:p>
    <w:p w14:paraId="47F89D5B" w14:textId="77777777" w:rsidR="00D237C9" w:rsidRDefault="00D237C9">
      <w:pPr>
        <w:spacing w:before="0" w:after="0"/>
        <w:rPr>
          <w:rFonts w:ascii="AvenirNext LT Pro LightCn" w:hAnsi="AvenirNext LT Pro LightCn"/>
        </w:rPr>
      </w:pPr>
    </w:p>
    <w:p w14:paraId="27B98DFE" w14:textId="77777777" w:rsidR="00D237C9" w:rsidRDefault="001106A4">
      <w:pPr>
        <w:numPr>
          <w:ilvl w:val="0"/>
          <w:numId w:val="6"/>
        </w:numPr>
        <w:spacing w:before="0" w:after="0"/>
        <w:rPr>
          <w:rFonts w:ascii="AvenirNext LT Pro LightCn" w:hAnsi="AvenirNext LT Pro LightCn"/>
        </w:rPr>
      </w:pPr>
      <w:r>
        <w:rPr>
          <w:rFonts w:ascii="AvenirNext LT Pro LightCn" w:hAnsi="AvenirNext LT Pro LightCn"/>
        </w:rPr>
        <w:t>P est le montant des pénalités</w:t>
      </w:r>
    </w:p>
    <w:p w14:paraId="14890C43" w14:textId="77777777" w:rsidR="00D237C9" w:rsidRDefault="001106A4">
      <w:pPr>
        <w:numPr>
          <w:ilvl w:val="0"/>
          <w:numId w:val="6"/>
        </w:numPr>
        <w:spacing w:before="0" w:after="0"/>
        <w:rPr>
          <w:rFonts w:ascii="AvenirNext LT Pro LightCn" w:hAnsi="AvenirNext LT Pro LightCn"/>
        </w:rPr>
      </w:pPr>
      <w:r>
        <w:rPr>
          <w:rFonts w:ascii="AvenirNext LT Pro LightCn" w:hAnsi="AvenirNext LT Pro LightCn"/>
        </w:rPr>
        <w:t>V est la valeur qui correspond au prix initial d’achat de l’équipement. Cette valeur baisse de 25% la première année à l’issue de la période de garantie, puis de 5% par année supplémentaire.</w:t>
      </w:r>
    </w:p>
    <w:p w14:paraId="68A828A6" w14:textId="77777777" w:rsidR="00D237C9" w:rsidRDefault="001106A4">
      <w:pPr>
        <w:numPr>
          <w:ilvl w:val="0"/>
          <w:numId w:val="6"/>
        </w:numPr>
        <w:spacing w:before="0" w:after="0"/>
        <w:rPr>
          <w:rFonts w:ascii="AvenirNext LT Pro LightCn" w:hAnsi="AvenirNext LT Pro LightCn"/>
        </w:rPr>
      </w:pPr>
      <w:r>
        <w:rPr>
          <w:rFonts w:ascii="AvenirNext LT Pro LightCn" w:hAnsi="AvenirNext LT Pro LightCn"/>
        </w:rPr>
        <w:t>R est le nombre de jours calendaires de retard sur le délai d’intervention contractuel.</w:t>
      </w:r>
    </w:p>
    <w:p w14:paraId="162C5EFE" w14:textId="77777777" w:rsidR="00D237C9" w:rsidRDefault="001106A4">
      <w:pPr>
        <w:spacing w:after="0"/>
        <w:rPr>
          <w:rFonts w:ascii="AvenirNext LT Pro LightCn" w:hAnsi="AvenirNext LT Pro LightCn"/>
        </w:rPr>
      </w:pPr>
      <w:r>
        <w:rPr>
          <w:rFonts w:ascii="AvenirNext LT Pro LightCn" w:hAnsi="AvenirNext LT Pro LightCn"/>
        </w:rPr>
        <w:t>Le délai R correspond au nombre de jours écoulés entre la date d’enregistrement de la demande d’intervention d’INRAE par le titulaire, jusqu’à la date effective d’intervention du titulaire déduit du délai d’intervention contractuel prévu dans le marché.</w:t>
      </w:r>
    </w:p>
    <w:p w14:paraId="3F450553" w14:textId="77777777" w:rsidR="00D237C9" w:rsidRDefault="001106A4">
      <w:pPr>
        <w:spacing w:after="0"/>
        <w:rPr>
          <w:rFonts w:ascii="AvenirNext LT Pro LightCn" w:hAnsi="AvenirNext LT Pro LightCn"/>
        </w:rPr>
      </w:pPr>
      <w:r>
        <w:rPr>
          <w:rFonts w:ascii="AvenirNext LT Pro LightCn" w:hAnsi="AvenirNext LT Pro LightCn"/>
        </w:rPr>
        <w:t>INRAE peut exonérer le titulaire de ces pénalités si ce dernier invoque une cause de retard qui ne lui est pas imputable. Il notifie alors sa demande d’exonération à INRAE, en exposant les motifs de son retard.</w:t>
      </w:r>
    </w:p>
    <w:p w14:paraId="55EA0CD4" w14:textId="77777777" w:rsidR="00D237C9" w:rsidRDefault="001106A4">
      <w:pPr>
        <w:pStyle w:val="Titre2"/>
        <w:rPr>
          <w:rFonts w:ascii="AvenirNext LT Pro LightCn" w:hAnsi="AvenirNext LT Pro LightCn"/>
          <w:color w:val="00A3A6"/>
          <w14:textFill>
            <w14:solidFill>
              <w14:srgbClr w14:val="00A3A6">
                <w14:lumMod w14:val="75000"/>
              </w14:srgbClr>
            </w14:solidFill>
          </w14:textFill>
        </w:rPr>
      </w:pPr>
      <w:bookmarkStart w:id="125" w:name="_Toc164174659"/>
      <w:r>
        <w:rPr>
          <w:rFonts w:ascii="AvenirNext LT Pro LightCn" w:hAnsi="AvenirNext LT Pro LightCn"/>
          <w:color w:val="00A3A6"/>
          <w14:textFill>
            <w14:solidFill>
              <w14:srgbClr w14:val="00A3A6">
                <w14:lumMod w14:val="75000"/>
              </w14:srgbClr>
            </w14:solidFill>
          </w14:textFill>
        </w:rPr>
        <w:lastRenderedPageBreak/>
        <w:t>- Pénalités pour non-respect du délai de mise au point ou de réparation en cas de panne</w:t>
      </w:r>
      <w:bookmarkEnd w:id="125"/>
    </w:p>
    <w:p w14:paraId="0EFB0C64" w14:textId="105B3DF0" w:rsidR="00D237C9" w:rsidRDefault="001106A4">
      <w:pPr>
        <w:spacing w:after="0"/>
        <w:rPr>
          <w:rFonts w:ascii="AvenirNext LT Pro LightCn" w:hAnsi="AvenirNext LT Pro LightCn"/>
        </w:rPr>
      </w:pPr>
      <w:r>
        <w:rPr>
          <w:rFonts w:ascii="AvenirNext LT Pro LightCn" w:hAnsi="AvenirNext LT Pro LightCn"/>
        </w:rPr>
        <w:t>En garantie, en cas de dépassement du délai dont dispose le titulaire pour effectuer une mise au point ou une réparation comme défini dans le présent marché, le titulaire peut, sur décision d’INRAE, se voir appliquer, sans mise en demeure préalable, une pénalité calculée par l’application de la formule suivante :</w:t>
      </w:r>
    </w:p>
    <w:p w14:paraId="501716F8" w14:textId="77777777" w:rsidR="00D237C9" w:rsidRDefault="00D237C9">
      <w:pPr>
        <w:spacing w:after="0"/>
        <w:rPr>
          <w:rFonts w:ascii="AvenirNext LT Pro LightCn" w:hAnsi="AvenirNext LT Pro LightCn"/>
        </w:rPr>
      </w:pPr>
    </w:p>
    <w:p w14:paraId="20D8FC3E" w14:textId="77777777" w:rsidR="00D237C9" w:rsidRDefault="001106A4">
      <w:pPr>
        <w:spacing w:before="0" w:after="0"/>
        <w:rPr>
          <w:rFonts w:ascii="AvenirNext LT Pro LightCn" w:hAnsi="AvenirNext LT Pro LightCn"/>
        </w:rPr>
      </w:pPr>
      <w:r>
        <w:rPr>
          <w:rFonts w:ascii="AvenirNext LT Pro LightCn" w:hAnsi="AvenirNext LT Pro LightCn"/>
        </w:rPr>
        <w:t xml:space="preserve">P = </w:t>
      </w:r>
      <w:r>
        <w:rPr>
          <w:rFonts w:ascii="AvenirNext LT Pro LightCn" w:hAnsi="AvenirNext LT Pro LightCn"/>
        </w:rPr>
        <w:tab/>
      </w:r>
      <w:r>
        <w:rPr>
          <w:rFonts w:ascii="AvenirNext LT Pro LightCn" w:hAnsi="AvenirNext LT Pro LightCn"/>
          <w:u w:val="single"/>
        </w:rPr>
        <w:t>V x R</w:t>
      </w:r>
    </w:p>
    <w:p w14:paraId="3F518953" w14:textId="77777777" w:rsidR="00D237C9" w:rsidRDefault="001106A4">
      <w:pPr>
        <w:spacing w:before="0" w:after="0"/>
        <w:ind w:firstLine="720"/>
        <w:rPr>
          <w:rFonts w:ascii="AvenirNext LT Pro LightCn" w:hAnsi="AvenirNext LT Pro LightCn"/>
        </w:rPr>
      </w:pPr>
      <w:r>
        <w:rPr>
          <w:rFonts w:ascii="AvenirNext LT Pro LightCn" w:hAnsi="AvenirNext LT Pro LightCn"/>
        </w:rPr>
        <w:t>200</w:t>
      </w:r>
    </w:p>
    <w:p w14:paraId="360E14D6" w14:textId="77777777" w:rsidR="00D237C9" w:rsidRDefault="00D237C9">
      <w:pPr>
        <w:spacing w:before="0" w:after="0"/>
        <w:rPr>
          <w:rFonts w:ascii="AvenirNext LT Pro LightCn" w:hAnsi="AvenirNext LT Pro LightCn"/>
        </w:rPr>
      </w:pPr>
    </w:p>
    <w:p w14:paraId="55422DDB" w14:textId="77777777" w:rsidR="00D237C9" w:rsidRDefault="001106A4">
      <w:pPr>
        <w:spacing w:before="0" w:after="0"/>
        <w:rPr>
          <w:rFonts w:ascii="AvenirNext LT Pro LightCn" w:hAnsi="AvenirNext LT Pro LightCn"/>
        </w:rPr>
      </w:pPr>
      <w:r>
        <w:rPr>
          <w:rFonts w:ascii="AvenirNext LT Pro LightCn" w:hAnsi="AvenirNext LT Pro LightCn"/>
        </w:rPr>
        <w:t>Dans laquelle :</w:t>
      </w:r>
    </w:p>
    <w:p w14:paraId="66E61BC6" w14:textId="77777777" w:rsidR="00D237C9" w:rsidRDefault="00D237C9">
      <w:pPr>
        <w:spacing w:before="0" w:after="0"/>
        <w:rPr>
          <w:rFonts w:ascii="AvenirNext LT Pro LightCn" w:hAnsi="AvenirNext LT Pro LightCn"/>
        </w:rPr>
      </w:pPr>
    </w:p>
    <w:p w14:paraId="24C46661" w14:textId="77777777" w:rsidR="00D237C9" w:rsidRDefault="001106A4">
      <w:pPr>
        <w:numPr>
          <w:ilvl w:val="0"/>
          <w:numId w:val="6"/>
        </w:numPr>
        <w:spacing w:before="0" w:after="0"/>
        <w:rPr>
          <w:rFonts w:ascii="AvenirNext LT Pro LightCn" w:hAnsi="AvenirNext LT Pro LightCn"/>
        </w:rPr>
      </w:pPr>
      <w:r>
        <w:rPr>
          <w:rFonts w:ascii="AvenirNext LT Pro LightCn" w:hAnsi="AvenirNext LT Pro LightCn"/>
        </w:rPr>
        <w:t>P est le montant des pénalités</w:t>
      </w:r>
    </w:p>
    <w:p w14:paraId="1D985CD9" w14:textId="77777777" w:rsidR="00D237C9" w:rsidRDefault="001106A4">
      <w:pPr>
        <w:numPr>
          <w:ilvl w:val="0"/>
          <w:numId w:val="6"/>
        </w:numPr>
        <w:spacing w:before="0" w:after="0"/>
        <w:rPr>
          <w:rFonts w:ascii="AvenirNext LT Pro LightCn" w:hAnsi="AvenirNext LT Pro LightCn"/>
        </w:rPr>
      </w:pPr>
      <w:r>
        <w:rPr>
          <w:rFonts w:ascii="AvenirNext LT Pro LightCn" w:hAnsi="AvenirNext LT Pro LightCn"/>
        </w:rPr>
        <w:t>V est la valeur qui correspond au prix initial d’achat de l’équipement. Cette valeur baisse de 25% la première année à l’issue de la période de garantie, puis de 5% par année supplémentaire.</w:t>
      </w:r>
    </w:p>
    <w:p w14:paraId="792EC0DA" w14:textId="77777777" w:rsidR="00D237C9" w:rsidRDefault="001106A4">
      <w:pPr>
        <w:numPr>
          <w:ilvl w:val="0"/>
          <w:numId w:val="6"/>
        </w:numPr>
        <w:spacing w:before="0" w:after="0"/>
        <w:rPr>
          <w:rFonts w:ascii="AvenirNext LT Pro LightCn" w:hAnsi="AvenirNext LT Pro LightCn"/>
        </w:rPr>
      </w:pPr>
      <w:r>
        <w:rPr>
          <w:rFonts w:ascii="AvenirNext LT Pro LightCn" w:hAnsi="AvenirNext LT Pro LightCn"/>
        </w:rPr>
        <w:t>R est le nombre de jours calendaires de retard sur le délai de réparation contractuel.</w:t>
      </w:r>
    </w:p>
    <w:p w14:paraId="11A96B1A" w14:textId="77777777" w:rsidR="00D237C9" w:rsidRDefault="001106A4">
      <w:pPr>
        <w:rPr>
          <w:rFonts w:ascii="AvenirNext LT Pro LightCn" w:hAnsi="AvenirNext LT Pro LightCn"/>
        </w:rPr>
      </w:pPr>
      <w:r>
        <w:rPr>
          <w:rFonts w:ascii="AvenirNext LT Pro LightCn" w:hAnsi="AvenirNext LT Pro LightCn"/>
        </w:rPr>
        <w:t>Le point de départ du délai de mise au point ou de réparation en cas de panne commence à la date de première intervention sur site du Titulaire ou en cas d’absence d’intervention du Titulaire, à la date de la demande d’intervention d’INRAE.</w:t>
      </w:r>
    </w:p>
    <w:p w14:paraId="2B7E7A52" w14:textId="77777777" w:rsidR="00D237C9" w:rsidRDefault="001106A4">
      <w:pPr>
        <w:rPr>
          <w:rFonts w:ascii="AvenirNext LT Pro LightCn" w:hAnsi="AvenirNext LT Pro LightCn"/>
        </w:rPr>
      </w:pPr>
      <w:r>
        <w:rPr>
          <w:rFonts w:ascii="AvenirNext LT Pro LightCn" w:hAnsi="AvenirNext LT Pro LightCn"/>
        </w:rPr>
        <w:t xml:space="preserve">INRAE peut exonérer le Titulaire de ces pénalités si ce dernier invoque une cause de retard qui ne lui est pas imputable. Il notifie alors sa demande d’exonération à INRAE et en exposant les motifs de son retard. </w:t>
      </w:r>
    </w:p>
    <w:p w14:paraId="2E276645" w14:textId="77777777" w:rsidR="00D237C9" w:rsidRDefault="001106A4">
      <w:pPr>
        <w:rPr>
          <w:rFonts w:ascii="AvenirNext LT Pro LightCn" w:hAnsi="AvenirNext LT Pro LightCn"/>
        </w:rPr>
      </w:pPr>
      <w:r>
        <w:rPr>
          <w:rFonts w:ascii="AvenirNext LT Pro LightCn" w:hAnsi="AvenirNext LT Pro LightCn"/>
        </w:rPr>
        <w:t xml:space="preserve">Ce délai peut être suspendu en cas de mise à disposition gratuite pendant la durée de réparation d’un matériel de remplacement répondant au même besoin que l’instrument initial. </w:t>
      </w:r>
    </w:p>
    <w:p w14:paraId="388B2DAC" w14:textId="77777777" w:rsidR="00D237C9" w:rsidRDefault="001106A4">
      <w:pPr>
        <w:rPr>
          <w:rFonts w:ascii="AvenirNext LT Pro LightCn" w:hAnsi="AvenirNext LT Pro LightCn"/>
        </w:rPr>
      </w:pPr>
      <w:r>
        <w:rPr>
          <w:rFonts w:ascii="AvenirNext LT Pro LightCn" w:hAnsi="AvenirNext LT Pro LightCn"/>
        </w:rPr>
        <w:t xml:space="preserve">Dans tous les cas d’indisponibilité d’un instrument supérieure à 30 jours cumulés sur une période de douze mois, la garantie de cet instrument est systématiquement prolongée à titre gratuit d’une durée minimum équivalente à son délai d’indisponibilité. </w:t>
      </w:r>
    </w:p>
    <w:p w14:paraId="4E63F9B3" w14:textId="77777777" w:rsidR="00D237C9" w:rsidRDefault="001106A4">
      <w:pPr>
        <w:rPr>
          <w:rFonts w:ascii="AvenirNext LT Pro LightCn" w:hAnsi="AvenirNext LT Pro LightCn"/>
        </w:rPr>
      </w:pPr>
      <w:r>
        <w:rPr>
          <w:rFonts w:ascii="AvenirNext LT Pro LightCn" w:hAnsi="AvenirNext LT Pro LightCn"/>
        </w:rPr>
        <w:t>L’application de pénalités ne soustrait pas le Titulaire à ses obligations de remise en état de fonctionnement l’instrument tombé en panne.</w:t>
      </w:r>
    </w:p>
    <w:p w14:paraId="2AFBBD1B" w14:textId="77777777" w:rsidR="00D237C9" w:rsidRDefault="001106A4">
      <w:pPr>
        <w:pStyle w:val="Titre2"/>
        <w:numPr>
          <w:ilvl w:val="1"/>
          <w:numId w:val="19"/>
        </w:numPr>
        <w:rPr>
          <w:rFonts w:ascii="AvenirNext LT Pro LightCn" w:hAnsi="AvenirNext LT Pro LightCn"/>
        </w:rPr>
      </w:pPr>
      <w:bookmarkStart w:id="126" w:name="_Toc164174661"/>
      <w:r>
        <w:rPr>
          <w:rFonts w:ascii="AvenirNext LT Pro LightCn" w:hAnsi="AvenirNext LT Pro LightCn"/>
        </w:rPr>
        <w:t>Pénalités pour indisponibilité des pièces détachées</w:t>
      </w:r>
      <w:bookmarkEnd w:id="126"/>
    </w:p>
    <w:p w14:paraId="16927C4B" w14:textId="77777777" w:rsidR="00D237C9" w:rsidRDefault="001106A4">
      <w:pPr>
        <w:rPr>
          <w:rFonts w:ascii="AvenirNext LT Pro LightCn" w:hAnsi="AvenirNext LT Pro LightCn"/>
        </w:rPr>
      </w:pPr>
      <w:r>
        <w:rPr>
          <w:rFonts w:ascii="AvenirNext LT Pro LightCn" w:hAnsi="AvenirNext LT Pro LightCn"/>
        </w:rPr>
        <w:t xml:space="preserve">Le titulaire s’engage à remplacer les pièces détachées usagées et à fournir les consommables captifs correspondants pendant une durée minimale de 10 ans à compter de la date d’admission de l’équipement acheté en application du présent marché. </w:t>
      </w:r>
    </w:p>
    <w:p w14:paraId="0CB707AA" w14:textId="77777777" w:rsidR="00D237C9" w:rsidRDefault="001106A4">
      <w:pPr>
        <w:rPr>
          <w:rFonts w:ascii="AvenirNext LT Pro LightCn" w:hAnsi="AvenirNext LT Pro LightCn"/>
        </w:rPr>
      </w:pPr>
      <w:r>
        <w:rPr>
          <w:rFonts w:ascii="AvenirNext LT Pro LightCn" w:hAnsi="AvenirNext LT Pro LightCn"/>
          <w:color w:val="000000" w:themeColor="text1"/>
        </w:rPr>
        <w:t xml:space="preserve">Dans le cas contraire, le titulaire peut, sur décision d’INRAE, se voir appliquer une pénalité égale à 10 % du prix dudit équipement par année de non-respect de cette obligation. Le calcul de cette pénalité </w:t>
      </w:r>
      <w:r>
        <w:rPr>
          <w:rFonts w:ascii="AvenirNext LT Pro LightCn" w:hAnsi="AvenirNext LT Pro LightCn"/>
        </w:rPr>
        <w:t>s’effectue au prorata de la durée réelle pendant laquelle cette obligation n’est pas respectée.</w:t>
      </w:r>
    </w:p>
    <w:p w14:paraId="64ADC3FF" w14:textId="77777777" w:rsidR="00D237C9" w:rsidRDefault="001106A4">
      <w:pPr>
        <w:pStyle w:val="Titre2"/>
        <w:numPr>
          <w:ilvl w:val="1"/>
          <w:numId w:val="18"/>
        </w:numPr>
        <w:rPr>
          <w:rFonts w:ascii="AvenirNext LT Pro LightCn" w:hAnsi="AvenirNext LT Pro LightCn"/>
          <w:color w:val="00A3A6"/>
          <w14:textFill>
            <w14:solidFill>
              <w14:srgbClr w14:val="00A3A6">
                <w14:lumMod w14:val="75000"/>
              </w14:srgbClr>
            </w14:solidFill>
          </w14:textFill>
        </w:rPr>
      </w:pPr>
      <w:bookmarkStart w:id="127" w:name="_Toc164174662"/>
      <w:r>
        <w:rPr>
          <w:rFonts w:ascii="AvenirNext LT Pro LightCn" w:hAnsi="AvenirNext LT Pro LightCn"/>
          <w:color w:val="00A3A6"/>
          <w14:textFill>
            <w14:solidFill>
              <w14:srgbClr w14:val="00A3A6">
                <w14:lumMod w14:val="75000"/>
              </w14:srgbClr>
            </w14:solidFill>
          </w14:textFill>
        </w:rPr>
        <w:t>Pénalités pour non-respect des formalités relatives à la lutte contre le travail illégal</w:t>
      </w:r>
      <w:bookmarkEnd w:id="127"/>
    </w:p>
    <w:p w14:paraId="7944F329" w14:textId="77777777" w:rsidR="00D237C9" w:rsidRDefault="001106A4">
      <w:pPr>
        <w:rPr>
          <w:rFonts w:ascii="AvenirNext LT Pro LightCn" w:hAnsi="AvenirNext LT Pro LightCn"/>
        </w:rPr>
      </w:pPr>
      <w:r>
        <w:rPr>
          <w:rFonts w:ascii="AvenirNext LT Pro LightCn" w:hAnsi="AvenirNext LT Pro LightCn"/>
        </w:rPr>
        <w:t>A défaut de correction, dans un délai fixé par l’article L.8222-6 du code du  travail, des irrégularités constatées par INRAE ou par un agent de contrôle, le titulaire s’expose, après mise en demeure, à la résiliation du présent marché à ses frais et risques ou à l’application d’une pénalité égale à 10% du montant des bons de commande , dans la limite, selon le cas incriminé, du montant maximum des amendes pouvant être encouru en application des articles L.8224-1, L.8224 -2 et L.8224-5 du code du travail.</w:t>
      </w:r>
    </w:p>
    <w:p w14:paraId="653170D1" w14:textId="77777777" w:rsidR="00D237C9" w:rsidRDefault="001106A4">
      <w:pPr>
        <w:pStyle w:val="Titre1"/>
        <w:spacing w:before="360" w:after="240"/>
        <w:ind w:left="357" w:hanging="357"/>
        <w:rPr>
          <w:rFonts w:ascii="AvenirNext LT Pro LightCn" w:hAnsi="AvenirNext LT Pro LightCn"/>
        </w:rPr>
      </w:pPr>
      <w:bookmarkStart w:id="128" w:name="_Toc164174663"/>
      <w:r>
        <w:rPr>
          <w:rFonts w:ascii="AvenirNext LT Pro LightCn" w:hAnsi="AvenirNext LT Pro LightCn"/>
        </w:rPr>
        <w:lastRenderedPageBreak/>
        <w:t>CLAUSES ENVIRONNEMENTALES</w:t>
      </w:r>
      <w:bookmarkEnd w:id="128"/>
      <w:r>
        <w:rPr>
          <w:rFonts w:ascii="AvenirNext LT Pro LightCn" w:hAnsi="AvenirNext LT Pro LightCn"/>
        </w:rPr>
        <w:t xml:space="preserve"> </w:t>
      </w:r>
    </w:p>
    <w:p w14:paraId="34C1E4C2" w14:textId="77777777" w:rsidR="00D237C9" w:rsidRDefault="001106A4">
      <w:pPr>
        <w:rPr>
          <w:rFonts w:ascii="AvenirNext LT Pro LightCn" w:hAnsi="AvenirNext LT Pro LightCn"/>
        </w:rPr>
      </w:pPr>
      <w:r>
        <w:rPr>
          <w:rFonts w:ascii="AvenirNext LT Pro LightCn" w:hAnsi="AvenirNext LT Pro LightCn"/>
        </w:rPr>
        <w:t>Le titulaire veille à ce que les prestations qu’il effectue respectent les prescriptions législatives et réglementaires en vigueur en matière d’environnement, de sécurité et de santé des personnes ainsi que la préservation du voisinage.</w:t>
      </w:r>
    </w:p>
    <w:p w14:paraId="0D71B05C" w14:textId="77777777" w:rsidR="00D237C9" w:rsidRDefault="001106A4">
      <w:pPr>
        <w:rPr>
          <w:rFonts w:ascii="AvenirNext LT Pro LightCn" w:hAnsi="AvenirNext LT Pro LightCn"/>
        </w:rPr>
      </w:pPr>
      <w:r>
        <w:rPr>
          <w:rFonts w:ascii="AvenirNext LT Pro LightCn" w:hAnsi="AvenirNext LT Pro LightCn"/>
        </w:rPr>
        <w:t>Il doit être en mesure d’en justifier, en cours d’exécution de l’accord-cadre, sur simple demande d’INRAE.</w:t>
      </w:r>
    </w:p>
    <w:p w14:paraId="5D8770A4" w14:textId="77777777" w:rsidR="00D237C9" w:rsidRDefault="001106A4">
      <w:pPr>
        <w:rPr>
          <w:rFonts w:ascii="AvenirNext LT Pro LightCn" w:hAnsi="AvenirNext LT Pro LightCn"/>
        </w:rPr>
      </w:pPr>
      <w:r>
        <w:rPr>
          <w:rFonts w:ascii="AvenirNext LT Pro LightCn" w:hAnsi="AvenirNext LT Pro LightCn"/>
        </w:rPr>
        <w:t>En cas d’évolution de la législation sur la protection de l’environnement en cours d’exécution du présent marché, les éventuelles modifications, demandées par INRAE, afin de se conformer aux nouvelles règles, donneront lieu à la signature d’un avenant par les parties, en application de l’article 7 du CCAG-FCS.</w:t>
      </w:r>
    </w:p>
    <w:p w14:paraId="2FF93EC3" w14:textId="77777777" w:rsidR="00D237C9" w:rsidRDefault="001106A4">
      <w:pPr>
        <w:rPr>
          <w:rFonts w:ascii="AvenirNext LT Pro LightCn" w:hAnsi="AvenirNext LT Pro LightCn"/>
        </w:rPr>
      </w:pPr>
      <w:r>
        <w:rPr>
          <w:rFonts w:ascii="AvenirNext LT Pro LightCn" w:hAnsi="AvenirNext LT Pro LightCn"/>
        </w:rPr>
        <w:t>Conformément à l’article L.2112-2 du code de la commande publique, le titulaire s’engage à respecter les conditions d’exécution en vue de la protection de l’environnement.</w:t>
      </w:r>
    </w:p>
    <w:p w14:paraId="07E989FF" w14:textId="77777777" w:rsidR="00D237C9" w:rsidRDefault="001106A4">
      <w:pPr>
        <w:rPr>
          <w:rFonts w:ascii="AvenirNext LT Pro LightCn" w:hAnsi="AvenirNext LT Pro LightCn"/>
        </w:rPr>
      </w:pPr>
      <w:r>
        <w:rPr>
          <w:rFonts w:ascii="AvenirNext LT Pro LightCn" w:hAnsi="AvenirNext LT Pro LightCn"/>
        </w:rPr>
        <w:t>Le titulaire fait ses meilleurs efforts pour réduire l’impact écologique des prestations fournies au titre du présent marché, notamment :</w:t>
      </w:r>
    </w:p>
    <w:p w14:paraId="255FB63C" w14:textId="77777777" w:rsidR="00D237C9" w:rsidRDefault="001106A4">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traitant les déchets liés à la fabrication, au conditionnement et au transport des matériels pour en réduire les impacts écologiques négatifs ;</w:t>
      </w:r>
    </w:p>
    <w:p w14:paraId="63DED0EB" w14:textId="77777777" w:rsidR="00D237C9" w:rsidRDefault="001106A4">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proposant des matériels économes en énergie et/ou en fluides ;</w:t>
      </w:r>
    </w:p>
    <w:p w14:paraId="7601BF41" w14:textId="77777777" w:rsidR="00D237C9" w:rsidRDefault="001106A4">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proposant des matériels constitués de matériaux recyclables ;</w:t>
      </w:r>
    </w:p>
    <w:p w14:paraId="3C13126E" w14:textId="77777777" w:rsidR="00D237C9" w:rsidRDefault="001106A4">
      <w:pPr>
        <w:pStyle w:val="Paragraphedeliste"/>
        <w:numPr>
          <w:ilvl w:val="0"/>
          <w:numId w:val="4"/>
        </w:numPr>
        <w:spacing w:before="40" w:after="40"/>
        <w:rPr>
          <w:rFonts w:ascii="AvenirNext LT Pro LightCn" w:hAnsi="AvenirNext LT Pro LightCn"/>
        </w:rPr>
      </w:pPr>
      <w:r>
        <w:rPr>
          <w:rFonts w:ascii="AvenirNext LT Pro LightCn" w:hAnsi="AvenirNext LT Pro LightCn"/>
        </w:rPr>
        <w:t>En proposant des moyens de transports respectueux de l’environnement.</w:t>
      </w:r>
    </w:p>
    <w:p w14:paraId="42B6DC81" w14:textId="77777777" w:rsidR="00D237C9" w:rsidRDefault="00D237C9">
      <w:pPr>
        <w:widowControl w:val="0"/>
        <w:spacing w:line="200" w:lineRule="exact"/>
        <w:rPr>
          <w:rFonts w:ascii="AvenirNext LT Pro LightCn" w:hAnsi="AvenirNext LT Pro LightCn" w:cs="Arial"/>
          <w:iCs/>
          <w:color w:val="000000" w:themeColor="text1"/>
          <w:sz w:val="20"/>
          <w:szCs w:val="20"/>
        </w:rPr>
      </w:pPr>
    </w:p>
    <w:p w14:paraId="7C3612D5" w14:textId="77777777" w:rsidR="00D237C9" w:rsidRDefault="001106A4">
      <w:pPr>
        <w:pStyle w:val="Titre1"/>
        <w:widowControl w:val="0"/>
        <w:spacing w:line="200" w:lineRule="exact"/>
        <w:rPr>
          <w:rFonts w:ascii="AvenirNext LT Pro LightCn" w:hAnsi="AvenirNext LT Pro LightCn"/>
        </w:rPr>
      </w:pPr>
      <w:bookmarkStart w:id="129" w:name="_Toc164174664"/>
      <w:r>
        <w:rPr>
          <w:rFonts w:ascii="AvenirNext LT Pro LightCn" w:hAnsi="AvenirNext LT Pro LightCn"/>
        </w:rPr>
        <w:t>GARANTIE ET SAV</w:t>
      </w:r>
      <w:bookmarkEnd w:id="129"/>
      <w:r>
        <w:rPr>
          <w:rFonts w:ascii="AvenirNext LT Pro LightCn" w:hAnsi="AvenirNext LT Pro LightCn"/>
        </w:rPr>
        <w:t xml:space="preserve"> </w:t>
      </w:r>
    </w:p>
    <w:p w14:paraId="417D6AA4" w14:textId="77777777" w:rsidR="00D237C9" w:rsidRDefault="001106A4">
      <w:pPr>
        <w:pStyle w:val="Titre2"/>
        <w:rPr>
          <w:rFonts w:ascii="AvenirNext LT Pro LightCn" w:hAnsi="AvenirNext LT Pro LightCn"/>
        </w:rPr>
      </w:pPr>
      <w:bookmarkStart w:id="130" w:name="_Toc164174665"/>
      <w:r>
        <w:rPr>
          <w:rFonts w:ascii="AvenirNext LT Pro LightCn" w:hAnsi="AvenirNext LT Pro LightCn"/>
        </w:rPr>
        <w:t>– Garantie</w:t>
      </w:r>
      <w:bookmarkEnd w:id="130"/>
    </w:p>
    <w:p w14:paraId="0370F9C3" w14:textId="77777777" w:rsidR="00D237C9" w:rsidRDefault="00D237C9">
      <w:pPr>
        <w:spacing w:before="40" w:after="0"/>
        <w:rPr>
          <w:bCs/>
        </w:rPr>
      </w:pPr>
    </w:p>
    <w:p w14:paraId="202A5BB3" w14:textId="77777777" w:rsidR="00D237C9" w:rsidRDefault="001106A4">
      <w:r>
        <w:t>Les réclamations relatives à des pièces défectueuses ou à un dysfonctionnement de tout ou partie du matériel livré émanent d’INRAE.</w:t>
      </w:r>
    </w:p>
    <w:p w14:paraId="140C9BCD" w14:textId="77777777" w:rsidR="00D237C9" w:rsidRDefault="001106A4">
      <w:pPr>
        <w:spacing w:before="240"/>
      </w:pPr>
      <w:r>
        <w:t>Les fournitures bénéficient de la garantie prévue à l’article 1641 du Code civil, et de la garantie des produits défectueux prévue aux articles 1245 à 1245-17 du Code civil, ainsi que de la garantie contractuelle prévue par le présent marché.</w:t>
      </w:r>
    </w:p>
    <w:p w14:paraId="42C1BCAC" w14:textId="77777777" w:rsidR="00D237C9" w:rsidRDefault="001106A4">
      <w:pPr>
        <w:spacing w:after="0"/>
        <w:rPr>
          <w:rFonts w:ascii="AvenirNext LT Pro LightCn" w:hAnsi="AvenirNext LT Pro LightCn"/>
        </w:rPr>
      </w:pPr>
      <w:r>
        <w:rPr>
          <w:rFonts w:ascii="AvenirNext LT Pro LightCn" w:hAnsi="AvenirNext LT Pro LightCn"/>
        </w:rPr>
        <w:t>La garantie contractée pendant la période d’exécution de l’accord-cadre engage le titulaire pour sa durée.</w:t>
      </w:r>
    </w:p>
    <w:p w14:paraId="1D6FEAFA" w14:textId="77777777" w:rsidR="00D237C9" w:rsidRDefault="001106A4">
      <w:pPr>
        <w:spacing w:after="0"/>
        <w:rPr>
          <w:rFonts w:ascii="AvenirNext LT Pro LightCn" w:hAnsi="AvenirNext LT Pro LightCn"/>
        </w:rPr>
      </w:pPr>
      <w:r>
        <w:rPr>
          <w:rFonts w:ascii="AvenirNext LT Pro LightCn" w:hAnsi="AvenirNext LT Pro LightCn"/>
        </w:rPr>
        <w:t>La garantie couvre le coût des pièces défectueuses (composants optiques, mécaniques, électroniques et informatiques inclus) sans limite de montant, de main d’œuvre et les frais de déplacement sur site.</w:t>
      </w:r>
    </w:p>
    <w:p w14:paraId="69964026" w14:textId="77777777" w:rsidR="00D237C9" w:rsidRDefault="00D237C9">
      <w:pPr>
        <w:spacing w:after="0"/>
        <w:rPr>
          <w:rFonts w:ascii="AvenirNext LT Pro LightCn" w:hAnsi="AvenirNext LT Pro LightCn"/>
          <w:b/>
          <w:bCs/>
        </w:rPr>
      </w:pPr>
    </w:p>
    <w:p w14:paraId="4427EF03" w14:textId="77777777" w:rsidR="00D237C9" w:rsidRDefault="001106A4">
      <w:pPr>
        <w:spacing w:before="40" w:after="0"/>
        <w:rPr>
          <w:bCs/>
        </w:rPr>
      </w:pPr>
      <w:r>
        <w:rPr>
          <w:bCs/>
        </w:rPr>
        <w:t>L’équipement est intégralement couvert par une garantie d’une durée minimum de 12 mois.</w:t>
      </w:r>
    </w:p>
    <w:p w14:paraId="4B090D92" w14:textId="77777777" w:rsidR="00D237C9" w:rsidRDefault="001106A4">
      <w:r>
        <w:rPr>
          <w:b/>
          <w:bCs/>
        </w:rPr>
        <w:t xml:space="preserve"> </w:t>
      </w:r>
      <w:r>
        <w:t>Pour les logiciels fournis, la garantie devra comprendre obligatoirement leur mise à jour et évolution.</w:t>
      </w:r>
    </w:p>
    <w:p w14:paraId="355A7ED2" w14:textId="77777777" w:rsidR="00D237C9" w:rsidRDefault="001106A4">
      <w:pPr>
        <w:rPr>
          <w:sz w:val="20"/>
          <w:szCs w:val="20"/>
        </w:rPr>
      </w:pPr>
      <w:r>
        <w:t xml:space="preserve">Le point de départ du délai de cette garantie est </w:t>
      </w:r>
      <w:r>
        <w:rPr>
          <w:u w:val="single"/>
        </w:rPr>
        <w:t>la date d’admission de l’équipement</w:t>
      </w:r>
      <w:r>
        <w:t xml:space="preserve"> au titulaire.</w:t>
      </w:r>
    </w:p>
    <w:p w14:paraId="6BBFFD87" w14:textId="77777777" w:rsidR="00D237C9" w:rsidRDefault="001106A4">
      <w:bookmarkStart w:id="131" w:name="page6"/>
      <w:bookmarkEnd w:id="131"/>
      <w:r>
        <w:t>Au titre de cette garantie commerciale, le titulaire s’engage à intervenir dans le délai indiqué dans son offre.</w:t>
      </w:r>
    </w:p>
    <w:p w14:paraId="3F6E0992" w14:textId="77777777" w:rsidR="00D237C9" w:rsidRDefault="001106A4">
      <w:pPr>
        <w:spacing w:after="0"/>
        <w:rPr>
          <w:rFonts w:ascii="AvenirNext LT Pro LightCn" w:hAnsi="AvenirNext LT Pro LightCn"/>
        </w:rPr>
      </w:pPr>
      <w:r>
        <w:rPr>
          <w:rFonts w:ascii="AvenirNext LT Pro LightCn" w:hAnsi="AvenirNext LT Pro LightCn"/>
        </w:rPr>
        <w:t>Dans le cas de l’indisponibilité d’un équipement, supérieure à 30 jours cumulés sur une période de douze mois, la garantie de l’équipement est systématiquement prolongée à titre gratuit d’une durée minimum équivalente à son délai d’indisponibilité.</w:t>
      </w:r>
    </w:p>
    <w:p w14:paraId="7B7204AC" w14:textId="77777777" w:rsidR="00D237C9" w:rsidRDefault="00D237C9">
      <w:pPr>
        <w:spacing w:after="0"/>
        <w:rPr>
          <w:rFonts w:ascii="AvenirNext LT Pro LightCn" w:hAnsi="AvenirNext LT Pro LightCn"/>
        </w:rPr>
      </w:pPr>
    </w:p>
    <w:p w14:paraId="602A2422" w14:textId="77777777" w:rsidR="00D237C9" w:rsidRDefault="001106A4">
      <w:pPr>
        <w:pStyle w:val="Titre2"/>
        <w:rPr>
          <w:rFonts w:ascii="AvenirNext LT Pro LightCn" w:hAnsi="AvenirNext LT Pro LightCn"/>
        </w:rPr>
      </w:pPr>
      <w:bookmarkStart w:id="132" w:name="_Toc164174666"/>
      <w:r>
        <w:rPr>
          <w:rFonts w:ascii="AvenirNext LT Pro LightCn" w:hAnsi="AvenirNext LT Pro LightCn"/>
        </w:rPr>
        <w:lastRenderedPageBreak/>
        <w:t>Support technique</w:t>
      </w:r>
      <w:bookmarkEnd w:id="132"/>
    </w:p>
    <w:p w14:paraId="4BB90AB0" w14:textId="69CA21A5" w:rsidR="00D237C9" w:rsidRDefault="001106A4">
      <w:pPr>
        <w:rPr>
          <w:rFonts w:ascii="AvenirNext LT Pro LightCn" w:hAnsi="AvenirNext LT Pro LightCn"/>
          <w:bCs/>
        </w:rPr>
      </w:pPr>
      <w:r>
        <w:rPr>
          <w:rFonts w:ascii="AvenirNext LT Pro LightCn" w:hAnsi="AvenirNext LT Pro LightCn"/>
          <w:bCs/>
        </w:rPr>
        <w:t>La garantie</w:t>
      </w:r>
      <w:r w:rsidR="00160504">
        <w:rPr>
          <w:rFonts w:ascii="AvenirNext LT Pro LightCn" w:hAnsi="AvenirNext LT Pro LightCn"/>
          <w:bCs/>
        </w:rPr>
        <w:t xml:space="preserve"> </w:t>
      </w:r>
      <w:r>
        <w:rPr>
          <w:rFonts w:ascii="AvenirNext LT Pro LightCn" w:hAnsi="AvenirNext LT Pro LightCn"/>
          <w:bCs/>
        </w:rPr>
        <w:t>inclut un support technique (y compris sur les logiciels) gratuit et illimité pendant les jours ouvrés durant toute la période de garantie de l’équipement.</w:t>
      </w:r>
    </w:p>
    <w:p w14:paraId="14DBCFB7" w14:textId="77777777" w:rsidR="00D237C9" w:rsidRDefault="001106A4">
      <w:pPr>
        <w:rPr>
          <w:rFonts w:ascii="AvenirNext LT Pro LightCn" w:hAnsi="AvenirNext LT Pro LightCn"/>
          <w:bCs/>
        </w:rPr>
      </w:pPr>
      <w:r>
        <w:rPr>
          <w:rFonts w:ascii="AvenirNext LT Pro LightCn" w:hAnsi="AvenirNext LT Pro LightCn"/>
          <w:bCs/>
        </w:rPr>
        <w:t xml:space="preserve">Le support téléphonique est accessible par téléphone (appel non surtaxé) et par courriel. </w:t>
      </w:r>
    </w:p>
    <w:p w14:paraId="4FBC67C9" w14:textId="77777777" w:rsidR="00D237C9" w:rsidRDefault="001106A4">
      <w:pPr>
        <w:rPr>
          <w:rFonts w:ascii="AvenirNext LT Pro LightCn" w:hAnsi="AvenirNext LT Pro LightCn"/>
          <w:bCs/>
        </w:rPr>
      </w:pPr>
      <w:r>
        <w:rPr>
          <w:rFonts w:ascii="AvenirNext LT Pro LightCn" w:hAnsi="AvenirNext LT Pro LightCn"/>
          <w:bCs/>
        </w:rPr>
        <w:t>Le titulaire s’engage sur un délai de réponse inférieur à :</w:t>
      </w:r>
    </w:p>
    <w:p w14:paraId="09E66EBA" w14:textId="77777777" w:rsidR="00D237C9" w:rsidRDefault="001106A4">
      <w:pPr>
        <w:pStyle w:val="Paragraphedeliste"/>
        <w:numPr>
          <w:ilvl w:val="0"/>
          <w:numId w:val="15"/>
        </w:numPr>
        <w:spacing w:before="0" w:after="0"/>
        <w:ind w:left="714" w:hanging="357"/>
        <w:rPr>
          <w:rFonts w:ascii="AvenirNext LT Pro LightCn" w:hAnsi="AvenirNext LT Pro LightCn"/>
          <w:bCs/>
        </w:rPr>
      </w:pPr>
      <w:r>
        <w:rPr>
          <w:rFonts w:ascii="AvenirNext LT Pro LightCn" w:hAnsi="AvenirNext LT Pro LightCn"/>
          <w:bCs/>
        </w:rPr>
        <w:t>24H ouvrées en cas de panne</w:t>
      </w:r>
    </w:p>
    <w:p w14:paraId="68328DD7" w14:textId="77777777" w:rsidR="00D237C9" w:rsidRDefault="001106A4">
      <w:pPr>
        <w:pStyle w:val="Paragraphedeliste"/>
        <w:numPr>
          <w:ilvl w:val="0"/>
          <w:numId w:val="15"/>
        </w:numPr>
        <w:spacing w:before="60" w:after="0"/>
        <w:ind w:left="714" w:hanging="357"/>
        <w:rPr>
          <w:rFonts w:ascii="AvenirNext LT Pro LightCn" w:hAnsi="AvenirNext LT Pro LightCn"/>
          <w:bCs/>
        </w:rPr>
      </w:pPr>
      <w:r>
        <w:rPr>
          <w:rFonts w:ascii="AvenirNext LT Pro LightCn" w:hAnsi="AvenirNext LT Pro LightCn"/>
          <w:bCs/>
        </w:rPr>
        <w:t>72h ouvrées hors cas de panne.</w:t>
      </w:r>
    </w:p>
    <w:p w14:paraId="76785AC0" w14:textId="77777777" w:rsidR="00D237C9" w:rsidRDefault="001106A4">
      <w:pPr>
        <w:keepNext/>
        <w:spacing w:before="240" w:after="240"/>
        <w:ind w:firstLine="1559"/>
        <w:outlineLvl w:val="1"/>
        <w:rPr>
          <w:rFonts w:ascii="AvenirNext LT Pro LightCn" w:hAnsi="AvenirNext LT Pro LightCn" w:cs="Arial"/>
          <w:i/>
          <w:iCs/>
          <w:color w:val="00A6A3"/>
        </w:rPr>
      </w:pPr>
      <w:bookmarkStart w:id="133" w:name="_Toc164174667"/>
      <w:r>
        <w:rPr>
          <w:rFonts w:ascii="AvenirNext LT Pro LightCn" w:hAnsi="AvenirNext LT Pro LightCn" w:cs="Arial"/>
          <w:i/>
          <w:iCs/>
          <w:color w:val="00A6A3"/>
        </w:rPr>
        <w:t>11.2.1 - Logiciels de pilotage et de traitement des données</w:t>
      </w:r>
      <w:bookmarkEnd w:id="133"/>
    </w:p>
    <w:p w14:paraId="023E7C4D" w14:textId="77777777" w:rsidR="00D237C9" w:rsidRDefault="001106A4">
      <w:pPr>
        <w:rPr>
          <w:rFonts w:ascii="AvenirNext LT Pro LightCn" w:hAnsi="AvenirNext LT Pro LightCn"/>
        </w:rPr>
      </w:pPr>
      <w:r>
        <w:rPr>
          <w:rFonts w:ascii="AvenirNext LT Pro LightCn" w:hAnsi="AvenirNext LT Pro LightCn"/>
        </w:rPr>
        <w:t xml:space="preserve">La garantie inclut au minimum : </w:t>
      </w:r>
    </w:p>
    <w:p w14:paraId="323355E3" w14:textId="77777777" w:rsidR="00D237C9" w:rsidRDefault="001106A4">
      <w:pPr>
        <w:pStyle w:val="Paragraphedeliste"/>
        <w:numPr>
          <w:ilvl w:val="0"/>
          <w:numId w:val="8"/>
        </w:numPr>
        <w:spacing w:before="0" w:after="0"/>
        <w:ind w:left="714" w:hanging="357"/>
        <w:rPr>
          <w:rFonts w:ascii="AvenirNext LT Pro LightCn" w:hAnsi="AvenirNext LT Pro LightCn"/>
        </w:rPr>
      </w:pPr>
      <w:r>
        <w:rPr>
          <w:rFonts w:ascii="AvenirNext LT Pro LightCn" w:hAnsi="AvenirNext LT Pro LightCn"/>
        </w:rPr>
        <w:t xml:space="preserve">les mises à jour et changements de version des logiciels de pilotage, </w:t>
      </w:r>
    </w:p>
    <w:p w14:paraId="7672BCFB" w14:textId="77777777" w:rsidR="00D237C9" w:rsidRDefault="001106A4">
      <w:pPr>
        <w:pStyle w:val="Paragraphedeliste"/>
        <w:numPr>
          <w:ilvl w:val="0"/>
          <w:numId w:val="8"/>
        </w:numPr>
        <w:spacing w:before="0" w:after="0"/>
        <w:ind w:left="714" w:hanging="357"/>
        <w:rPr>
          <w:rFonts w:ascii="AvenirNext LT Pro LightCn" w:hAnsi="AvenirNext LT Pro LightCn"/>
        </w:rPr>
      </w:pPr>
      <w:r>
        <w:rPr>
          <w:rFonts w:ascii="AvenirNext LT Pro LightCn" w:hAnsi="AvenirNext LT Pro LightCn"/>
        </w:rPr>
        <w:t>les mises à jour des logiciels de traitement des données gratuites pendant une durée de 24 mois minimum.</w:t>
      </w:r>
    </w:p>
    <w:p w14:paraId="2AC8E006" w14:textId="77777777" w:rsidR="00D237C9" w:rsidRDefault="001106A4">
      <w:pPr>
        <w:spacing w:before="40" w:after="0"/>
        <w:rPr>
          <w:rFonts w:ascii="AvenirNext LT Pro LightCn" w:hAnsi="AvenirNext LT Pro LightCn"/>
        </w:rPr>
      </w:pPr>
      <w:r>
        <w:rPr>
          <w:rFonts w:ascii="AvenirNext LT Pro LightCn" w:hAnsi="AvenirNext LT Pro LightCn"/>
        </w:rPr>
        <w:t>La mise à jour s’entend comme une évolution dans une même version du logiciel (passage d’une version 3.0 à 3.1 par exemple).</w:t>
      </w:r>
    </w:p>
    <w:p w14:paraId="7746FCF3" w14:textId="77777777" w:rsidR="00D237C9" w:rsidRDefault="001106A4">
      <w:pPr>
        <w:spacing w:before="40" w:after="0"/>
        <w:rPr>
          <w:rFonts w:ascii="AvenirNext LT Pro LightCn" w:hAnsi="AvenirNext LT Pro LightCn"/>
        </w:rPr>
      </w:pPr>
      <w:r>
        <w:rPr>
          <w:rFonts w:ascii="AvenirNext LT Pro LightCn" w:hAnsi="AvenirNext LT Pro LightCn"/>
        </w:rPr>
        <w:t>Le changement de version s’entend comme le passage d’une version 3.1 à 4.0 par exemple.</w:t>
      </w:r>
    </w:p>
    <w:p w14:paraId="7962EE02" w14:textId="77777777" w:rsidR="00D237C9" w:rsidRDefault="001106A4">
      <w:pPr>
        <w:spacing w:before="40" w:after="0"/>
        <w:rPr>
          <w:rFonts w:ascii="AvenirNext LT Pro LightCn" w:hAnsi="AvenirNext LT Pro LightCn"/>
        </w:rPr>
      </w:pPr>
      <w:r>
        <w:rPr>
          <w:rFonts w:ascii="AvenirNext LT Pro LightCn" w:hAnsi="AvenirNext LT Pro LightCn"/>
        </w:rPr>
        <w:t xml:space="preserve">La compatibilité entre les logiciels de pilotage et de traitement des données doit être assurée. </w:t>
      </w:r>
    </w:p>
    <w:p w14:paraId="6351CD1E" w14:textId="77777777" w:rsidR="00D237C9" w:rsidRDefault="001106A4">
      <w:pPr>
        <w:spacing w:before="40" w:after="0"/>
        <w:rPr>
          <w:rFonts w:ascii="AvenirNext LT Pro LightCn" w:hAnsi="AvenirNext LT Pro LightCn"/>
        </w:rPr>
      </w:pPr>
      <w:r>
        <w:rPr>
          <w:rFonts w:ascii="AvenirNext LT Pro LightCn" w:hAnsi="AvenirNext LT Pro LightCn"/>
        </w:rPr>
        <w:t>Le titulaire doit permettre l’enregistrement des données récoltées sous un format d’échange de données.</w:t>
      </w:r>
    </w:p>
    <w:p w14:paraId="5436E49E" w14:textId="77777777" w:rsidR="00D237C9" w:rsidRDefault="001106A4">
      <w:pPr>
        <w:spacing w:before="40" w:after="0"/>
        <w:rPr>
          <w:rFonts w:ascii="AvenirNext LT Pro LightCn" w:hAnsi="AvenirNext LT Pro LightCn"/>
        </w:rPr>
      </w:pPr>
      <w:r>
        <w:rPr>
          <w:rFonts w:ascii="AvenirNext LT Pro LightCn" w:hAnsi="AvenirNext LT Pro LightCn"/>
        </w:rPr>
        <w:t>Les autres engagements du titulaire concernant les logiciels figurent dans son offre.</w:t>
      </w:r>
    </w:p>
    <w:p w14:paraId="58ED70BE" w14:textId="77777777" w:rsidR="00D237C9" w:rsidRDefault="00D237C9">
      <w:pPr>
        <w:spacing w:before="40" w:after="0"/>
        <w:rPr>
          <w:rFonts w:ascii="AvenirNext LT Pro LightCn" w:hAnsi="AvenirNext LT Pro LightCn"/>
        </w:rPr>
      </w:pPr>
    </w:p>
    <w:p w14:paraId="280AFFB8" w14:textId="77777777" w:rsidR="00D237C9" w:rsidRDefault="00D237C9">
      <w:pPr>
        <w:spacing w:before="40" w:after="0"/>
        <w:rPr>
          <w:rFonts w:ascii="AvenirNext LT Pro LightCn" w:hAnsi="AvenirNext LT Pro LightCn"/>
        </w:rPr>
      </w:pPr>
    </w:p>
    <w:p w14:paraId="4900EF63" w14:textId="77777777" w:rsidR="00D237C9" w:rsidRDefault="001106A4">
      <w:pPr>
        <w:keepNext/>
        <w:spacing w:before="240" w:after="240"/>
        <w:ind w:firstLine="1559"/>
        <w:outlineLvl w:val="1"/>
        <w:rPr>
          <w:rFonts w:ascii="AvenirNext LT Pro LightCn" w:hAnsi="AvenirNext LT Pro LightCn" w:cs="Arial"/>
          <w:i/>
          <w:iCs/>
          <w:color w:val="00A6A3"/>
        </w:rPr>
      </w:pPr>
      <w:bookmarkStart w:id="134" w:name="_Toc164174668"/>
      <w:r>
        <w:rPr>
          <w:rFonts w:ascii="AvenirNext LT Pro LightCn" w:hAnsi="AvenirNext LT Pro LightCn" w:cs="Arial"/>
          <w:i/>
          <w:iCs/>
          <w:color w:val="00A6A3"/>
        </w:rPr>
        <w:t>11.2.2 - Délais d’intervention en cas de panne</w:t>
      </w:r>
      <w:bookmarkEnd w:id="134"/>
    </w:p>
    <w:p w14:paraId="43EC95FC" w14:textId="77777777" w:rsidR="00D237C9" w:rsidRDefault="001106A4">
      <w:pPr>
        <w:rPr>
          <w:rFonts w:ascii="AvenirNext LT Pro LightCn" w:hAnsi="AvenirNext LT Pro LightCn"/>
          <w:bCs/>
        </w:rPr>
      </w:pPr>
      <w:r>
        <w:rPr>
          <w:rFonts w:ascii="AvenirNext LT Pro LightCn" w:hAnsi="AvenirNext LT Pro LightCn"/>
          <w:bCs/>
        </w:rPr>
        <w:t>Pendant toute la période de garantie, le titulaire a une obligation de résultat concernant le respect des délais d’intervention sur site en cas de panne du ou des équipements achetés en application du présent marché.</w:t>
      </w:r>
    </w:p>
    <w:p w14:paraId="6642C966" w14:textId="77777777" w:rsidR="00D237C9" w:rsidRDefault="001106A4">
      <w:pPr>
        <w:rPr>
          <w:rFonts w:ascii="AvenirNext LT Pro LightCn" w:hAnsi="AvenirNext LT Pro LightCn"/>
          <w:bCs/>
        </w:rPr>
      </w:pPr>
      <w:r>
        <w:rPr>
          <w:rFonts w:ascii="AvenirNext LT Pro LightCn" w:hAnsi="AvenirNext LT Pro LightCn"/>
        </w:rPr>
        <w:t>Ce délai s’entend en jours calendaires à compter de la demande d’intervention. Il prend en compte la localisation du site d’implantation de l’instrument objet du présent marché. Ce délai est obligatoirement inférieur ou égal à 4 jours calendaires</w:t>
      </w:r>
    </w:p>
    <w:p w14:paraId="2B353AA1" w14:textId="77777777" w:rsidR="00D237C9" w:rsidRDefault="001106A4">
      <w:pPr>
        <w:spacing w:before="0" w:after="0"/>
        <w:rPr>
          <w:rFonts w:ascii="AvenirNext LT Pro LightCn" w:hAnsi="AvenirNext LT Pro LightCn"/>
          <w:bCs/>
        </w:rPr>
      </w:pPr>
      <w:r>
        <w:rPr>
          <w:rFonts w:ascii="AvenirNext LT Pro LightCn" w:hAnsi="AvenirNext LT Pro LightCn"/>
          <w:bCs/>
        </w:rPr>
        <w:t>La demande d’intervention par le représentant d’INRAE peut être effectuée par téléphone, confirmée par voie électronique.</w:t>
      </w:r>
    </w:p>
    <w:p w14:paraId="3416ED88" w14:textId="77777777" w:rsidR="00D237C9" w:rsidRDefault="001106A4">
      <w:pPr>
        <w:pStyle w:val="Paragraphedeliste"/>
        <w:numPr>
          <w:ilvl w:val="0"/>
          <w:numId w:val="9"/>
        </w:numPr>
        <w:spacing w:before="0" w:after="0"/>
        <w:rPr>
          <w:rFonts w:ascii="AvenirNext LT Pro LightCn" w:hAnsi="AvenirNext LT Pro LightCn"/>
          <w:bCs/>
        </w:rPr>
      </w:pPr>
      <w:r>
        <w:rPr>
          <w:rFonts w:ascii="AvenirNext LT Pro LightCn" w:hAnsi="AvenirNext LT Pro LightCn"/>
          <w:bCs/>
        </w:rPr>
        <w:t>L’enregistrement de la demande d’intervention doit faire l’objet d’une confirmation écrite (courriel) par le titulaire.</w:t>
      </w:r>
    </w:p>
    <w:p w14:paraId="6EA35956" w14:textId="77777777" w:rsidR="00D237C9" w:rsidRDefault="001106A4">
      <w:pPr>
        <w:pStyle w:val="Paragraphedeliste"/>
        <w:numPr>
          <w:ilvl w:val="0"/>
          <w:numId w:val="9"/>
        </w:numPr>
        <w:spacing w:before="0" w:after="0"/>
        <w:rPr>
          <w:rFonts w:ascii="AvenirNext LT Pro LightCn" w:hAnsi="AvenirNext LT Pro LightCn"/>
          <w:bCs/>
        </w:rPr>
      </w:pPr>
      <w:r>
        <w:rPr>
          <w:rFonts w:ascii="AvenirNext LT Pro LightCn" w:hAnsi="AvenirNext LT Pro LightCn"/>
          <w:bCs/>
        </w:rPr>
        <w:t>Le délai d’intervention commence dès l’enregistrement de la demande d’intervention du représentant d’INRAE par le titulaire.</w:t>
      </w:r>
    </w:p>
    <w:p w14:paraId="0BA73DC5" w14:textId="77777777" w:rsidR="00D237C9" w:rsidRDefault="001106A4">
      <w:pPr>
        <w:rPr>
          <w:rFonts w:ascii="AvenirNext LT Pro LightCn" w:hAnsi="AvenirNext LT Pro LightCn"/>
          <w:bCs/>
        </w:rPr>
      </w:pPr>
      <w:r>
        <w:rPr>
          <w:rFonts w:ascii="AvenirNext LT Pro LightCn" w:hAnsi="AvenirNext LT Pro LightCn"/>
          <w:bCs/>
        </w:rPr>
        <w:t>Dans le cas du non-respect de ce délai, le titulaire encourt une pénalité telle que décrite à l’article 9.2 du présent AECCP.</w:t>
      </w:r>
    </w:p>
    <w:p w14:paraId="29F9560E" w14:textId="77777777" w:rsidR="00D237C9" w:rsidRDefault="001106A4">
      <w:pPr>
        <w:keepNext/>
        <w:spacing w:before="240" w:after="240"/>
        <w:ind w:firstLine="1559"/>
        <w:outlineLvl w:val="1"/>
        <w:rPr>
          <w:rFonts w:ascii="AvenirNext LT Pro LightCn" w:hAnsi="AvenirNext LT Pro LightCn" w:cs="Arial"/>
          <w:i/>
          <w:iCs/>
          <w:color w:val="00A6A3"/>
        </w:rPr>
      </w:pPr>
      <w:bookmarkStart w:id="135" w:name="_Toc164174669"/>
      <w:r>
        <w:rPr>
          <w:rFonts w:ascii="AvenirNext LT Pro LightCn" w:hAnsi="AvenirNext LT Pro LightCn" w:cs="Arial"/>
          <w:i/>
          <w:iCs/>
          <w:color w:val="00A6A3"/>
        </w:rPr>
        <w:t>11.2.3 - Délais de mise au point ou de réparation en cas de panne</w:t>
      </w:r>
      <w:bookmarkEnd w:id="135"/>
    </w:p>
    <w:p w14:paraId="5D67265C" w14:textId="77777777" w:rsidR="00D237C9" w:rsidRDefault="001106A4">
      <w:pPr>
        <w:rPr>
          <w:rFonts w:ascii="AvenirNext LT Pro LightCn" w:hAnsi="AvenirNext LT Pro LightCn"/>
        </w:rPr>
      </w:pPr>
      <w:r>
        <w:rPr>
          <w:rFonts w:ascii="AvenirNext LT Pro LightCn" w:hAnsi="AvenirNext LT Pro LightCn"/>
        </w:rPr>
        <w:t>Pendant toute la période de garantie, le titulaire a une obligation de résultat et de délai concernant la remise en état de fonctionnement opérationnel de l’équipement en conformité avec les performances techniques et fonctionnelles prévues dans le marché.</w:t>
      </w:r>
    </w:p>
    <w:p w14:paraId="59377801" w14:textId="77777777" w:rsidR="00D237C9" w:rsidRDefault="001106A4">
      <w:pPr>
        <w:rPr>
          <w:rFonts w:ascii="AvenirNext LT Pro LightCn" w:hAnsi="AvenirNext LT Pro LightCn"/>
        </w:rPr>
      </w:pPr>
      <w:r>
        <w:rPr>
          <w:rFonts w:ascii="AvenirNext LT Pro LightCn" w:hAnsi="AvenirNext LT Pro LightCn"/>
        </w:rPr>
        <w:t xml:space="preserve">Conformément aux stipulations de l’article 33.3 du CCAG-FCS, le délai dont dispose le titulaire pour effectuer une mise au point ou une réparation qui lui est demandée est celui qui est fixé par décision d’INRAE, après consultation du titulaire. </w:t>
      </w:r>
    </w:p>
    <w:p w14:paraId="40039D5F" w14:textId="77777777" w:rsidR="00D237C9" w:rsidRDefault="001106A4">
      <w:pPr>
        <w:rPr>
          <w:rFonts w:ascii="AvenirNext LT Pro LightCn" w:hAnsi="AvenirNext LT Pro LightCn"/>
        </w:rPr>
      </w:pPr>
      <w:r>
        <w:rPr>
          <w:rFonts w:ascii="AvenirNext LT Pro LightCn" w:hAnsi="AvenirNext LT Pro LightCn"/>
        </w:rPr>
        <w:t>Sauf décision écrite expresse d’INRAE, ce délai est inférieur au délai figurant dans le tableau ci-dessous.</w:t>
      </w:r>
    </w:p>
    <w:p w14:paraId="65B92BA3" w14:textId="77777777" w:rsidR="00D237C9" w:rsidRDefault="001106A4">
      <w:pPr>
        <w:rPr>
          <w:rFonts w:ascii="AvenirNext LT Pro LightCn" w:hAnsi="AvenirNext LT Pro LightCn"/>
        </w:rPr>
      </w:pPr>
      <w:r>
        <w:rPr>
          <w:rFonts w:ascii="AvenirNext LT Pro LightCn" w:hAnsi="AvenirNext LT Pro LightCn"/>
        </w:rPr>
        <w:lastRenderedPageBreak/>
        <w:t>Le point de départ de ce délai de mise au point ou de réparation en cas de panne commence à la date de première intervention sur site du titulaire ou en cas d’absence d’intervention du titulaire, à la date de la demande d’intervention du représentant du pouvoir adjudicateur.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42"/>
        <w:gridCol w:w="3701"/>
      </w:tblGrid>
      <w:tr w:rsidR="00D237C9" w14:paraId="1F5A899D" w14:textId="77777777">
        <w:tc>
          <w:tcPr>
            <w:tcW w:w="4442" w:type="dxa"/>
          </w:tcPr>
          <w:p w14:paraId="0BCBFC29" w14:textId="77777777" w:rsidR="00D237C9" w:rsidRDefault="001106A4">
            <w:pPr>
              <w:rPr>
                <w:rFonts w:ascii="AvenirNext LT Pro LightCn" w:hAnsi="AvenirNext LT Pro LightCn" w:cs="Arial"/>
                <w:b/>
              </w:rPr>
            </w:pPr>
            <w:r>
              <w:rPr>
                <w:rFonts w:ascii="AvenirNext LT Pro LightCn" w:hAnsi="AvenirNext LT Pro LightCn" w:cs="Arial"/>
                <w:b/>
              </w:rPr>
              <w:t>Catégorie d’équipement / type pannes</w:t>
            </w:r>
          </w:p>
        </w:tc>
        <w:tc>
          <w:tcPr>
            <w:tcW w:w="3701" w:type="dxa"/>
          </w:tcPr>
          <w:p w14:paraId="2B95729C" w14:textId="77777777" w:rsidR="00D237C9" w:rsidRDefault="001106A4">
            <w:pPr>
              <w:rPr>
                <w:rFonts w:ascii="AvenirNext LT Pro LightCn" w:hAnsi="AvenirNext LT Pro LightCn" w:cs="Arial"/>
                <w:b/>
              </w:rPr>
            </w:pPr>
            <w:r>
              <w:rPr>
                <w:rFonts w:ascii="AvenirNext LT Pro LightCn" w:hAnsi="AvenirNext LT Pro LightCn" w:cs="Arial"/>
                <w:b/>
              </w:rPr>
              <w:t>Délai maximum pour effectuer une mise au point ou une réparation (en jours calendaires)</w:t>
            </w:r>
          </w:p>
        </w:tc>
      </w:tr>
      <w:tr w:rsidR="00D237C9" w14:paraId="5F6D5184" w14:textId="77777777">
        <w:tc>
          <w:tcPr>
            <w:tcW w:w="4442" w:type="dxa"/>
          </w:tcPr>
          <w:p w14:paraId="6F5E15B0" w14:textId="77777777" w:rsidR="00D237C9" w:rsidRDefault="001106A4">
            <w:pPr>
              <w:rPr>
                <w:rFonts w:ascii="AvenirNext LT Pro LightCn" w:hAnsi="AvenirNext LT Pro LightCn" w:cs="Arial"/>
                <w:color w:val="000000" w:themeColor="text1"/>
              </w:rPr>
            </w:pPr>
            <w:r>
              <w:rPr>
                <w:rFonts w:ascii="AvenirNext LT Pro LightCn" w:hAnsi="AvenirNext LT Pro LightCn" w:cs="Arial"/>
                <w:color w:val="000000" w:themeColor="text1"/>
              </w:rPr>
              <w:t>Equipement acquis</w:t>
            </w:r>
          </w:p>
        </w:tc>
        <w:tc>
          <w:tcPr>
            <w:tcW w:w="3701" w:type="dxa"/>
          </w:tcPr>
          <w:p w14:paraId="0772EFFC" w14:textId="77777777" w:rsidR="00D237C9" w:rsidRDefault="001106A4">
            <w:pPr>
              <w:jc w:val="center"/>
              <w:rPr>
                <w:rFonts w:ascii="AvenirNext LT Pro LightCn" w:hAnsi="AvenirNext LT Pro LightCn" w:cs="Arial"/>
                <w:color w:val="000000" w:themeColor="text1"/>
              </w:rPr>
            </w:pPr>
            <w:r>
              <w:rPr>
                <w:rFonts w:ascii="AvenirNext LT Pro LightCn" w:hAnsi="AvenirNext LT Pro LightCn" w:cs="Arial"/>
                <w:color w:val="000000" w:themeColor="text1"/>
              </w:rPr>
              <w:t>10 / 20 jours</w:t>
            </w:r>
          </w:p>
        </w:tc>
      </w:tr>
      <w:tr w:rsidR="00D237C9" w14:paraId="29E5B212" w14:textId="77777777">
        <w:tc>
          <w:tcPr>
            <w:tcW w:w="4442" w:type="dxa"/>
          </w:tcPr>
          <w:p w14:paraId="7FDD0CEA" w14:textId="77777777" w:rsidR="00D237C9" w:rsidRDefault="001106A4">
            <w:pPr>
              <w:rPr>
                <w:rFonts w:ascii="AvenirNext LT Pro LightCn" w:hAnsi="AvenirNext LT Pro LightCn" w:cs="Arial"/>
                <w:color w:val="000000" w:themeColor="text1"/>
              </w:rPr>
            </w:pPr>
            <w:r>
              <w:rPr>
                <w:rFonts w:ascii="AvenirNext LT Pro LightCn" w:hAnsi="AvenirNext LT Pro LightCn" w:cs="Arial"/>
                <w:color w:val="000000" w:themeColor="text1"/>
              </w:rPr>
              <w:t>Console électronique / informatique</w:t>
            </w:r>
          </w:p>
        </w:tc>
        <w:tc>
          <w:tcPr>
            <w:tcW w:w="3701" w:type="dxa"/>
          </w:tcPr>
          <w:p w14:paraId="5E4576A6" w14:textId="77777777" w:rsidR="00D237C9" w:rsidRDefault="001106A4">
            <w:pPr>
              <w:jc w:val="center"/>
              <w:rPr>
                <w:rFonts w:ascii="AvenirNext LT Pro LightCn" w:hAnsi="AvenirNext LT Pro LightCn" w:cs="Arial"/>
                <w:color w:val="000000" w:themeColor="text1"/>
              </w:rPr>
            </w:pPr>
            <w:r>
              <w:rPr>
                <w:rFonts w:ascii="AvenirNext LT Pro LightCn" w:hAnsi="AvenirNext LT Pro LightCn" w:cs="Arial"/>
                <w:color w:val="000000" w:themeColor="text1"/>
              </w:rPr>
              <w:t>10</w:t>
            </w:r>
          </w:p>
        </w:tc>
      </w:tr>
      <w:tr w:rsidR="00D237C9" w14:paraId="1E29828F" w14:textId="77777777">
        <w:tc>
          <w:tcPr>
            <w:tcW w:w="4442" w:type="dxa"/>
          </w:tcPr>
          <w:p w14:paraId="6BED285D" w14:textId="77777777" w:rsidR="00D237C9" w:rsidRDefault="001106A4">
            <w:pPr>
              <w:rPr>
                <w:rFonts w:ascii="AvenirNext LT Pro LightCn" w:hAnsi="AvenirNext LT Pro LightCn" w:cs="Arial"/>
                <w:color w:val="000000" w:themeColor="text1"/>
              </w:rPr>
            </w:pPr>
            <w:r>
              <w:rPr>
                <w:rFonts w:ascii="AvenirNext LT Pro LightCn" w:hAnsi="AvenirNext LT Pro LightCn" w:cs="Arial"/>
                <w:color w:val="000000" w:themeColor="text1"/>
              </w:rPr>
              <w:t xml:space="preserve">Sondes solides </w:t>
            </w:r>
          </w:p>
        </w:tc>
        <w:tc>
          <w:tcPr>
            <w:tcW w:w="3701" w:type="dxa"/>
          </w:tcPr>
          <w:p w14:paraId="04327119" w14:textId="77777777" w:rsidR="00D237C9" w:rsidRDefault="001106A4">
            <w:pPr>
              <w:jc w:val="center"/>
              <w:rPr>
                <w:rFonts w:ascii="AvenirNext LT Pro LightCn" w:hAnsi="AvenirNext LT Pro LightCn" w:cs="Arial"/>
                <w:color w:val="000000" w:themeColor="text1"/>
              </w:rPr>
            </w:pPr>
            <w:r>
              <w:rPr>
                <w:rFonts w:ascii="AvenirNext LT Pro LightCn" w:hAnsi="AvenirNext LT Pro LightCn" w:cs="Arial"/>
                <w:color w:val="000000" w:themeColor="text1"/>
              </w:rPr>
              <w:t>15</w:t>
            </w:r>
          </w:p>
        </w:tc>
      </w:tr>
      <w:tr w:rsidR="00D237C9" w14:paraId="336DF981" w14:textId="77777777">
        <w:tc>
          <w:tcPr>
            <w:tcW w:w="4442" w:type="dxa"/>
          </w:tcPr>
          <w:p w14:paraId="39825D73" w14:textId="77777777" w:rsidR="00D237C9" w:rsidRDefault="001106A4">
            <w:pPr>
              <w:rPr>
                <w:rFonts w:ascii="AvenirNext LT Pro LightCn" w:hAnsi="AvenirNext LT Pro LightCn" w:cs="Arial"/>
                <w:color w:val="000000" w:themeColor="text1"/>
              </w:rPr>
            </w:pPr>
            <w:r>
              <w:rPr>
                <w:rFonts w:ascii="AvenirNext LT Pro LightCn" w:hAnsi="AvenirNext LT Pro LightCn" w:cs="Arial"/>
                <w:color w:val="000000" w:themeColor="text1"/>
              </w:rPr>
              <w:t>Sondes liquides et autres accessoires</w:t>
            </w:r>
          </w:p>
        </w:tc>
        <w:tc>
          <w:tcPr>
            <w:tcW w:w="3701" w:type="dxa"/>
          </w:tcPr>
          <w:p w14:paraId="5947D2C7" w14:textId="77777777" w:rsidR="00D237C9" w:rsidRDefault="001106A4">
            <w:pPr>
              <w:jc w:val="center"/>
              <w:rPr>
                <w:rFonts w:ascii="AvenirNext LT Pro LightCn" w:hAnsi="AvenirNext LT Pro LightCn" w:cs="Arial"/>
                <w:color w:val="000000" w:themeColor="text1"/>
              </w:rPr>
            </w:pPr>
            <w:r>
              <w:rPr>
                <w:rFonts w:ascii="AvenirNext LT Pro LightCn" w:hAnsi="AvenirNext LT Pro LightCn" w:cs="Arial"/>
                <w:color w:val="000000" w:themeColor="text1"/>
              </w:rPr>
              <w:t>15</w:t>
            </w:r>
          </w:p>
        </w:tc>
      </w:tr>
      <w:tr w:rsidR="00D237C9" w14:paraId="4A0DB363" w14:textId="77777777">
        <w:tc>
          <w:tcPr>
            <w:tcW w:w="4442" w:type="dxa"/>
          </w:tcPr>
          <w:p w14:paraId="1D09A235" w14:textId="77777777" w:rsidR="00D237C9" w:rsidRDefault="001106A4">
            <w:pPr>
              <w:rPr>
                <w:rFonts w:ascii="AvenirNext LT Pro LightCn" w:hAnsi="AvenirNext LT Pro LightCn" w:cs="Arial"/>
                <w:color w:val="000000" w:themeColor="text1"/>
              </w:rPr>
            </w:pPr>
            <w:r>
              <w:rPr>
                <w:rFonts w:ascii="AvenirNext LT Pro LightCn" w:hAnsi="AvenirNext LT Pro LightCn" w:cs="Arial"/>
                <w:color w:val="000000" w:themeColor="text1"/>
              </w:rPr>
              <w:t>Autres pannes</w:t>
            </w:r>
          </w:p>
        </w:tc>
        <w:tc>
          <w:tcPr>
            <w:tcW w:w="3701" w:type="dxa"/>
          </w:tcPr>
          <w:p w14:paraId="15A084A7" w14:textId="77777777" w:rsidR="00D237C9" w:rsidRDefault="001106A4">
            <w:pPr>
              <w:jc w:val="center"/>
              <w:rPr>
                <w:rFonts w:ascii="AvenirNext LT Pro LightCn" w:hAnsi="AvenirNext LT Pro LightCn" w:cs="Arial"/>
                <w:color w:val="000000" w:themeColor="text1"/>
              </w:rPr>
            </w:pPr>
            <w:r>
              <w:rPr>
                <w:rFonts w:ascii="AvenirNext LT Pro LightCn" w:hAnsi="AvenirNext LT Pro LightCn" w:cs="Arial"/>
                <w:color w:val="000000" w:themeColor="text1"/>
              </w:rPr>
              <w:t>20</w:t>
            </w:r>
          </w:p>
        </w:tc>
      </w:tr>
    </w:tbl>
    <w:p w14:paraId="0AA7CA10" w14:textId="77777777" w:rsidR="00D237C9" w:rsidRDefault="001106A4">
      <w:pPr>
        <w:pStyle w:val="Corpsdetexte"/>
        <w:rPr>
          <w:rFonts w:ascii="AvenirNext LT Pro LightCn" w:hAnsi="AvenirNext LT Pro LightCn" w:cs="Arial"/>
        </w:rPr>
      </w:pPr>
      <w:bookmarkStart w:id="136" w:name="_Toc337045491"/>
      <w:r>
        <w:rPr>
          <w:rFonts w:ascii="AvenirNext LT Pro LightCn" w:hAnsi="AvenirNext LT Pro LightCn" w:cs="Arial"/>
        </w:rPr>
        <w:t>Passé ce délai, le titulaire encourt des pénalités telles que fixées à l’article 9.2 du présent AECCP.</w:t>
      </w:r>
      <w:bookmarkEnd w:id="136"/>
    </w:p>
    <w:p w14:paraId="61FF8D45" w14:textId="77777777" w:rsidR="00D237C9" w:rsidRDefault="001106A4">
      <w:pPr>
        <w:keepNext/>
        <w:spacing w:before="240" w:after="240"/>
        <w:ind w:firstLine="1559"/>
        <w:outlineLvl w:val="1"/>
        <w:rPr>
          <w:rFonts w:ascii="AvenirNext LT Pro LightCn" w:hAnsi="AvenirNext LT Pro LightCn" w:cs="Arial"/>
          <w:i/>
          <w:iCs/>
          <w:color w:val="00A6A3"/>
        </w:rPr>
      </w:pPr>
      <w:bookmarkStart w:id="137" w:name="_Toc164174670"/>
      <w:r>
        <w:rPr>
          <w:rFonts w:ascii="AvenirNext LT Pro LightCn" w:hAnsi="AvenirNext LT Pro LightCn" w:cs="Arial"/>
          <w:i/>
          <w:iCs/>
          <w:color w:val="00A6A3"/>
        </w:rPr>
        <w:t>11.2.4 - Obligation relative aux pièces détachées et consommables captifs</w:t>
      </w:r>
      <w:bookmarkEnd w:id="137"/>
    </w:p>
    <w:p w14:paraId="23DB7885" w14:textId="77777777" w:rsidR="00D237C9" w:rsidRDefault="001106A4">
      <w:pPr>
        <w:pStyle w:val="Corpsdetexte"/>
        <w:rPr>
          <w:rFonts w:ascii="AvenirNext LT Pro LightCn" w:hAnsi="AvenirNext LT Pro LightCn" w:cs="Arial"/>
          <w:color w:val="000000" w:themeColor="text1"/>
        </w:rPr>
      </w:pPr>
      <w:r>
        <w:rPr>
          <w:rFonts w:ascii="AvenirNext LT Pro LightCn" w:hAnsi="AvenirNext LT Pro LightCn" w:cs="Arial"/>
        </w:rPr>
        <w:t xml:space="preserve">Le titulaire s’engage à remplacer les pièces détachées usagées et à fournir les consommables captifs correspondants, pendant une </w:t>
      </w:r>
      <w:r>
        <w:rPr>
          <w:rFonts w:ascii="AvenirNext LT Pro LightCn" w:hAnsi="AvenirNext LT Pro LightCn" w:cs="Arial"/>
          <w:b/>
        </w:rPr>
        <w:t>durée minimale de dix (10)</w:t>
      </w:r>
      <w:r>
        <w:rPr>
          <w:rFonts w:ascii="AvenirNext LT Pro LightCn" w:hAnsi="AvenirNext LT Pro LightCn" w:cs="Arial"/>
          <w:b/>
          <w:color w:val="000000" w:themeColor="text1"/>
        </w:rPr>
        <w:t xml:space="preserve"> </w:t>
      </w:r>
      <w:r>
        <w:rPr>
          <w:rFonts w:ascii="AvenirNext LT Pro LightCn" w:hAnsi="AvenirNext LT Pro LightCn" w:cs="Arial"/>
          <w:b/>
        </w:rPr>
        <w:t>ans</w:t>
      </w:r>
      <w:r>
        <w:rPr>
          <w:rFonts w:ascii="AvenirNext LT Pro LightCn" w:hAnsi="AvenirNext LT Pro LightCn" w:cs="Arial"/>
        </w:rPr>
        <w:t xml:space="preserve"> à compter de la date d’admission de l’équipement acheté en application du présent marché.  Dans le cas contraire le titulaire encourt une </w:t>
      </w:r>
      <w:r>
        <w:rPr>
          <w:rFonts w:ascii="AvenirNext LT Pro LightCn" w:hAnsi="AvenirNext LT Pro LightCn" w:cs="Arial"/>
          <w:color w:val="000000" w:themeColor="text1"/>
        </w:rPr>
        <w:t>pénalité telle que décrite à l’article 9.3.</w:t>
      </w:r>
    </w:p>
    <w:p w14:paraId="35AB41BC" w14:textId="77777777" w:rsidR="00D237C9" w:rsidRDefault="001106A4">
      <w:pPr>
        <w:pStyle w:val="Titre2"/>
        <w:rPr>
          <w:rFonts w:ascii="AvenirNext LT Pro LightCn" w:hAnsi="AvenirNext LT Pro LightCn"/>
        </w:rPr>
      </w:pPr>
      <w:bookmarkStart w:id="138" w:name="_Toc164174671"/>
      <w:r>
        <w:rPr>
          <w:rFonts w:ascii="AvenirNext LT Pro LightCn" w:hAnsi="AvenirNext LT Pro LightCn"/>
        </w:rPr>
        <w:t>Maintenance</w:t>
      </w:r>
      <w:bookmarkEnd w:id="138"/>
    </w:p>
    <w:p w14:paraId="218CA4AC" w14:textId="77777777" w:rsidR="00D237C9" w:rsidRDefault="001106A4">
      <w:pPr>
        <w:rPr>
          <w:rFonts w:ascii="AvenirNext LT Pro LightCn" w:hAnsi="AvenirNext LT Pro LightCn" w:cs="Arial"/>
        </w:rPr>
      </w:pPr>
      <w:r>
        <w:rPr>
          <w:rFonts w:cs="Arial"/>
        </w:rPr>
        <w:t>Sans objet.</w:t>
      </w:r>
    </w:p>
    <w:p w14:paraId="2B962A0F" w14:textId="77777777" w:rsidR="00D237C9" w:rsidRDefault="001106A4">
      <w:pPr>
        <w:spacing w:before="0" w:after="0"/>
        <w:ind w:left="357"/>
        <w:rPr>
          <w:rFonts w:ascii="AvenirNext LT Pro LightCn" w:hAnsi="AvenirNext LT Pro LightCn" w:cs="Arial"/>
          <w:color w:val="000000" w:themeColor="text1"/>
        </w:rPr>
      </w:pPr>
      <w:r>
        <w:rPr>
          <w:rFonts w:ascii="AvenirNext LT Pro LightCn" w:hAnsi="AvenirNext LT Pro LightCn" w:cs="Arial"/>
          <w:color w:val="000000" w:themeColor="text1"/>
        </w:rPr>
        <w:t>.</w:t>
      </w:r>
    </w:p>
    <w:p w14:paraId="3AD8578B" w14:textId="77777777" w:rsidR="00D237C9" w:rsidRDefault="001106A4">
      <w:pPr>
        <w:pStyle w:val="Titre1"/>
        <w:spacing w:after="240"/>
        <w:ind w:left="357" w:hanging="357"/>
        <w:rPr>
          <w:rFonts w:ascii="AvenirNext LT Pro LightCn" w:hAnsi="AvenirNext LT Pro LightCn"/>
        </w:rPr>
      </w:pPr>
      <w:bookmarkStart w:id="139" w:name="_Toc164174672"/>
      <w:r>
        <w:rPr>
          <w:rFonts w:ascii="AvenirNext LT Pro LightCn" w:hAnsi="AvenirNext LT Pro LightCn"/>
        </w:rPr>
        <w:t>ASSURANCE</w:t>
      </w:r>
      <w:bookmarkEnd w:id="139"/>
    </w:p>
    <w:p w14:paraId="18A33E06" w14:textId="77777777" w:rsidR="00D237C9" w:rsidRDefault="001106A4">
      <w:pPr>
        <w:spacing w:before="240"/>
        <w:rPr>
          <w:rFonts w:ascii="AvenirNext LT Pro LightCn" w:eastAsiaTheme="minorEastAsia" w:hAnsi="AvenirNext LT Pro LightCn" w:cs="Arial"/>
        </w:rPr>
      </w:pPr>
      <w:r>
        <w:rPr>
          <w:rFonts w:ascii="AvenirNext LT Pro LightCn" w:hAnsi="AvenirNext LT Pro LightCn" w:cs="Arial"/>
        </w:rPr>
        <w:t>Le titulaire et ses sous-traitants doivent contracter les assurances permettant de garantir leur responsabilité civile et professionnelle à l'égard d’INRAE et des tiers, victimes d'accidents ou de dommages causés par l'exécution du marché.</w:t>
      </w:r>
    </w:p>
    <w:p w14:paraId="498F2D71" w14:textId="77777777" w:rsidR="00D237C9" w:rsidRDefault="001106A4">
      <w:pPr>
        <w:keepLines/>
        <w:widowControl w:val="0"/>
        <w:rPr>
          <w:rFonts w:ascii="AvenirNext LT Pro LightCn" w:hAnsi="AvenirNext LT Pro LightCn" w:cs="Arial"/>
        </w:rPr>
      </w:pPr>
      <w:r>
        <w:rPr>
          <w:rFonts w:ascii="AvenirNext LT Pro LightCn" w:hAnsi="AvenirNext LT Pro LightCn" w:cs="Arial"/>
        </w:rPr>
        <w:t>Par dérogation à l’article 9.2 du CCAG-FCS, il doit justifier qu'il est titulaire de ces contrats d'assurances, au moyen d'une attestation établissant l'étendue de la responsabilité garantie, avant tout commencement d’exécution.</w:t>
      </w:r>
    </w:p>
    <w:p w14:paraId="14CF29E9" w14:textId="77777777" w:rsidR="00D237C9" w:rsidRDefault="001106A4">
      <w:pPr>
        <w:pStyle w:val="Titre1"/>
        <w:spacing w:after="240"/>
        <w:ind w:left="357" w:hanging="357"/>
        <w:rPr>
          <w:rFonts w:ascii="AvenirNext LT Pro LightCn" w:hAnsi="AvenirNext LT Pro LightCn"/>
          <w:iCs/>
        </w:rPr>
      </w:pPr>
      <w:bookmarkStart w:id="140" w:name="_Toc164174673"/>
      <w:r>
        <w:rPr>
          <w:rFonts w:ascii="AvenirNext LT Pro LightCn" w:hAnsi="AvenirNext LT Pro LightCn"/>
        </w:rPr>
        <w:t>LITIGES</w:t>
      </w:r>
      <w:bookmarkEnd w:id="140"/>
    </w:p>
    <w:p w14:paraId="6A878BA9" w14:textId="77777777" w:rsidR="00D237C9" w:rsidRDefault="001106A4">
      <w:pPr>
        <w:rPr>
          <w:rFonts w:ascii="AvenirNext LT Pro LightCn" w:hAnsi="AvenirNext LT Pro LightCn"/>
          <w:bCs/>
        </w:rPr>
      </w:pPr>
      <w:r>
        <w:rPr>
          <w:rFonts w:ascii="AvenirNext LT Pro LightCn" w:hAnsi="AvenirNext LT Pro LightCn"/>
          <w:bCs/>
        </w:rPr>
        <w:t xml:space="preserve">Si un désaccord nait à l’occasion de l’exécution du présent marché, les parties s’efforceront de trouver un accord amiable à leur litige. A défaut d’accord amiable, le tribunal administratif de </w:t>
      </w:r>
      <w:sdt>
        <w:sdtPr>
          <w:rPr>
            <w:rFonts w:ascii="AvenirNext LT Pro LightCn" w:hAnsi="AvenirNext LT Pro LightCn"/>
            <w:bCs/>
          </w:rPr>
          <w:alias w:val="TA"/>
          <w:tag w:val="TA"/>
          <w:id w:val="-1006589828"/>
          <w:placeholder>
            <w:docPart w:val="5DDACFDCF2544FF7B1A2C8D4C3930E2A"/>
          </w:placeholder>
          <w:dropDownList>
            <w:listItem w:value="Choisissez un élément."/>
            <w:listItem w:displayText="Versailles" w:value="Versailles"/>
            <w:listItem w:displayText="Amiens" w:value="Amiens"/>
            <w:listItem w:displayText="Lille" w:value="Lille"/>
          </w:dropDownList>
        </w:sdtPr>
        <w:sdtEndPr/>
        <w:sdtContent>
          <w:r>
            <w:rPr>
              <w:rFonts w:ascii="AvenirNext LT Pro LightCn" w:hAnsi="AvenirNext LT Pro LightCn"/>
              <w:bCs/>
            </w:rPr>
            <w:t>Versailles</w:t>
          </w:r>
        </w:sdtContent>
      </w:sdt>
      <w:r>
        <w:rPr>
          <w:rFonts w:ascii="AvenirNext LT Pro LightCn" w:hAnsi="AvenirNext LT Pro LightCn"/>
          <w:bCs/>
        </w:rPr>
        <w:t xml:space="preserve"> est le seul compétent.</w:t>
      </w:r>
    </w:p>
    <w:p w14:paraId="6D05BF30" w14:textId="77777777" w:rsidR="00D237C9" w:rsidRDefault="001106A4">
      <w:pPr>
        <w:pStyle w:val="Titre1"/>
        <w:spacing w:before="360"/>
        <w:ind w:left="357" w:hanging="357"/>
        <w:rPr>
          <w:rFonts w:ascii="AvenirNext LT Pro LightCn" w:hAnsi="AvenirNext LT Pro LightCn"/>
          <w:iCs/>
        </w:rPr>
      </w:pPr>
      <w:bookmarkStart w:id="141" w:name="_Toc164174674"/>
      <w:r>
        <w:rPr>
          <w:rFonts w:ascii="AvenirNext LT Pro LightCn" w:hAnsi="AvenirNext LT Pro LightCn"/>
        </w:rPr>
        <w:t>DEROGATIONS AU CCAG-FCS</w:t>
      </w:r>
      <w:bookmarkEnd w:id="141"/>
    </w:p>
    <w:p w14:paraId="10848AC1" w14:textId="77777777" w:rsidR="00D237C9" w:rsidRDefault="00D237C9">
      <w:pPr>
        <w:spacing w:before="0" w:after="0"/>
        <w:rPr>
          <w:rFonts w:ascii="AvenirNext LT Pro LightCn" w:hAnsi="AvenirNext LT Pro LightCn"/>
        </w:rPr>
      </w:pPr>
    </w:p>
    <w:tbl>
      <w:tblPr>
        <w:tblStyle w:val="Grilledutableau"/>
        <w:tblW w:w="0" w:type="auto"/>
        <w:tblLook w:val="04A0" w:firstRow="1" w:lastRow="0" w:firstColumn="1" w:lastColumn="0" w:noHBand="0" w:noVBand="1"/>
      </w:tblPr>
      <w:tblGrid>
        <w:gridCol w:w="4248"/>
        <w:gridCol w:w="4394"/>
      </w:tblGrid>
      <w:tr w:rsidR="00D237C9" w14:paraId="2AFD51EE" w14:textId="77777777">
        <w:tc>
          <w:tcPr>
            <w:tcW w:w="4248" w:type="dxa"/>
          </w:tcPr>
          <w:p w14:paraId="47CBBA65" w14:textId="77777777" w:rsidR="00D237C9" w:rsidRDefault="001106A4">
            <w:pPr>
              <w:jc w:val="center"/>
              <w:rPr>
                <w:rFonts w:ascii="AvenirNext LT Pro LightCn" w:hAnsi="AvenirNext LT Pro LightCn"/>
                <w:b/>
                <w:sz w:val="24"/>
                <w:szCs w:val="24"/>
              </w:rPr>
            </w:pPr>
            <w:r>
              <w:rPr>
                <w:rFonts w:ascii="AvenirNext LT Pro LightCn" w:hAnsi="AvenirNext LT Pro LightCn"/>
                <w:b/>
                <w:sz w:val="24"/>
                <w:szCs w:val="24"/>
              </w:rPr>
              <w:t>Articles du CCAG-FCS auxquels il est dérogé</w:t>
            </w:r>
          </w:p>
        </w:tc>
        <w:tc>
          <w:tcPr>
            <w:tcW w:w="4394" w:type="dxa"/>
          </w:tcPr>
          <w:p w14:paraId="6DBA9BF1" w14:textId="77777777" w:rsidR="00D237C9" w:rsidRDefault="001106A4">
            <w:pPr>
              <w:jc w:val="center"/>
              <w:rPr>
                <w:rFonts w:ascii="AvenirNext LT Pro LightCn" w:hAnsi="AvenirNext LT Pro LightCn"/>
                <w:b/>
                <w:sz w:val="24"/>
                <w:szCs w:val="24"/>
              </w:rPr>
            </w:pPr>
            <w:r>
              <w:rPr>
                <w:rFonts w:ascii="AvenirNext LT Pro LightCn" w:hAnsi="AvenirNext LT Pro LightCn"/>
                <w:b/>
                <w:sz w:val="24"/>
                <w:szCs w:val="24"/>
              </w:rPr>
              <w:t>Articles de l’AECCP dérogeant au CCAG-FCS</w:t>
            </w:r>
          </w:p>
        </w:tc>
      </w:tr>
      <w:tr w:rsidR="00D237C9" w14:paraId="2AB864AC" w14:textId="77777777">
        <w:tc>
          <w:tcPr>
            <w:tcW w:w="4248" w:type="dxa"/>
          </w:tcPr>
          <w:p w14:paraId="533CE828"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4.1</w:t>
            </w:r>
          </w:p>
        </w:tc>
        <w:tc>
          <w:tcPr>
            <w:tcW w:w="4394" w:type="dxa"/>
          </w:tcPr>
          <w:p w14:paraId="62A3386C"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2</w:t>
            </w:r>
          </w:p>
        </w:tc>
      </w:tr>
      <w:tr w:rsidR="00D237C9" w14:paraId="3C9602C8" w14:textId="77777777">
        <w:tc>
          <w:tcPr>
            <w:tcW w:w="4248" w:type="dxa"/>
          </w:tcPr>
          <w:p w14:paraId="7EFAE15D"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4.2.1</w:t>
            </w:r>
          </w:p>
        </w:tc>
        <w:tc>
          <w:tcPr>
            <w:tcW w:w="4394" w:type="dxa"/>
          </w:tcPr>
          <w:p w14:paraId="79A4A68A"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2.1</w:t>
            </w:r>
          </w:p>
        </w:tc>
      </w:tr>
      <w:tr w:rsidR="00D237C9" w14:paraId="3F09B49C" w14:textId="77777777">
        <w:tc>
          <w:tcPr>
            <w:tcW w:w="4248" w:type="dxa"/>
          </w:tcPr>
          <w:p w14:paraId="61F575DD"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lastRenderedPageBreak/>
              <w:t>9.2</w:t>
            </w:r>
          </w:p>
        </w:tc>
        <w:tc>
          <w:tcPr>
            <w:tcW w:w="4394" w:type="dxa"/>
          </w:tcPr>
          <w:p w14:paraId="20B79CDE"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12</w:t>
            </w:r>
          </w:p>
        </w:tc>
      </w:tr>
      <w:tr w:rsidR="00D237C9" w14:paraId="358B5CE9" w14:textId="77777777">
        <w:tc>
          <w:tcPr>
            <w:tcW w:w="4248" w:type="dxa"/>
          </w:tcPr>
          <w:p w14:paraId="726294D8"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14 et 14.1.1</w:t>
            </w:r>
          </w:p>
        </w:tc>
        <w:tc>
          <w:tcPr>
            <w:tcW w:w="4394" w:type="dxa"/>
          </w:tcPr>
          <w:p w14:paraId="4AF509F2"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9</w:t>
            </w:r>
          </w:p>
        </w:tc>
      </w:tr>
      <w:tr w:rsidR="00D237C9" w14:paraId="36DF818E" w14:textId="77777777">
        <w:tc>
          <w:tcPr>
            <w:tcW w:w="4248" w:type="dxa"/>
          </w:tcPr>
          <w:p w14:paraId="3E7821DF"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19</w:t>
            </w:r>
          </w:p>
        </w:tc>
        <w:tc>
          <w:tcPr>
            <w:tcW w:w="4394" w:type="dxa"/>
          </w:tcPr>
          <w:p w14:paraId="21B84FF0"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3.7</w:t>
            </w:r>
          </w:p>
        </w:tc>
      </w:tr>
      <w:tr w:rsidR="00D237C9" w14:paraId="409EF10C" w14:textId="77777777">
        <w:tc>
          <w:tcPr>
            <w:tcW w:w="4248" w:type="dxa"/>
          </w:tcPr>
          <w:p w14:paraId="3779F67C"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21.2</w:t>
            </w:r>
          </w:p>
        </w:tc>
        <w:tc>
          <w:tcPr>
            <w:tcW w:w="4394" w:type="dxa"/>
          </w:tcPr>
          <w:p w14:paraId="5CF1BAFA"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3.7</w:t>
            </w:r>
          </w:p>
        </w:tc>
      </w:tr>
      <w:tr w:rsidR="00D237C9" w14:paraId="70E2D7D4" w14:textId="77777777">
        <w:tc>
          <w:tcPr>
            <w:tcW w:w="4248" w:type="dxa"/>
          </w:tcPr>
          <w:p w14:paraId="2C92263D"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27.2.2, 28 et 28.2</w:t>
            </w:r>
          </w:p>
        </w:tc>
        <w:tc>
          <w:tcPr>
            <w:tcW w:w="4394" w:type="dxa"/>
          </w:tcPr>
          <w:p w14:paraId="7DD1B392" w14:textId="77777777" w:rsidR="00D237C9" w:rsidRDefault="001106A4">
            <w:pPr>
              <w:spacing w:before="0" w:after="0"/>
              <w:jc w:val="center"/>
              <w:rPr>
                <w:rFonts w:ascii="AvenirNext LT Pro LightCn" w:hAnsi="AvenirNext LT Pro LightCn"/>
                <w:sz w:val="24"/>
                <w:szCs w:val="24"/>
              </w:rPr>
            </w:pPr>
            <w:r>
              <w:rPr>
                <w:rFonts w:ascii="AvenirNext LT Pro LightCn" w:hAnsi="AvenirNext LT Pro LightCn"/>
                <w:sz w:val="24"/>
                <w:szCs w:val="24"/>
              </w:rPr>
              <w:t>5.2</w:t>
            </w:r>
          </w:p>
        </w:tc>
      </w:tr>
    </w:tbl>
    <w:p w14:paraId="497EE084" w14:textId="77777777" w:rsidR="00D237C9" w:rsidRDefault="00D237C9">
      <w:pPr>
        <w:pStyle w:val="Titre1"/>
        <w:numPr>
          <w:ilvl w:val="0"/>
          <w:numId w:val="0"/>
        </w:numPr>
        <w:rPr>
          <w:rFonts w:ascii="AvenirNext LT Pro LightCn" w:hAnsi="AvenirNext LT Pro LightCn"/>
        </w:rPr>
      </w:pPr>
    </w:p>
    <w:p w14:paraId="23781593" w14:textId="77777777" w:rsidR="00D237C9" w:rsidRDefault="00D237C9">
      <w:pPr>
        <w:spacing w:before="60" w:after="0"/>
        <w:rPr>
          <w:rFonts w:ascii="AvenirNext LT Pro LightCn" w:hAnsi="AvenirNext LT Pro LightCn"/>
        </w:rPr>
      </w:pPr>
    </w:p>
    <w:sectPr w:rsidR="00D237C9">
      <w:pgSz w:w="11900" w:h="16840"/>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C784B" w14:textId="77777777" w:rsidR="00943CD2" w:rsidRDefault="00943CD2">
      <w:r>
        <w:separator/>
      </w:r>
    </w:p>
  </w:endnote>
  <w:endnote w:type="continuationSeparator" w:id="0">
    <w:p w14:paraId="2F7C2E23" w14:textId="77777777" w:rsidR="00943CD2" w:rsidRDefault="00943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venirNext LT Pro LightCn">
    <w:panose1 w:val="020B0406020202020204"/>
    <w:charset w:val="00"/>
    <w:family w:val="swiss"/>
    <w:notTrueType/>
    <w:pitch w:val="variable"/>
    <w:sig w:usb0="800000AF" w:usb1="5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F800F" w14:textId="77777777" w:rsidR="00D237C9" w:rsidRDefault="001106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B0B5B1" w14:textId="77777777" w:rsidR="00D237C9" w:rsidRDefault="00D237C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5803906"/>
      <w:docPartObj>
        <w:docPartGallery w:val="Page Numbers (Bottom of Page)"/>
        <w:docPartUnique/>
      </w:docPartObj>
    </w:sdtPr>
    <w:sdtEndPr/>
    <w:sdtContent>
      <w:sdt>
        <w:sdtPr>
          <w:id w:val="-1769616900"/>
          <w:docPartObj>
            <w:docPartGallery w:val="Page Numbers (Top of Page)"/>
            <w:docPartUnique/>
          </w:docPartObj>
        </w:sdtPr>
        <w:sdtEndPr/>
        <w:sdtContent>
          <w:p w14:paraId="18BA3B23" w14:textId="1153B785" w:rsidR="00D237C9" w:rsidRDefault="001106A4">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6A6AC9">
              <w:rPr>
                <w:b/>
                <w:bCs/>
                <w:noProof/>
              </w:rPr>
              <w:t>14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A6AC9">
              <w:rPr>
                <w:b/>
                <w:bCs/>
                <w:noProof/>
              </w:rPr>
              <w:t>21</w:t>
            </w:r>
            <w:r>
              <w:rPr>
                <w:b/>
                <w:bCs/>
                <w:sz w:val="24"/>
                <w:szCs w:val="24"/>
              </w:rPr>
              <w:fldChar w:fldCharType="end"/>
            </w:r>
          </w:p>
        </w:sdtContent>
      </w:sdt>
    </w:sdtContent>
  </w:sdt>
  <w:p w14:paraId="3B7B59D9" w14:textId="77777777" w:rsidR="00D237C9" w:rsidRDefault="00D237C9">
    <w:pPr>
      <w:pStyle w:val="Pieddepage"/>
      <w:ind w:right="360"/>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C0AD5" w14:textId="77777777" w:rsidR="00943CD2" w:rsidRDefault="00943CD2">
      <w:r>
        <w:separator/>
      </w:r>
    </w:p>
  </w:footnote>
  <w:footnote w:type="continuationSeparator" w:id="0">
    <w:p w14:paraId="054E1A7C" w14:textId="77777777" w:rsidR="00943CD2" w:rsidRDefault="00943CD2">
      <w:r>
        <w:continuationSeparator/>
      </w:r>
    </w:p>
  </w:footnote>
  <w:footnote w:id="1">
    <w:p w14:paraId="2DEF9219" w14:textId="77777777" w:rsidR="00D237C9" w:rsidRDefault="001106A4">
      <w:pPr>
        <w:pStyle w:val="Retraitcorpsdetexte"/>
        <w:spacing w:before="0" w:after="0"/>
        <w:ind w:left="0"/>
        <w:rPr>
          <w:i/>
          <w:sz w:val="18"/>
          <w:szCs w:val="18"/>
        </w:rPr>
      </w:pPr>
      <w:r>
        <w:rPr>
          <w:rStyle w:val="Appelnotedebasdep"/>
          <w:i/>
          <w:sz w:val="18"/>
          <w:szCs w:val="18"/>
        </w:rPr>
        <w:footnoteRef/>
      </w:r>
      <w:r>
        <w:rPr>
          <w:i/>
          <w:sz w:val="18"/>
          <w:szCs w:val="18"/>
        </w:rPr>
        <w:t xml:space="preserve"> Signature et cachet commercial du titulaire avec mention des nom et qualité du signataire</w:t>
      </w:r>
    </w:p>
  </w:footnote>
  <w:footnote w:id="2">
    <w:p w14:paraId="5AC48BD8" w14:textId="77777777" w:rsidR="00D237C9" w:rsidRDefault="001106A4">
      <w:pPr>
        <w:pStyle w:val="Notedebasdepage"/>
        <w:spacing w:before="0" w:after="0"/>
        <w:rPr>
          <w:rFonts w:ascii="Arial" w:hAnsi="Arial" w:cs="Arial"/>
          <w:i/>
          <w:sz w:val="18"/>
          <w:szCs w:val="18"/>
        </w:rPr>
      </w:pPr>
      <w:r>
        <w:rPr>
          <w:rStyle w:val="Appelnotedebasdep"/>
          <w:rFonts w:ascii="Arial" w:hAnsi="Arial" w:cs="Arial"/>
          <w:i/>
          <w:sz w:val="18"/>
          <w:szCs w:val="18"/>
        </w:rPr>
        <w:footnoteRef/>
      </w:r>
      <w:r>
        <w:rPr>
          <w:rFonts w:ascii="Arial" w:hAnsi="Arial" w:cs="Arial"/>
          <w:i/>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667F"/>
    <w:multiLevelType w:val="multilevel"/>
    <w:tmpl w:val="C95A3D38"/>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994F82"/>
    <w:multiLevelType w:val="multilevel"/>
    <w:tmpl w:val="00680646"/>
    <w:lvl w:ilvl="0">
      <w:numFmt w:val="bullet"/>
      <w:lvlText w:val=""/>
      <w:lvlJc w:val="left"/>
      <w:pPr>
        <w:ind w:left="1069" w:hanging="360"/>
      </w:pPr>
      <w:rPr>
        <w:rFonts w:ascii="Wingdings" w:eastAsiaTheme="minorHAnsi" w:hAnsi="Wingdings" w:cstheme="minorBidi"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2" w15:restartNumberingAfterBreak="0">
    <w:nsid w:val="0F1B2165"/>
    <w:multiLevelType w:val="multilevel"/>
    <w:tmpl w:val="BAD62ED2"/>
    <w:lvl w:ilvl="0">
      <w:numFmt w:val="bullet"/>
      <w:lvlText w:val="-"/>
      <w:lvlJc w:val="left"/>
      <w:pPr>
        <w:ind w:left="720" w:hanging="360"/>
      </w:pPr>
      <w:rPr>
        <w:rFonts w:ascii="Calibri" w:eastAsia="Times New Roman"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73A3EEE"/>
    <w:multiLevelType w:val="multilevel"/>
    <w:tmpl w:val="FDDA58D8"/>
    <w:lvl w:ilvl="0">
      <w:numFmt w:val="bullet"/>
      <w:lvlText w:val="-"/>
      <w:lvlJc w:val="left"/>
      <w:pPr>
        <w:tabs>
          <w:tab w:val="num" w:pos="720"/>
        </w:tabs>
        <w:ind w:left="720" w:hanging="360"/>
      </w:pPr>
      <w:rPr>
        <w:rFonts w:ascii="Calibri" w:eastAsia="Times New Roman" w:hAnsi="Calibri"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774988"/>
    <w:multiLevelType w:val="hybridMultilevel"/>
    <w:tmpl w:val="29A028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3F647B7"/>
    <w:multiLevelType w:val="multilevel"/>
    <w:tmpl w:val="EC6809B0"/>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41E3A86"/>
    <w:multiLevelType w:val="hybridMultilevel"/>
    <w:tmpl w:val="325EC266"/>
    <w:lvl w:ilvl="0" w:tplc="4B24274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DD1F4D"/>
    <w:multiLevelType w:val="multilevel"/>
    <w:tmpl w:val="FE24472A"/>
    <w:lvl w:ilvl="0">
      <w:numFmt w:val="bullet"/>
      <w:lvlText w:val="-"/>
      <w:lvlJc w:val="left"/>
      <w:pPr>
        <w:ind w:left="720" w:hanging="360"/>
      </w:pPr>
      <w:rPr>
        <w:rFonts w:ascii="Calibri" w:eastAsia="Times New Roman"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2C91816"/>
    <w:multiLevelType w:val="multilevel"/>
    <w:tmpl w:val="5A803C94"/>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1291010"/>
    <w:multiLevelType w:val="multilevel"/>
    <w:tmpl w:val="ADE6F6FC"/>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5A93184"/>
    <w:multiLevelType w:val="multilevel"/>
    <w:tmpl w:val="C818E71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5AE67A7"/>
    <w:multiLevelType w:val="multilevel"/>
    <w:tmpl w:val="5C22DCA8"/>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C231C14"/>
    <w:multiLevelType w:val="multilevel"/>
    <w:tmpl w:val="C3A878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3436DE1"/>
    <w:multiLevelType w:val="multilevel"/>
    <w:tmpl w:val="276EF892"/>
    <w:lvl w:ilvl="0">
      <w:start w:val="1"/>
      <w:numFmt w:val="bullet"/>
      <w:lvlText w:val="-"/>
      <w:lvlJc w:val="left"/>
      <w:pPr>
        <w:ind w:left="720" w:hanging="360"/>
      </w:pPr>
      <w:rPr>
        <w:rFonts w:ascii="AvenirNext LT Pro Cn" w:eastAsiaTheme="minorHAnsi" w:hAnsi="AvenirNext LT Pro Cn" w:cstheme="minorHAns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559737E2"/>
    <w:multiLevelType w:val="multilevel"/>
    <w:tmpl w:val="2E3E88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682BAE"/>
    <w:multiLevelType w:val="multilevel"/>
    <w:tmpl w:val="CE52D20E"/>
    <w:lvl w:ilvl="0">
      <w:numFmt w:val="bullet"/>
      <w:lvlText w:val="-"/>
      <w:lvlJc w:val="left"/>
      <w:pPr>
        <w:ind w:left="360" w:hanging="360"/>
      </w:pPr>
      <w:rPr>
        <w:rFonts w:ascii="Calibri" w:hAnsi="Calibri"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 w15:restartNumberingAfterBreak="0">
    <w:nsid w:val="585571EC"/>
    <w:multiLevelType w:val="multilevel"/>
    <w:tmpl w:val="9272C616"/>
    <w:lvl w:ilvl="0">
      <w:numFmt w:val="bullet"/>
      <w:lvlText w:val="-"/>
      <w:lvlJc w:val="left"/>
      <w:pPr>
        <w:ind w:left="720" w:hanging="360"/>
      </w:pPr>
      <w:rPr>
        <w:rFonts w:ascii="Calibri" w:eastAsia="Times New Roman"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9913D2"/>
    <w:multiLevelType w:val="multilevel"/>
    <w:tmpl w:val="0BD2DA48"/>
    <w:lvl w:ilvl="0">
      <w:numFmt w:val="bullet"/>
      <w:lvlText w:val="-"/>
      <w:lvlJc w:val="left"/>
      <w:pPr>
        <w:ind w:left="720" w:hanging="360"/>
      </w:pPr>
      <w:rPr>
        <w:rFonts w:ascii="Calibri" w:eastAsiaTheme="minorHAns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EE959B9"/>
    <w:multiLevelType w:val="multilevel"/>
    <w:tmpl w:val="9B48C7EE"/>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BE757A5"/>
    <w:multiLevelType w:val="multilevel"/>
    <w:tmpl w:val="39362B74"/>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4542" w:hanging="432"/>
      </w:pPr>
      <w:rPr>
        <w:rFonts w:hint="default"/>
        <w:b/>
        <w:color w:val="00A6A3"/>
      </w:rPr>
    </w:lvl>
    <w:lvl w:ilvl="2">
      <w:start w:val="1"/>
      <w:numFmt w:val="decimal"/>
      <w:pStyle w:val="Titre3"/>
      <w:lvlText w:val="%1.%2.%3."/>
      <w:lvlJc w:val="left"/>
      <w:pPr>
        <w:ind w:left="121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C287BB4"/>
    <w:multiLevelType w:val="multilevel"/>
    <w:tmpl w:val="078857E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50B6A78"/>
    <w:multiLevelType w:val="multilevel"/>
    <w:tmpl w:val="B178E890"/>
    <w:lvl w:ilvl="0">
      <w:numFmt w:val="bullet"/>
      <w:lvlText w:val="-"/>
      <w:lvlJc w:val="left"/>
      <w:pPr>
        <w:ind w:left="720" w:hanging="360"/>
      </w:pPr>
      <w:rPr>
        <w:rFonts w:ascii="Calibri" w:eastAsia="Times New Roman"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64C00EF"/>
    <w:multiLevelType w:val="multilevel"/>
    <w:tmpl w:val="E2D489D4"/>
    <w:lvl w:ilvl="0">
      <w:numFmt w:val="bullet"/>
      <w:lvlText w:val="-"/>
      <w:lvlJc w:val="left"/>
      <w:pPr>
        <w:ind w:left="720" w:hanging="360"/>
      </w:pPr>
      <w:rPr>
        <w:rFonts w:ascii="Calibri" w:eastAsia="Times New Roman"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69F7BED"/>
    <w:multiLevelType w:val="multilevel"/>
    <w:tmpl w:val="2CDEA730"/>
    <w:lvl w:ilvl="0">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77607198"/>
    <w:multiLevelType w:val="hybridMultilevel"/>
    <w:tmpl w:val="3E1E8D6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7A8B7D62"/>
    <w:multiLevelType w:val="hybridMultilevel"/>
    <w:tmpl w:val="CD6C22F2"/>
    <w:lvl w:ilvl="0" w:tplc="FFFFFFFF">
      <w:numFmt w:val="bullet"/>
      <w:lvlText w:val="-"/>
      <w:lvlJc w:val="left"/>
      <w:pPr>
        <w:ind w:left="360" w:hanging="360"/>
      </w:pPr>
      <w:rPr>
        <w:rFonts w:ascii="Calibri" w:hAnsi="Calibri"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7C0A6F3D"/>
    <w:multiLevelType w:val="multilevel"/>
    <w:tmpl w:val="7F1CE0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CFF1C35"/>
    <w:multiLevelType w:val="multilevel"/>
    <w:tmpl w:val="8FCC0688"/>
    <w:lvl w:ilvl="0">
      <w:numFmt w:val="bullet"/>
      <w:lvlText w:val="-"/>
      <w:lvlJc w:val="left"/>
      <w:pPr>
        <w:ind w:left="720" w:hanging="360"/>
      </w:pPr>
      <w:rPr>
        <w:rFonts w:ascii="Calibri" w:eastAsia="Times New Roman"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21"/>
  </w:num>
  <w:num w:numId="4">
    <w:abstractNumId w:val="8"/>
  </w:num>
  <w:num w:numId="5">
    <w:abstractNumId w:val="0"/>
  </w:num>
  <w:num w:numId="6">
    <w:abstractNumId w:val="18"/>
  </w:num>
  <w:num w:numId="7">
    <w:abstractNumId w:val="17"/>
  </w:num>
  <w:num w:numId="8">
    <w:abstractNumId w:val="16"/>
  </w:num>
  <w:num w:numId="9">
    <w:abstractNumId w:val="7"/>
  </w:num>
  <w:num w:numId="10">
    <w:abstractNumId w:val="9"/>
  </w:num>
  <w:num w:numId="11">
    <w:abstractNumId w:val="19"/>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3125"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27"/>
  </w:num>
  <w:num w:numId="13">
    <w:abstractNumId w:val="19"/>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3125"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3"/>
  </w:num>
  <w:num w:numId="15">
    <w:abstractNumId w:val="22"/>
  </w:num>
  <w:num w:numId="16">
    <w:abstractNumId w:val="13"/>
  </w:num>
  <w:num w:numId="17">
    <w:abstractNumId w:val="5"/>
  </w:num>
  <w:num w:numId="18">
    <w:abstractNumId w:val="19"/>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val="0"/>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19"/>
    <w:lvlOverride w:ilvl="0">
      <w:lvl w:ilvl="0">
        <w:start w:val="1"/>
        <w:numFmt w:val="decimal"/>
        <w:pStyle w:val="Titre1"/>
        <w:lvlText w:val="%1."/>
        <w:lvlJc w:val="left"/>
        <w:pPr>
          <w:ind w:left="360" w:hanging="360"/>
        </w:pPr>
        <w:rPr>
          <w:rFonts w:hint="default"/>
          <w:b/>
          <w:color w:val="00A6A3"/>
        </w:rPr>
      </w:lvl>
    </w:lvlOverride>
    <w:lvlOverride w:ilvl="1">
      <w:lvl w:ilvl="1">
        <w:start w:val="1"/>
        <w:numFmt w:val="decimal"/>
        <w:pStyle w:val="Titre2"/>
        <w:lvlText w:val="%1.%2."/>
        <w:lvlJc w:val="left"/>
        <w:pPr>
          <w:ind w:left="1850" w:hanging="432"/>
        </w:pPr>
        <w:rPr>
          <w:rFonts w:hint="default"/>
          <w:b/>
          <w:color w:val="00A6A3"/>
        </w:rPr>
      </w:lvl>
    </w:lvlOverride>
    <w:lvlOverride w:ilvl="2">
      <w:lvl w:ilvl="2">
        <w:start w:val="1"/>
        <w:numFmt w:val="decimal"/>
        <w:pStyle w:val="Titre3"/>
        <w:lvlText w:val="%1.%2.%3."/>
        <w:lvlJc w:val="left"/>
        <w:pPr>
          <w:ind w:left="1214" w:hanging="504"/>
        </w:pPr>
        <w:rPr>
          <w:rFonts w:hint="default"/>
          <w:b/>
          <w:color w:val="00A6A3"/>
        </w:rPr>
      </w:lvl>
    </w:lvlOverride>
    <w:lvlOverride w:ilvl="3">
      <w:lvl w:ilvl="3">
        <w:start w:val="1"/>
        <w:numFmt w:val="decimal"/>
        <w:pStyle w:val="Titre4"/>
        <w:lvlText w:val="%1.%2.%3.%4."/>
        <w:lvlJc w:val="left"/>
        <w:pPr>
          <w:ind w:left="1728" w:hanging="648"/>
        </w:pPr>
        <w:rPr>
          <w:rFonts w:hint="default"/>
          <w:b/>
          <w:color w:val="00A6A3"/>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11"/>
  </w:num>
  <w:num w:numId="21">
    <w:abstractNumId w:val="1"/>
  </w:num>
  <w:num w:numId="22">
    <w:abstractNumId w:val="2"/>
  </w:num>
  <w:num w:numId="23">
    <w:abstractNumId w:val="3"/>
  </w:num>
  <w:num w:numId="24">
    <w:abstractNumId w:val="20"/>
  </w:num>
  <w:num w:numId="25">
    <w:abstractNumId w:val="12"/>
  </w:num>
  <w:num w:numId="26">
    <w:abstractNumId w:val="15"/>
  </w:num>
  <w:num w:numId="27">
    <w:abstractNumId w:val="26"/>
  </w:num>
  <w:num w:numId="28">
    <w:abstractNumId w:val="14"/>
  </w:num>
  <w:num w:numId="29">
    <w:abstractNumId w:val="25"/>
  </w:num>
  <w:num w:numId="30">
    <w:abstractNumId w:val="4"/>
  </w:num>
  <w:num w:numId="31">
    <w:abstractNumId w:val="25"/>
  </w:num>
  <w:num w:numId="32">
    <w:abstractNumId w:val="24"/>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7C9"/>
    <w:rsid w:val="000A26FD"/>
    <w:rsid w:val="001106A4"/>
    <w:rsid w:val="00160504"/>
    <w:rsid w:val="001B3890"/>
    <w:rsid w:val="002D3242"/>
    <w:rsid w:val="0036787A"/>
    <w:rsid w:val="00371881"/>
    <w:rsid w:val="003A0BA1"/>
    <w:rsid w:val="005B309E"/>
    <w:rsid w:val="006077B1"/>
    <w:rsid w:val="006A6AC9"/>
    <w:rsid w:val="007A2F48"/>
    <w:rsid w:val="00847AFC"/>
    <w:rsid w:val="008705F3"/>
    <w:rsid w:val="008A1A90"/>
    <w:rsid w:val="008F044B"/>
    <w:rsid w:val="009049B5"/>
    <w:rsid w:val="009174A7"/>
    <w:rsid w:val="00943CD2"/>
    <w:rsid w:val="00A93348"/>
    <w:rsid w:val="00AD2826"/>
    <w:rsid w:val="00BE7EFD"/>
    <w:rsid w:val="00C26A10"/>
    <w:rsid w:val="00C87EC4"/>
    <w:rsid w:val="00C91A2F"/>
    <w:rsid w:val="00D237C9"/>
    <w:rsid w:val="00D67224"/>
    <w:rsid w:val="00F24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21933"/>
  <w15:docId w15:val="{24DDE5BA-46FE-4B4F-BF69-BD6FB19AF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pPr>
      <w:keepNext/>
      <w:keepLines/>
      <w:numPr>
        <w:numId w:val="2"/>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uiPriority w:val="9"/>
    <w:unhideWhenUsed/>
    <w:qFormat/>
    <w:pPr>
      <w:numPr>
        <w:ilvl w:val="1"/>
      </w:numPr>
      <w:spacing w:before="360" w:after="240"/>
      <w:ind w:left="1850"/>
      <w:outlineLvl w:val="1"/>
    </w:pPr>
    <w:rPr>
      <w:color w:val="00A6A3"/>
      <w:sz w:val="26"/>
      <w:szCs w:val="26"/>
      <w14:textFill>
        <w14:solidFill>
          <w14:srgbClr w14:val="00A6A3">
            <w14:lumMod w14:val="75000"/>
          </w14:srgbClr>
        </w14:solidFill>
      </w14:textFill>
    </w:rPr>
  </w:style>
  <w:style w:type="paragraph" w:styleId="Titre3">
    <w:name w:val="heading 3"/>
    <w:basedOn w:val="Titre2"/>
    <w:next w:val="Normal"/>
    <w:link w:val="Titre3Car"/>
    <w:uiPriority w:val="9"/>
    <w:unhideWhenUsed/>
    <w:qFormat/>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pPr>
      <w:keepNext/>
      <w:keepLines/>
      <w:numPr>
        <w:ilvl w:val="3"/>
        <w:numId w:val="2"/>
      </w:numPr>
      <w:spacing w:before="40" w:after="0"/>
      <w:outlineLvl w:val="3"/>
    </w:pPr>
    <w:rPr>
      <w:rFonts w:ascii="Raleway" w:eastAsiaTheme="majorEastAsia" w:hAnsi="Raleway" w:cstheme="majorBidi"/>
      <w:i/>
      <w:iCs/>
      <w:color w:val="00A6A3"/>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qFormat/>
    <w:pPr>
      <w:spacing w:before="240" w:after="60"/>
      <w:outlineLvl w:val="5"/>
    </w:pPr>
    <w:rPr>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EndnoteTextChar">
    <w:name w:val="Endnote Text Char"/>
    <w:uiPriority w:val="99"/>
    <w:rPr>
      <w:sz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pPr>
      <w:spacing w:after="0"/>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link w:val="En-tteCar"/>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uiPriority w:val="39"/>
    <w:pPr>
      <w:tabs>
        <w:tab w:val="right" w:leader="dot" w:pos="9050"/>
      </w:tabs>
      <w:spacing w:before="0" w:after="0"/>
    </w:pPr>
    <w:rPr>
      <w:rFonts w:ascii="AvenirNext LT Pro LightCn" w:hAnsi="AvenirNext LT Pro LightCn"/>
      <w:b/>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link w:val="NotedebasdepageCar"/>
    <w:rPr>
      <w:sz w:val="20"/>
      <w:szCs w:val="20"/>
    </w:rPr>
  </w:style>
  <w:style w:type="character" w:styleId="Appelnotedebasdep">
    <w:name w:val="footnote reference"/>
    <w:rPr>
      <w:vertAlign w:val="superscript"/>
    </w:rPr>
  </w:style>
  <w:style w:type="paragraph" w:styleId="Corpsdetexte3">
    <w:name w:val="Body Text 3"/>
    <w:basedOn w:val="Normal"/>
    <w:rPr>
      <w:sz w:val="16"/>
      <w:szCs w:val="16"/>
    </w:rPr>
  </w:style>
  <w:style w:type="paragraph" w:styleId="TM3">
    <w:name w:val="toc 3"/>
    <w:basedOn w:val="Normal"/>
    <w:next w:val="Normal"/>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link w:val="CorpsdetexteCar"/>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pPr>
      <w:ind w:left="708"/>
    </w:pPr>
  </w:style>
  <w:style w:type="character" w:customStyle="1" w:styleId="Titre1Car">
    <w:name w:val="Titre 1 Car"/>
    <w:basedOn w:val="Policepardfaut"/>
    <w:link w:val="Titre1"/>
    <w:uiPriority w:val="9"/>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Pr>
      <w:rFonts w:ascii="Raleway" w:eastAsiaTheme="majorEastAsia" w:hAnsi="Raleway" w:cstheme="majorBidi"/>
      <w:color w:val="00A6A3"/>
      <w:sz w:val="26"/>
      <w:szCs w:val="26"/>
      <w:lang w:eastAsia="en-US"/>
      <w14:textFill>
        <w14:solidFill>
          <w14:srgbClr w14:val="00A6A3">
            <w14:lumMod w14:val="75000"/>
          </w14:srgbClr>
        </w14:solidFill>
      </w14:textFill>
    </w:rPr>
  </w:style>
  <w:style w:type="paragraph" w:styleId="Titre">
    <w:name w:val="Title"/>
    <w:basedOn w:val="Normal"/>
    <w:next w:val="Normal"/>
    <w:link w:val="TitreCar"/>
    <w:uiPriority w:val="10"/>
    <w:qFormat/>
    <w:pPr>
      <w:spacing w:after="0"/>
      <w:contextualSpacing/>
      <w:jc w:val="center"/>
    </w:pPr>
    <w:rPr>
      <w:rFonts w:ascii="Raleway" w:eastAsiaTheme="majorEastAsia" w:hAnsi="Raleway" w:cstheme="majorBidi"/>
      <w:b/>
      <w:spacing w:val="-10"/>
      <w:sz w:val="56"/>
      <w:szCs w:val="56"/>
    </w:rPr>
  </w:style>
  <w:style w:type="character" w:customStyle="1" w:styleId="TitreCar">
    <w:name w:val="Titre Car"/>
    <w:basedOn w:val="Policepardfaut"/>
    <w:link w:val="Titre"/>
    <w:uiPriority w:val="10"/>
    <w:rPr>
      <w:rFonts w:ascii="Raleway" w:eastAsiaTheme="majorEastAsia" w:hAnsi="Raleway" w:cstheme="majorBidi"/>
      <w:b/>
      <w:spacing w:val="-10"/>
      <w:sz w:val="56"/>
      <w:szCs w:val="56"/>
      <w:lang w:eastAsia="en-US"/>
    </w:rPr>
  </w:style>
  <w:style w:type="character" w:customStyle="1" w:styleId="Titre3Car">
    <w:name w:val="Titre 3 Car"/>
    <w:basedOn w:val="Policepardfaut"/>
    <w:link w:val="Titre3"/>
    <w:uiPriority w:val="9"/>
    <w:rPr>
      <w:rFonts w:ascii="AvenirNext LT Pro Cn" w:eastAsiaTheme="majorEastAsia" w:hAnsi="AvenirNext LT Pro Cn" w:cstheme="majorBidi"/>
      <w:color w:val="00A6A3"/>
      <w:sz w:val="24"/>
      <w:szCs w:val="24"/>
      <w:lang w:eastAsia="en-US"/>
      <w14:textFill>
        <w14:solidFill>
          <w14:srgbClr w14:val="00A6A3">
            <w14:lumMod w14:val="75000"/>
          </w14:srgbClr>
        </w14:solidFill>
      </w14:textFill>
    </w:rPr>
  </w:style>
  <w:style w:type="character" w:customStyle="1" w:styleId="Titre4Car">
    <w:name w:val="Titre 4 Car"/>
    <w:basedOn w:val="Policepardfaut"/>
    <w:link w:val="Titre4"/>
    <w:uiPriority w:val="9"/>
    <w:rPr>
      <w:rFonts w:ascii="Raleway" w:eastAsiaTheme="majorEastAsia" w:hAnsi="Raleway" w:cstheme="majorBidi"/>
      <w:i/>
      <w:iCs/>
      <w:color w:val="00A6A3"/>
      <w:sz w:val="22"/>
      <w:szCs w:val="22"/>
      <w:lang w:eastAsia="en-US"/>
    </w:rPr>
  </w:style>
  <w:style w:type="numbering" w:customStyle="1" w:styleId="ModleTitre">
    <w:name w:val="Modèle Titre"/>
    <w:uiPriority w:val="99"/>
    <w:pPr>
      <w:numPr>
        <w:numId w:val="2"/>
      </w:numPr>
    </w:pPr>
  </w:style>
  <w:style w:type="paragraph" w:styleId="TM1">
    <w:name w:val="toc 1"/>
    <w:basedOn w:val="Normal"/>
    <w:next w:val="Normal"/>
    <w:uiPriority w:val="39"/>
    <w:unhideWhenUsed/>
    <w:pPr>
      <w:spacing w:after="100"/>
    </w:pPr>
  </w:style>
  <w:style w:type="paragraph" w:customStyle="1" w:styleId="Default">
    <w:name w:val="Default"/>
    <w:rPr>
      <w:rFonts w:ascii="Garamond" w:hAnsi="Garamond" w:cs="Garamond"/>
      <w:color w:val="000000"/>
      <w:sz w:val="24"/>
      <w:szCs w:val="24"/>
    </w:rPr>
  </w:style>
  <w:style w:type="paragraph" w:customStyle="1" w:styleId="RedTxt">
    <w:name w:val="RedTxt"/>
    <w:basedOn w:val="Normal"/>
    <w:uiPriority w:val="99"/>
    <w:pPr>
      <w:spacing w:before="0" w:after="0"/>
      <w:jc w:val="left"/>
    </w:pPr>
    <w:rPr>
      <w:rFonts w:ascii="Arial" w:eastAsia="Times New Roman" w:hAnsi="Arial" w:cs="Times New Roman"/>
      <w:sz w:val="18"/>
      <w:szCs w:val="20"/>
      <w:lang w:eastAsia="fr-FR"/>
    </w:rPr>
  </w:style>
  <w:style w:type="paragraph" w:styleId="Retraitnormal">
    <w:name w:val="Normal Indent"/>
    <w:basedOn w:val="Normal"/>
    <w:uiPriority w:val="99"/>
    <w:pPr>
      <w:spacing w:before="0" w:after="0"/>
      <w:ind w:left="708"/>
      <w:jc w:val="left"/>
    </w:pPr>
    <w:rPr>
      <w:rFonts w:ascii="CG Times" w:eastAsia="Times New Roman" w:hAnsi="CG Times" w:cs="Times New Roman"/>
      <w:sz w:val="24"/>
      <w:szCs w:val="24"/>
      <w:lang w:eastAsia="fr-FR"/>
    </w:rPr>
  </w:style>
  <w:style w:type="paragraph" w:styleId="NormalWeb">
    <w:name w:val="Normal (Web)"/>
    <w:basedOn w:val="Normal"/>
    <w:uiPriority w:val="99"/>
    <w:pPr>
      <w:spacing w:before="100" w:beforeAutospacing="1" w:after="100" w:afterAutospacing="1"/>
      <w:jc w:val="left"/>
    </w:pPr>
    <w:rPr>
      <w:rFonts w:ascii="Times New Roman" w:eastAsia="MS Mincho" w:hAnsi="Times New Roman" w:cs="Times New Roman"/>
      <w:sz w:val="24"/>
      <w:szCs w:val="24"/>
      <w:lang w:eastAsia="ja-JP"/>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basedOn w:val="Policepardfaut"/>
    <w:link w:val="Pieddepage"/>
    <w:uiPriority w:val="99"/>
    <w:rPr>
      <w:rFonts w:ascii="AvenirNext LT Pro Cn" w:eastAsiaTheme="minorHAnsi" w:hAnsi="AvenirNext LT Pro Cn" w:cstheme="minorBidi"/>
      <w:sz w:val="22"/>
      <w:szCs w:val="22"/>
      <w:lang w:eastAsia="en-US"/>
    </w:rPr>
  </w:style>
  <w:style w:type="character" w:styleId="Textedelespacerserv">
    <w:name w:val="Placeholder Text"/>
    <w:basedOn w:val="Policepardfaut"/>
    <w:uiPriority w:val="99"/>
    <w:semiHidden/>
    <w:rPr>
      <w:color w:val="808080"/>
    </w:rPr>
  </w:style>
  <w:style w:type="character" w:customStyle="1" w:styleId="NotedebasdepageCar">
    <w:name w:val="Note de bas de page Car"/>
    <w:basedOn w:val="Policepardfaut"/>
    <w:link w:val="Notedebasdepage"/>
    <w:rPr>
      <w:rFonts w:ascii="AvenirNext LT Pro Cn" w:eastAsiaTheme="minorHAnsi" w:hAnsi="AvenirNext LT Pro Cn" w:cstheme="minorBidi"/>
      <w:lang w:eastAsia="en-US"/>
    </w:rPr>
  </w:style>
  <w:style w:type="paragraph" w:customStyle="1" w:styleId="Texte">
    <w:name w:val="Texte"/>
    <w:basedOn w:val="Normal"/>
    <w:link w:val="TexteCar"/>
    <w:qFormat/>
    <w:pPr>
      <w:spacing w:line="276" w:lineRule="auto"/>
    </w:pPr>
    <w:rPr>
      <w:rFonts w:ascii="Arial" w:eastAsia="Times New Roman" w:hAnsi="Arial" w:cs="Arial"/>
      <w:sz w:val="20"/>
      <w:szCs w:val="20"/>
      <w:lang w:eastAsia="fr-FR"/>
    </w:rPr>
  </w:style>
  <w:style w:type="character" w:customStyle="1" w:styleId="TexteCar">
    <w:name w:val="Texte Car"/>
    <w:basedOn w:val="Policepardfaut"/>
    <w:link w:val="Texte"/>
    <w:rPr>
      <w:rFonts w:ascii="Arial" w:hAnsi="Arial" w:cs="Arial"/>
    </w:rPr>
  </w:style>
  <w:style w:type="paragraph" w:customStyle="1" w:styleId="Normal1">
    <w:name w:val="Normal1"/>
    <w:basedOn w:val="Normal"/>
    <w:pPr>
      <w:keepLines/>
      <w:tabs>
        <w:tab w:val="left" w:pos="284"/>
        <w:tab w:val="left" w:pos="567"/>
        <w:tab w:val="left" w:pos="851"/>
        <w:tab w:val="left" w:pos="1134"/>
      </w:tabs>
      <w:spacing w:before="0" w:after="160" w:line="256" w:lineRule="auto"/>
      <w:ind w:firstLine="284"/>
    </w:pPr>
    <w:rPr>
      <w:rFonts w:ascii="Arial Narrow" w:eastAsiaTheme="minorEastAsia" w:hAnsi="Arial Narrow"/>
    </w:rPr>
  </w:style>
  <w:style w:type="character" w:customStyle="1" w:styleId="CorpsdetexteCar">
    <w:name w:val="Corps de texte Car"/>
    <w:basedOn w:val="Policepardfaut"/>
    <w:link w:val="Corpsdetexte"/>
    <w:rPr>
      <w:rFonts w:ascii="AvenirNext LT Pro Cn" w:eastAsiaTheme="minorHAnsi" w:hAnsi="AvenirNext LT Pro Cn" w:cstheme="minorBidi"/>
      <w:sz w:val="22"/>
      <w:szCs w:val="22"/>
      <w:lang w:eastAsia="en-US"/>
    </w:rPr>
  </w:style>
  <w:style w:type="character" w:customStyle="1" w:styleId="Mentionnonrsolue1">
    <w:name w:val="Mention non résolue1"/>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48175">
      <w:bodyDiv w:val="1"/>
      <w:marLeft w:val="0"/>
      <w:marRight w:val="0"/>
      <w:marTop w:val="0"/>
      <w:marBottom w:val="0"/>
      <w:divBdr>
        <w:top w:val="none" w:sz="0" w:space="0" w:color="auto"/>
        <w:left w:val="none" w:sz="0" w:space="0" w:color="auto"/>
        <w:bottom w:val="none" w:sz="0" w:space="0" w:color="auto"/>
        <w:right w:val="none" w:sz="0" w:space="0" w:color="auto"/>
      </w:divBdr>
    </w:div>
    <w:div w:id="112396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10.jpg"/><Relationship Id="rId18" Type="http://schemas.openxmlformats.org/officeDocument/2006/relationships/hyperlink" Target="https://chorus-pro.gouv.fr" TargetMode="External"/><Relationship Id="rId26"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yperlink" Target="https://chorus-pro.gouv.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conomie.gouv.fr/daj/formulaires-declaration-du-candidat" TargetMode="External"/><Relationship Id="rId1" Type="http://schemas.openxmlformats.org/officeDocument/2006/relationships/customXml" Target="../customXml/item1.xml"/><Relationship Id="rId6" Type="http://schemas.openxmlformats.org/officeDocument/2006/relationships/footnotes" Target="footnotes.xml"/><Relationship Id="rId24"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footer" Target="footer2.xml"/><Relationship Id="rId19" Type="http://schemas.openxmlformats.org/officeDocument/2006/relationships/image" Target="media/image2.png"/><Relationship Id="rId4" Type="http://schemas.openxmlformats.org/officeDocument/2006/relationships/settings" Target="settings.xml"/><Relationship Id="rId14" Type="http://schemas.openxmlformats.org/officeDocument/2006/relationships/footer" Target="footer1.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A23371DB6C482D92F912D6CFE9C145"/>
        <w:category>
          <w:name w:val="Général"/>
          <w:gallery w:val="placeholder"/>
        </w:category>
        <w:types>
          <w:type w:val="bbPlcHdr"/>
        </w:types>
        <w:behaviors>
          <w:behavior w:val="content"/>
        </w:behaviors>
        <w:guid w:val="{401DDD28-43CE-49BE-BC4A-898B9D8AAC84}"/>
      </w:docPartPr>
      <w:docPartBody>
        <w:p w:rsidR="00005266" w:rsidRDefault="00B43941">
          <w:pPr>
            <w:pStyle w:val="6DA23371DB6C482D92F912D6CFE9C1453"/>
          </w:pPr>
          <w:r>
            <w:rPr>
              <w:rStyle w:val="Textedelespacerserv"/>
              <w:shd w:val="clear" w:color="auto" w:fill="70AD47" w:themeFill="accent6"/>
            </w:rPr>
            <w:t>Choisissez un élément.</w:t>
          </w:r>
        </w:p>
      </w:docPartBody>
    </w:docPart>
    <w:docPart>
      <w:docPartPr>
        <w:name w:val="B93E46833A694335B9D56EEC1E5E6F3B"/>
        <w:category>
          <w:name w:val="Général"/>
          <w:gallery w:val="placeholder"/>
        </w:category>
        <w:types>
          <w:type w:val="bbPlcHdr"/>
        </w:types>
        <w:behaviors>
          <w:behavior w:val="content"/>
        </w:behaviors>
        <w:guid w:val="{9B292BBE-FD2D-46FE-8349-FF41C0CECD18}"/>
      </w:docPartPr>
      <w:docPartBody>
        <w:p w:rsidR="00005266" w:rsidRDefault="00B43941">
          <w:pPr>
            <w:pStyle w:val="B93E46833A694335B9D56EEC1E5E6F3B2"/>
          </w:pPr>
          <w:r>
            <w:rPr>
              <w:rStyle w:val="Textedelespacerserv"/>
              <w:shd w:val="clear" w:color="auto" w:fill="70AD47" w:themeFill="accent6"/>
            </w:rPr>
            <w:t>Choisissez un élément.</w:t>
          </w:r>
        </w:p>
      </w:docPartBody>
    </w:docPart>
    <w:docPart>
      <w:docPartPr>
        <w:name w:val="5DDACFDCF2544FF7B1A2C8D4C3930E2A"/>
        <w:category>
          <w:name w:val="Général"/>
          <w:gallery w:val="placeholder"/>
        </w:category>
        <w:types>
          <w:type w:val="bbPlcHdr"/>
        </w:types>
        <w:behaviors>
          <w:behavior w:val="content"/>
        </w:behaviors>
        <w:guid w:val="{A71214ED-55BF-4486-ACCB-FF222AED45E1}"/>
      </w:docPartPr>
      <w:docPartBody>
        <w:p w:rsidR="00005266" w:rsidRDefault="00B43941">
          <w:pPr>
            <w:pStyle w:val="5DDACFDCF2544FF7B1A2C8D4C3930E2A1"/>
          </w:pPr>
          <w:r>
            <w:rPr>
              <w:rStyle w:val="Textedelespacerserv"/>
              <w:shd w:val="clear" w:color="auto" w:fill="70AD47" w:themeFill="accent6"/>
            </w:rPr>
            <w:t>Choisissez un élément.</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D7AD3" w:rsidRDefault="00BD7AD3">
      <w:pPr>
        <w:spacing w:after="0" w:line="240" w:lineRule="auto"/>
      </w:pPr>
      <w:r>
        <w:separator/>
      </w:r>
    </w:p>
  </w:endnote>
  <w:endnote w:type="continuationSeparator" w:id="0">
    <w:p w:rsidR="00BD7AD3" w:rsidRDefault="00BD7AD3">
      <w:pPr>
        <w:spacing w:after="0"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venirNext LT Pro Cn">
    <w:panose1 w:val="020B0506020202020204"/>
    <w:charset w:val="00"/>
    <w:family w:val="swiss"/>
    <w:notTrueType/>
    <w:pitch w:val="variable"/>
    <w:sig w:usb0="800000AF" w:usb1="5000204A" w:usb2="00000000" w:usb3="00000000" w:csb0="00000093" w:csb1="00000000"/>
  </w:font>
  <w:font w:name="Raleway">
    <w:panose1 w:val="020B0503030101060003"/>
    <w:charset w:val="00"/>
    <w:family w:val="swiss"/>
    <w:pitch w:val="variable"/>
    <w:sig w:usb0="A00002FF" w:usb1="5000205B" w:usb2="00000000" w:usb3="00000000" w:csb0="00000097"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venirNext LT Pro LightCn">
    <w:panose1 w:val="020B0406020202020204"/>
    <w:charset w:val="00"/>
    <w:family w:val="swiss"/>
    <w:notTrueType/>
    <w:pitch w:val="variable"/>
    <w:sig w:usb0="800000AF" w:usb1="5000204A" w:usb2="00000000" w:usb3="00000000" w:csb0="00000093"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D7AD3" w:rsidRDefault="00BD7AD3">
      <w:pPr>
        <w:spacing w:after="0" w:line="240" w:lineRule="auto"/>
      </w:pPr>
      <w:r>
        <w:separator/>
      </w:r>
    </w:p>
  </w:footnote>
  <w:footnote w:type="continuationSeparator" w:id="0">
    <w:p w:rsidR="00BD7AD3" w:rsidRDefault="00BD7AD3">
      <w:pPr>
        <w:spacing w:after="0"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5266"/>
    <w:rsid w:val="00005266"/>
    <w:rsid w:val="00490686"/>
    <w:rsid w:val="00532D5D"/>
    <w:rsid w:val="00A01F85"/>
    <w:rsid w:val="00AF3643"/>
    <w:rsid w:val="00B43941"/>
    <w:rsid w:val="00BD7AD3"/>
    <w:rsid w:val="00C92080"/>
    <w:rsid w:val="00C96BAF"/>
    <w:rsid w:val="00E45AFF"/>
    <w:rsid w:val="00F93DE9"/>
    <w:rsid w:val="00FA7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Paragraphedeliste">
    <w:name w:val="List Paragraph"/>
    <w:basedOn w:val="Normal"/>
    <w:uiPriority w:val="34"/>
    <w:qFormat/>
    <w:pPr>
      <w:ind w:left="720"/>
      <w:contextualSpacing/>
    </w:p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spacing w:after="0" w:line="240" w:lineRule="auto"/>
    </w:pPr>
  </w:style>
  <w:style w:type="paragraph" w:styleId="Lgende">
    <w:name w:val="caption"/>
    <w:basedOn w:val="Normal"/>
    <w:next w:val="Normal"/>
    <w:uiPriority w:val="35"/>
    <w:semiHidden/>
    <w:unhideWhenUsed/>
    <w:qFormat/>
    <w:pPr>
      <w:spacing w:line="276" w:lineRule="auto"/>
    </w:pPr>
    <w:rPr>
      <w:b/>
      <w:bCs/>
      <w:color w:val="4472C4" w:themeColor="accent1"/>
      <w:sz w:val="18"/>
      <w:szCs w:val="18"/>
    </w:rPr>
  </w:style>
  <w:style w:type="character" w:customStyle="1" w:styleId="PieddepageCar">
    <w:name w:val="Pied de page Car"/>
    <w:link w:val="Pieddepage"/>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000000"/>
          <w:left w:val="none" w:sz="0" w:space="0" w:color="000000"/>
          <w:bottom w:val="single" w:sz="4" w:space="0" w:color="A0B7E1" w:themeColor="accent1" w:themeTint="80"/>
          <w:right w:val="none" w:sz="0"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000000"/>
          <w:left w:val="none" w:sz="0" w:space="0" w:color="000000"/>
          <w:bottom w:val="none" w:sz="0"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000000"/>
          <w:left w:val="single" w:sz="4" w:space="0" w:color="A0B7E1" w:themeColor="accent1" w:themeTint="80"/>
          <w:bottom w:val="none" w:sz="0" w:space="0" w:color="000000"/>
          <w:right w:val="none" w:sz="0"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000000"/>
          <w:left w:val="none" w:sz="0" w:space="0" w:color="000000"/>
          <w:bottom w:val="single" w:sz="4" w:space="0" w:color="A2C6E7" w:themeColor="accent5" w:themeTint="90"/>
          <w:right w:val="none" w:sz="0"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000000"/>
          <w:left w:val="none" w:sz="0" w:space="0" w:color="000000"/>
          <w:bottom w:val="none" w:sz="0"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000000"/>
          <w:left w:val="single" w:sz="4" w:space="0" w:color="A2C6E7" w:themeColor="accent5" w:themeTint="90"/>
          <w:bottom w:val="none" w:sz="0" w:space="0" w:color="000000"/>
          <w:right w:val="none" w:sz="0"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000000"/>
          <w:left w:val="none" w:sz="0" w:space="0" w:color="000000"/>
          <w:bottom w:val="single" w:sz="4" w:space="0" w:color="4472C4" w:themeColor="accent1"/>
          <w:right w:val="none" w:sz="0"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000000"/>
          <w:left w:val="none" w:sz="0" w:space="0" w:color="000000"/>
          <w:bottom w:val="none" w:sz="0"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000000"/>
          <w:left w:val="single" w:sz="4" w:space="0" w:color="4472C4" w:themeColor="accent1"/>
          <w:bottom w:val="none" w:sz="0" w:space="0" w:color="000000"/>
          <w:right w:val="none" w:sz="0"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000000"/>
          <w:left w:val="none" w:sz="0" w:space="0" w:color="000000"/>
          <w:bottom w:val="single" w:sz="4" w:space="0" w:color="9BC2E5" w:themeColor="accent5" w:themeTint="9A"/>
          <w:right w:val="none" w:sz="0"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000000"/>
          <w:left w:val="none" w:sz="0" w:space="0" w:color="000000"/>
          <w:bottom w:val="none" w:sz="0"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000000"/>
          <w:left w:val="single" w:sz="4" w:space="0" w:color="9BC2E5" w:themeColor="accent5" w:themeTint="9A"/>
          <w:bottom w:val="none" w:sz="0" w:space="0" w:color="000000"/>
          <w:right w:val="none" w:sz="0"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styleId="Textedelespacerserv">
    <w:name w:val="Placeholder Text"/>
    <w:basedOn w:val="Policepardfaut"/>
    <w:uiPriority w:val="99"/>
    <w:semiHidden/>
    <w:rPr>
      <w:color w:val="808080"/>
    </w:rPr>
  </w:style>
  <w:style w:type="paragraph" w:customStyle="1" w:styleId="6DA23371DB6C482D92F912D6CFE9C1453">
    <w:name w:val="6DA23371DB6C482D92F912D6CFE9C1453"/>
    <w:pPr>
      <w:spacing w:before="120" w:after="120" w:line="240" w:lineRule="auto"/>
      <w:ind w:left="708"/>
      <w:jc w:val="both"/>
    </w:pPr>
    <w:rPr>
      <w:rFonts w:ascii="AvenirNext LT Pro Cn" w:eastAsiaTheme="minorHAnsi" w:hAnsi="AvenirNext LT Pro Cn"/>
      <w:lang w:eastAsia="en-US"/>
    </w:rPr>
  </w:style>
  <w:style w:type="paragraph" w:customStyle="1" w:styleId="B93E46833A694335B9D56EEC1E5E6F3B2">
    <w:name w:val="B93E46833A694335B9D56EEC1E5E6F3B2"/>
    <w:pPr>
      <w:spacing w:before="120" w:after="120" w:line="240" w:lineRule="auto"/>
      <w:jc w:val="both"/>
    </w:pPr>
    <w:rPr>
      <w:rFonts w:ascii="AvenirNext LT Pro Cn" w:eastAsiaTheme="minorHAnsi" w:hAnsi="AvenirNext LT Pro Cn"/>
      <w:lang w:eastAsia="en-US"/>
    </w:rPr>
  </w:style>
  <w:style w:type="paragraph" w:customStyle="1" w:styleId="5DDACFDCF2544FF7B1A2C8D4C3930E2A1">
    <w:name w:val="5DDACFDCF2544FF7B1A2C8D4C3930E2A1"/>
    <w:pPr>
      <w:spacing w:before="120" w:after="120" w:line="240" w:lineRule="auto"/>
      <w:jc w:val="both"/>
    </w:pPr>
    <w:rPr>
      <w:rFonts w:ascii="AvenirNext LT Pro Cn" w:eastAsiaTheme="minorHAnsi" w:hAnsi="AvenirNext LT Pro C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58FE2AA-B7D0-4834-A849-655119B7C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21</Pages>
  <Words>6869</Words>
  <Characters>37785</Characters>
  <Application>Microsoft Office Word</Application>
  <DocSecurity>0</DocSecurity>
  <Lines>314</Lines>
  <Paragraphs>89</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44565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Alexandre Joannon</cp:lastModifiedBy>
  <cp:revision>6</cp:revision>
  <dcterms:created xsi:type="dcterms:W3CDTF">2025-03-21T13:03:00Z</dcterms:created>
  <dcterms:modified xsi:type="dcterms:W3CDTF">2025-05-21T14:30:00Z</dcterms:modified>
</cp:coreProperties>
</file>