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02A24" w14:textId="77777777" w:rsidR="004F560E" w:rsidRPr="00377F77" w:rsidRDefault="005E5B9F">
      <w:pPr>
        <w:pStyle w:val="Titre"/>
        <w:rPr>
          <w:lang w:val="fr-FR"/>
        </w:rPr>
      </w:pPr>
      <w:r w:rsidRPr="00377F77">
        <w:rPr>
          <w:lang w:val="fr-FR"/>
        </w:rPr>
        <w:t>Annexe 1 au CCTP</w:t>
      </w:r>
    </w:p>
    <w:p w14:paraId="420D7CB9" w14:textId="0249FE71" w:rsidR="004F560E" w:rsidRPr="00377F77" w:rsidRDefault="005E5B9F">
      <w:pPr>
        <w:spacing w:before="262"/>
        <w:ind w:left="806" w:right="804"/>
        <w:jc w:val="center"/>
        <w:rPr>
          <w:sz w:val="32"/>
          <w:lang w:val="fr-FR"/>
        </w:rPr>
      </w:pPr>
      <w:r w:rsidRPr="00377F77">
        <w:rPr>
          <w:sz w:val="32"/>
          <w:u w:val="thick"/>
          <w:lang w:val="fr-FR"/>
        </w:rPr>
        <w:t>Procédure de sélection de gérant(s) de fonds</w:t>
      </w:r>
    </w:p>
    <w:p w14:paraId="1A76904A" w14:textId="77777777" w:rsidR="004F560E" w:rsidRPr="00377F77" w:rsidRDefault="004F560E">
      <w:pPr>
        <w:pStyle w:val="Corpsdetexte"/>
        <w:ind w:left="0"/>
        <w:jc w:val="left"/>
        <w:rPr>
          <w:sz w:val="20"/>
          <w:lang w:val="fr-FR"/>
        </w:rPr>
      </w:pPr>
    </w:p>
    <w:p w14:paraId="518A1A82" w14:textId="77777777" w:rsidR="004F560E" w:rsidRPr="00377F77" w:rsidRDefault="004F560E">
      <w:pPr>
        <w:pStyle w:val="Corpsdetexte"/>
        <w:ind w:left="0"/>
        <w:jc w:val="left"/>
        <w:rPr>
          <w:sz w:val="20"/>
          <w:lang w:val="fr-FR"/>
        </w:rPr>
      </w:pPr>
    </w:p>
    <w:p w14:paraId="3A27CCD6" w14:textId="77777777" w:rsidR="004F560E" w:rsidRPr="00377F77" w:rsidRDefault="004F560E">
      <w:pPr>
        <w:pStyle w:val="Corpsdetexte"/>
        <w:spacing w:before="10"/>
        <w:ind w:left="0"/>
        <w:jc w:val="left"/>
        <w:rPr>
          <w:sz w:val="16"/>
          <w:lang w:val="fr-FR"/>
        </w:rPr>
      </w:pPr>
    </w:p>
    <w:p w14:paraId="23E9FEE4" w14:textId="55C181ED" w:rsidR="004F560E" w:rsidRPr="00377F77" w:rsidRDefault="005E5B9F">
      <w:pPr>
        <w:pStyle w:val="Corpsdetexte"/>
        <w:spacing w:before="94" w:line="276" w:lineRule="auto"/>
        <w:ind w:right="107"/>
        <w:rPr>
          <w:lang w:val="fr-FR"/>
        </w:rPr>
      </w:pPr>
      <w:r w:rsidRPr="00377F77">
        <w:rPr>
          <w:lang w:val="fr-FR"/>
        </w:rPr>
        <w:t>Le besoin de création d’un ou de plusieurs fonds dédié(s) est la conséquence de choix stratégiques en matière d’allocations. La Commission financière, face à un nouveau besoin de long terme, choisi</w:t>
      </w:r>
      <w:r w:rsidR="00377F77">
        <w:rPr>
          <w:lang w:val="fr-FR"/>
        </w:rPr>
        <w:t>t</w:t>
      </w:r>
      <w:r w:rsidRPr="00377F77">
        <w:rPr>
          <w:lang w:val="fr-FR"/>
        </w:rPr>
        <w:t xml:space="preserve"> de procéder à une sélection d‘un ou plusieurs gérant(s).</w:t>
      </w:r>
    </w:p>
    <w:p w14:paraId="62E43FCD" w14:textId="3C87C9DA" w:rsidR="004F560E" w:rsidRPr="00377F77" w:rsidRDefault="005E5B9F">
      <w:pPr>
        <w:pStyle w:val="Corpsdetexte"/>
        <w:spacing w:before="200" w:line="276" w:lineRule="auto"/>
        <w:ind w:right="106"/>
        <w:rPr>
          <w:lang w:val="fr-FR"/>
        </w:rPr>
      </w:pPr>
      <w:r w:rsidRPr="00377F77">
        <w:rPr>
          <w:lang w:val="fr-FR"/>
        </w:rPr>
        <w:t xml:space="preserve">Le conseil en charge de l’analyse technique de l’offre gérant, </w:t>
      </w:r>
      <w:r w:rsidR="00377F77">
        <w:rPr>
          <w:lang w:val="fr-FR"/>
        </w:rPr>
        <w:t>le Titulaire</w:t>
      </w:r>
      <w:r w:rsidRPr="00377F77">
        <w:rPr>
          <w:lang w:val="fr-FR"/>
        </w:rPr>
        <w:t xml:space="preserve"> du lot 2 du marché </w:t>
      </w:r>
      <w:r w:rsidR="00377F77">
        <w:rPr>
          <w:lang w:val="fr-FR"/>
        </w:rPr>
        <w:t>P2505</w:t>
      </w:r>
      <w:r w:rsidR="002A64B6" w:rsidRPr="00377F77">
        <w:rPr>
          <w:lang w:val="fr-FR"/>
        </w:rPr>
        <w:t>,</w:t>
      </w:r>
      <w:r w:rsidRPr="00377F77">
        <w:rPr>
          <w:lang w:val="fr-FR"/>
        </w:rPr>
        <w:t xml:space="preserve"> soumet </w:t>
      </w:r>
      <w:r w:rsidR="00377F77">
        <w:rPr>
          <w:lang w:val="fr-FR"/>
        </w:rPr>
        <w:t>à la GAP</w:t>
      </w:r>
      <w:r w:rsidRPr="00377F77">
        <w:rPr>
          <w:lang w:val="fr-FR"/>
        </w:rPr>
        <w:t xml:space="preserve"> une liste de sociétés de gestion aptes à répondre à ce besoin. Une fois validée par l</w:t>
      </w:r>
      <w:r w:rsidR="00377F77">
        <w:rPr>
          <w:lang w:val="fr-FR"/>
        </w:rPr>
        <w:t>a GAP</w:t>
      </w:r>
      <w:r w:rsidRPr="00377F77">
        <w:rPr>
          <w:lang w:val="fr-FR"/>
        </w:rPr>
        <w:t>, elle est ensuite communiquée pour information à la Commission.</w:t>
      </w:r>
    </w:p>
    <w:p w14:paraId="6970868B" w14:textId="77777777" w:rsidR="004F560E" w:rsidRPr="00377F77" w:rsidRDefault="004F560E">
      <w:pPr>
        <w:pStyle w:val="Corpsdetexte"/>
        <w:ind w:left="0"/>
        <w:jc w:val="left"/>
        <w:rPr>
          <w:sz w:val="24"/>
          <w:lang w:val="fr-FR"/>
        </w:rPr>
      </w:pPr>
    </w:p>
    <w:p w14:paraId="1CE671FE" w14:textId="77777777" w:rsidR="004F560E" w:rsidRPr="00377F77" w:rsidRDefault="004F560E">
      <w:pPr>
        <w:pStyle w:val="Corpsdetexte"/>
        <w:spacing w:before="10"/>
        <w:ind w:left="0"/>
        <w:jc w:val="left"/>
        <w:rPr>
          <w:sz w:val="35"/>
          <w:lang w:val="fr-FR"/>
        </w:rPr>
      </w:pPr>
    </w:p>
    <w:p w14:paraId="4FAFDB8A" w14:textId="77777777" w:rsidR="004F560E" w:rsidRPr="00377F77" w:rsidRDefault="005E5B9F">
      <w:pPr>
        <w:pStyle w:val="Titre1"/>
        <w:rPr>
          <w:u w:val="none"/>
          <w:lang w:val="fr-FR"/>
        </w:rPr>
      </w:pPr>
      <w:r w:rsidRPr="00377F77">
        <w:rPr>
          <w:u w:val="thick"/>
          <w:lang w:val="fr-FR"/>
        </w:rPr>
        <w:t>Travaux préliminaires</w:t>
      </w:r>
    </w:p>
    <w:p w14:paraId="288614CD" w14:textId="77777777" w:rsidR="004F560E" w:rsidRPr="00377F77" w:rsidRDefault="004F560E">
      <w:pPr>
        <w:pStyle w:val="Corpsdetexte"/>
        <w:spacing w:before="9"/>
        <w:ind w:left="0"/>
        <w:jc w:val="left"/>
        <w:rPr>
          <w:b/>
          <w:sz w:val="12"/>
          <w:lang w:val="fr-FR"/>
        </w:rPr>
      </w:pPr>
    </w:p>
    <w:p w14:paraId="1567667E" w14:textId="093025EF" w:rsidR="00377F77" w:rsidRDefault="005E5B9F" w:rsidP="00377F77">
      <w:pPr>
        <w:pStyle w:val="Corpsdetexte"/>
        <w:spacing w:before="94" w:line="276" w:lineRule="auto"/>
        <w:ind w:right="106"/>
        <w:rPr>
          <w:lang w:val="fr-FR"/>
        </w:rPr>
      </w:pPr>
      <w:r w:rsidRPr="00377F77">
        <w:rPr>
          <w:lang w:val="fr-FR"/>
        </w:rPr>
        <w:t>Un cahier des charges de la gestion recherchée est établi par l</w:t>
      </w:r>
      <w:r w:rsidR="00377F77">
        <w:rPr>
          <w:lang w:val="fr-FR"/>
        </w:rPr>
        <w:t xml:space="preserve">a GAP </w:t>
      </w:r>
      <w:r w:rsidRPr="00377F77">
        <w:rPr>
          <w:lang w:val="fr-FR"/>
        </w:rPr>
        <w:t>avec l’aide d</w:t>
      </w:r>
      <w:r w:rsidR="00377F77">
        <w:rPr>
          <w:lang w:val="fr-FR"/>
        </w:rPr>
        <w:t>u Titulaire</w:t>
      </w:r>
      <w:r w:rsidRPr="00377F77">
        <w:rPr>
          <w:lang w:val="fr-FR"/>
        </w:rPr>
        <w:t xml:space="preserve">. Ce cahier intègre, notamment, l’obligation d’utiliser l’agent valorisateur </w:t>
      </w:r>
      <w:r w:rsidR="00377F77">
        <w:rPr>
          <w:lang w:val="fr-FR"/>
        </w:rPr>
        <w:t>et le dépositaire désignés par la GAP</w:t>
      </w:r>
      <w:r w:rsidRPr="00377F77">
        <w:rPr>
          <w:lang w:val="fr-FR"/>
        </w:rPr>
        <w:t xml:space="preserve">, ainsi que </w:t>
      </w:r>
      <w:r w:rsidR="00377F77">
        <w:rPr>
          <w:lang w:val="fr-FR"/>
        </w:rPr>
        <w:t>d</w:t>
      </w:r>
      <w:r w:rsidRPr="00377F77">
        <w:rPr>
          <w:lang w:val="fr-FR"/>
        </w:rPr>
        <w:t>es pondérations retenues sur les différents critères de notation</w:t>
      </w:r>
      <w:r w:rsidRPr="00377F77">
        <w:rPr>
          <w:spacing w:val="-14"/>
          <w:lang w:val="fr-FR"/>
        </w:rPr>
        <w:t xml:space="preserve"> </w:t>
      </w:r>
      <w:r w:rsidRPr="00377F77">
        <w:rPr>
          <w:lang w:val="fr-FR"/>
        </w:rPr>
        <w:t>utilisés.</w:t>
      </w:r>
    </w:p>
    <w:p w14:paraId="28DF6C8D" w14:textId="43EF84E8" w:rsidR="004F560E" w:rsidRPr="00377F77" w:rsidRDefault="005E5B9F" w:rsidP="00377F77">
      <w:pPr>
        <w:pStyle w:val="Corpsdetexte"/>
        <w:spacing w:before="94" w:line="276" w:lineRule="auto"/>
        <w:ind w:right="106"/>
        <w:rPr>
          <w:lang w:val="fr-FR"/>
        </w:rPr>
      </w:pPr>
      <w:r w:rsidRPr="00377F77">
        <w:rPr>
          <w:lang w:val="fr-FR"/>
        </w:rPr>
        <w:t>Un calendrier d’exécution est alors arrêté.</w:t>
      </w:r>
    </w:p>
    <w:p w14:paraId="1C72D949" w14:textId="77777777" w:rsidR="004F560E" w:rsidRPr="00377F77" w:rsidRDefault="004F560E">
      <w:pPr>
        <w:pStyle w:val="Corpsdetexte"/>
        <w:ind w:left="0"/>
        <w:jc w:val="left"/>
        <w:rPr>
          <w:sz w:val="24"/>
          <w:lang w:val="fr-FR"/>
        </w:rPr>
      </w:pPr>
    </w:p>
    <w:p w14:paraId="7D06813C" w14:textId="77777777" w:rsidR="004F560E" w:rsidRPr="00377F77" w:rsidRDefault="005E5B9F">
      <w:pPr>
        <w:pStyle w:val="Titre1"/>
        <w:spacing w:before="175"/>
        <w:rPr>
          <w:u w:val="none"/>
          <w:lang w:val="fr-FR"/>
        </w:rPr>
      </w:pPr>
      <w:r w:rsidRPr="00377F77">
        <w:rPr>
          <w:u w:val="thick"/>
          <w:lang w:val="fr-FR"/>
        </w:rPr>
        <w:t>Déroulement de la consultation</w:t>
      </w:r>
    </w:p>
    <w:p w14:paraId="7D98D214" w14:textId="77777777" w:rsidR="004F560E" w:rsidRPr="00377F77" w:rsidRDefault="004F560E">
      <w:pPr>
        <w:pStyle w:val="Corpsdetexte"/>
        <w:spacing w:before="9"/>
        <w:ind w:left="0"/>
        <w:jc w:val="left"/>
        <w:rPr>
          <w:b/>
          <w:sz w:val="20"/>
          <w:lang w:val="fr-FR"/>
        </w:rPr>
      </w:pPr>
    </w:p>
    <w:p w14:paraId="6AC0500F" w14:textId="55AC21B7" w:rsidR="004F560E" w:rsidRPr="00377F77" w:rsidRDefault="005E5B9F">
      <w:pPr>
        <w:pStyle w:val="Corpsdetexte"/>
        <w:spacing w:line="276" w:lineRule="auto"/>
        <w:ind w:right="108"/>
        <w:rPr>
          <w:lang w:val="fr-FR"/>
        </w:rPr>
      </w:pPr>
      <w:r w:rsidRPr="00377F77">
        <w:rPr>
          <w:lang w:val="fr-FR"/>
        </w:rPr>
        <w:t xml:space="preserve">Les sociétés de gestions répondent ou non à cette sollicitation. Des désistements peuvent conduire à solliciter de nouveaux candidats potentiels. </w:t>
      </w:r>
      <w:r w:rsidR="00377F77">
        <w:rPr>
          <w:lang w:val="fr-FR"/>
        </w:rPr>
        <w:t>Une</w:t>
      </w:r>
      <w:r w:rsidRPr="00377F77">
        <w:rPr>
          <w:lang w:val="fr-FR"/>
        </w:rPr>
        <w:t xml:space="preserve"> liste des candidats actualisée est à nouveau présentée pour information à la Commission financière.</w:t>
      </w:r>
    </w:p>
    <w:p w14:paraId="6ECC46F5" w14:textId="70C36D26" w:rsidR="004F560E" w:rsidRPr="00377F77" w:rsidRDefault="005E5B9F">
      <w:pPr>
        <w:pStyle w:val="Corpsdetexte"/>
        <w:spacing w:before="200" w:line="276" w:lineRule="auto"/>
        <w:ind w:right="107"/>
        <w:rPr>
          <w:lang w:val="fr-FR"/>
        </w:rPr>
      </w:pPr>
      <w:r w:rsidRPr="00377F77">
        <w:rPr>
          <w:lang w:val="fr-FR"/>
        </w:rPr>
        <w:t xml:space="preserve">La période de questions/réponses </w:t>
      </w:r>
      <w:r w:rsidR="00377F77">
        <w:rPr>
          <w:lang w:val="fr-FR"/>
        </w:rPr>
        <w:t>répond</w:t>
      </w:r>
      <w:r w:rsidRPr="00377F77">
        <w:rPr>
          <w:lang w:val="fr-FR"/>
        </w:rPr>
        <w:t xml:space="preserve"> au format des marchés publics. Ainsi, l’ensemble des questions</w:t>
      </w:r>
      <w:r w:rsidR="00377F77">
        <w:rPr>
          <w:lang w:val="fr-FR"/>
        </w:rPr>
        <w:t xml:space="preserve"> des sociétés</w:t>
      </w:r>
      <w:r w:rsidRPr="00377F77">
        <w:rPr>
          <w:lang w:val="fr-FR"/>
        </w:rPr>
        <w:t xml:space="preserve">, reçu par la société de Conseil et </w:t>
      </w:r>
      <w:r w:rsidR="00377F77">
        <w:rPr>
          <w:lang w:val="fr-FR"/>
        </w:rPr>
        <w:t>la GAP</w:t>
      </w:r>
      <w:r w:rsidRPr="00377F77">
        <w:rPr>
          <w:lang w:val="fr-FR"/>
        </w:rPr>
        <w:t>, est anonymisé et fait l‘objet de réponses adressées à l’ensemble des candidats.</w:t>
      </w:r>
    </w:p>
    <w:p w14:paraId="2DCB1A58" w14:textId="77777777" w:rsidR="004F560E" w:rsidRPr="00377F77" w:rsidRDefault="005E5B9F">
      <w:pPr>
        <w:pStyle w:val="Corpsdetexte"/>
        <w:spacing w:before="202" w:line="276" w:lineRule="auto"/>
        <w:ind w:right="109"/>
        <w:rPr>
          <w:lang w:val="fr-FR"/>
        </w:rPr>
      </w:pPr>
      <w:r w:rsidRPr="00377F77">
        <w:rPr>
          <w:lang w:val="fr-FR"/>
        </w:rPr>
        <w:t xml:space="preserve">Les sociétés de gestion adressent leur dossier de réponse technique simultanément au Conseil et </w:t>
      </w:r>
      <w:r w:rsidR="00690296" w:rsidRPr="00377F77">
        <w:rPr>
          <w:lang w:val="fr-FR"/>
        </w:rPr>
        <w:t>à l’ACOSS</w:t>
      </w:r>
      <w:r w:rsidRPr="00377F77">
        <w:rPr>
          <w:lang w:val="fr-FR"/>
        </w:rPr>
        <w:t>.</w:t>
      </w:r>
    </w:p>
    <w:p w14:paraId="63BE66D3" w14:textId="35E40EF5" w:rsidR="004F560E" w:rsidRPr="00377F77" w:rsidRDefault="005E5B9F">
      <w:pPr>
        <w:pStyle w:val="Corpsdetexte"/>
        <w:spacing w:before="198" w:line="278" w:lineRule="auto"/>
        <w:ind w:right="107"/>
        <w:rPr>
          <w:lang w:val="fr-FR"/>
        </w:rPr>
      </w:pPr>
      <w:r w:rsidRPr="00377F77">
        <w:rPr>
          <w:lang w:val="fr-FR"/>
        </w:rPr>
        <w:t>L’offre tarifaire</w:t>
      </w:r>
      <w:r w:rsidR="00377F77">
        <w:rPr>
          <w:lang w:val="fr-FR"/>
        </w:rPr>
        <w:t xml:space="preserve"> </w:t>
      </w:r>
      <w:r w:rsidRPr="00377F77">
        <w:rPr>
          <w:lang w:val="fr-FR"/>
        </w:rPr>
        <w:t xml:space="preserve">fait l’objet d’un envoi distinct adressé </w:t>
      </w:r>
      <w:r w:rsidR="00377F77" w:rsidRPr="00377F77">
        <w:rPr>
          <w:b/>
          <w:lang w:val="fr-FR"/>
        </w:rPr>
        <w:t>exclusivement</w:t>
      </w:r>
      <w:r w:rsidR="00377F77">
        <w:rPr>
          <w:b/>
          <w:lang w:val="fr-FR"/>
        </w:rPr>
        <w:t>,</w:t>
      </w:r>
      <w:r w:rsidR="00377F77" w:rsidRPr="00377F77">
        <w:rPr>
          <w:lang w:val="fr-FR"/>
        </w:rPr>
        <w:t xml:space="preserve"> </w:t>
      </w:r>
      <w:r w:rsidRPr="00377F77">
        <w:rPr>
          <w:lang w:val="fr-FR"/>
        </w:rPr>
        <w:t xml:space="preserve">sous </w:t>
      </w:r>
      <w:r w:rsidR="002A64B6" w:rsidRPr="00377F77">
        <w:rPr>
          <w:lang w:val="fr-FR"/>
        </w:rPr>
        <w:t>pli</w:t>
      </w:r>
      <w:r w:rsidR="00377F77">
        <w:rPr>
          <w:lang w:val="fr-FR"/>
        </w:rPr>
        <w:t>,</w:t>
      </w:r>
      <w:r w:rsidRPr="00377F77">
        <w:rPr>
          <w:lang w:val="fr-FR"/>
        </w:rPr>
        <w:t xml:space="preserve"> au contrôleur financier</w:t>
      </w:r>
      <w:r w:rsidR="00316C4D" w:rsidRPr="00377F77">
        <w:rPr>
          <w:lang w:val="fr-FR"/>
        </w:rPr>
        <w:t xml:space="preserve"> des réserves du CPSTI</w:t>
      </w:r>
      <w:r w:rsidRPr="00377F77">
        <w:rPr>
          <w:lang w:val="fr-FR"/>
        </w:rPr>
        <w:t>.</w:t>
      </w:r>
    </w:p>
    <w:p w14:paraId="1A7BAA16" w14:textId="41BC0967" w:rsidR="004F560E" w:rsidRPr="00377F77" w:rsidRDefault="005E5B9F">
      <w:pPr>
        <w:pStyle w:val="Corpsdetexte"/>
        <w:spacing w:before="195" w:line="276" w:lineRule="auto"/>
        <w:ind w:right="106"/>
        <w:rPr>
          <w:lang w:val="fr-FR"/>
        </w:rPr>
      </w:pPr>
      <w:r w:rsidRPr="00377F77">
        <w:rPr>
          <w:lang w:val="fr-FR"/>
        </w:rPr>
        <w:t xml:space="preserve">Les dossiers de réponse technique sont dépouillés et analysés par le Conseil. </w:t>
      </w:r>
      <w:r w:rsidR="00377F77">
        <w:rPr>
          <w:lang w:val="fr-FR"/>
        </w:rPr>
        <w:t>Une analyse est ensuite adressée à la GAP préalablement à une réunion d’harmonisation des réponses techniques.</w:t>
      </w:r>
    </w:p>
    <w:p w14:paraId="1538C405" w14:textId="77777777" w:rsidR="004F560E" w:rsidRPr="00377F77" w:rsidRDefault="004F560E">
      <w:pPr>
        <w:spacing w:line="276" w:lineRule="auto"/>
        <w:rPr>
          <w:lang w:val="fr-FR"/>
        </w:rPr>
        <w:sectPr w:rsidR="004F560E" w:rsidRPr="00377F77">
          <w:type w:val="continuous"/>
          <w:pgSz w:w="11900" w:h="16840"/>
          <w:pgMar w:top="1340" w:right="1300" w:bottom="280" w:left="1300" w:header="720" w:footer="720" w:gutter="0"/>
          <w:cols w:space="720"/>
        </w:sectPr>
      </w:pPr>
    </w:p>
    <w:p w14:paraId="3DC4A5DE" w14:textId="77777777" w:rsidR="004F560E" w:rsidRPr="00377F77" w:rsidRDefault="005E5B9F">
      <w:pPr>
        <w:pStyle w:val="Titre1"/>
        <w:spacing w:before="71"/>
        <w:jc w:val="left"/>
        <w:rPr>
          <w:u w:val="none"/>
          <w:lang w:val="fr-FR"/>
        </w:rPr>
      </w:pPr>
      <w:r w:rsidRPr="00377F77">
        <w:rPr>
          <w:u w:val="thick"/>
          <w:lang w:val="fr-FR"/>
        </w:rPr>
        <w:lastRenderedPageBreak/>
        <w:t>Sélection finale du/des gérants</w:t>
      </w:r>
    </w:p>
    <w:p w14:paraId="3C1C1C60" w14:textId="77777777" w:rsidR="004F560E" w:rsidRPr="00377F77" w:rsidRDefault="004F560E">
      <w:pPr>
        <w:pStyle w:val="Corpsdetexte"/>
        <w:spacing w:before="10"/>
        <w:ind w:left="0"/>
        <w:jc w:val="left"/>
        <w:rPr>
          <w:b/>
          <w:sz w:val="12"/>
          <w:lang w:val="fr-FR"/>
        </w:rPr>
      </w:pPr>
    </w:p>
    <w:p w14:paraId="1D7969D7" w14:textId="3E37B74C" w:rsidR="004F560E" w:rsidRPr="00377F77" w:rsidRDefault="005E5B9F">
      <w:pPr>
        <w:pStyle w:val="Corpsdetexte"/>
        <w:spacing w:before="93" w:line="276" w:lineRule="auto"/>
        <w:ind w:right="106"/>
        <w:rPr>
          <w:lang w:val="fr-FR"/>
        </w:rPr>
      </w:pPr>
      <w:r w:rsidRPr="00377F77">
        <w:rPr>
          <w:lang w:val="fr-FR"/>
        </w:rPr>
        <w:t>Une présentation orale est ensuite organisée à l’attention de la Commission.</w:t>
      </w:r>
    </w:p>
    <w:p w14:paraId="55DE2436" w14:textId="5F46E3F5" w:rsidR="004F560E" w:rsidRPr="00377F77" w:rsidRDefault="005E5B9F">
      <w:pPr>
        <w:pStyle w:val="Corpsdetexte"/>
        <w:spacing w:before="201" w:line="276" w:lineRule="auto"/>
        <w:ind w:right="109"/>
        <w:rPr>
          <w:lang w:val="fr-FR"/>
        </w:rPr>
      </w:pPr>
      <w:r w:rsidRPr="00377F77">
        <w:rPr>
          <w:lang w:val="fr-FR"/>
        </w:rPr>
        <w:t xml:space="preserve">A </w:t>
      </w:r>
      <w:r w:rsidR="00377F77">
        <w:rPr>
          <w:lang w:val="fr-FR"/>
        </w:rPr>
        <w:t xml:space="preserve">cette </w:t>
      </w:r>
      <w:r w:rsidRPr="00377F77">
        <w:rPr>
          <w:lang w:val="fr-FR"/>
        </w:rPr>
        <w:t>occasion, le</w:t>
      </w:r>
      <w:r w:rsidR="00377F77">
        <w:rPr>
          <w:lang w:val="fr-FR"/>
        </w:rPr>
        <w:t xml:space="preserve"> Titulaire </w:t>
      </w:r>
      <w:r w:rsidRPr="00377F77">
        <w:rPr>
          <w:lang w:val="fr-FR"/>
        </w:rPr>
        <w:t xml:space="preserve">présente la méthodologie d’analyse employée et les résultats obtenus. </w:t>
      </w:r>
      <w:r w:rsidR="00377F77">
        <w:rPr>
          <w:lang w:val="fr-FR"/>
        </w:rPr>
        <w:t xml:space="preserve">Le Titulaire </w:t>
      </w:r>
      <w:r w:rsidRPr="00377F77">
        <w:rPr>
          <w:lang w:val="fr-FR"/>
        </w:rPr>
        <w:t>n’assiste pas aux présentations orales des candidats</w:t>
      </w:r>
      <w:r w:rsidRPr="00377F77">
        <w:rPr>
          <w:spacing w:val="-3"/>
          <w:lang w:val="fr-FR"/>
        </w:rPr>
        <w:t xml:space="preserve"> </w:t>
      </w:r>
      <w:r w:rsidRPr="00377F77">
        <w:rPr>
          <w:lang w:val="fr-FR"/>
        </w:rPr>
        <w:t>retenus.</w:t>
      </w:r>
    </w:p>
    <w:p w14:paraId="462013EB" w14:textId="77777777" w:rsidR="004F560E" w:rsidRPr="00377F77" w:rsidRDefault="005E5B9F">
      <w:pPr>
        <w:pStyle w:val="Corpsdetexte"/>
        <w:spacing w:before="199"/>
        <w:rPr>
          <w:lang w:val="fr-FR"/>
        </w:rPr>
      </w:pPr>
      <w:r w:rsidRPr="00377F77">
        <w:rPr>
          <w:lang w:val="fr-FR"/>
        </w:rPr>
        <w:t>Les candidats retenus présentent chacun leur offre.</w:t>
      </w:r>
    </w:p>
    <w:p w14:paraId="57A8F237" w14:textId="77777777" w:rsidR="004F560E" w:rsidRPr="00377F77" w:rsidRDefault="004F560E">
      <w:pPr>
        <w:pStyle w:val="Corpsdetexte"/>
        <w:spacing w:before="9"/>
        <w:ind w:left="0"/>
        <w:jc w:val="left"/>
        <w:rPr>
          <w:sz w:val="20"/>
          <w:lang w:val="fr-FR"/>
        </w:rPr>
      </w:pPr>
    </w:p>
    <w:p w14:paraId="07610BA4" w14:textId="12B3FC89" w:rsidR="004F560E" w:rsidRPr="00377F77" w:rsidRDefault="005E5B9F">
      <w:pPr>
        <w:pStyle w:val="Corpsdetexte"/>
        <w:spacing w:line="276" w:lineRule="auto"/>
        <w:ind w:right="109"/>
        <w:rPr>
          <w:lang w:val="fr-FR"/>
        </w:rPr>
      </w:pPr>
      <w:r w:rsidRPr="00377F77">
        <w:rPr>
          <w:lang w:val="fr-FR"/>
        </w:rPr>
        <w:t xml:space="preserve">Les participants de chaque présentation n’assistent pas aux oraux </w:t>
      </w:r>
      <w:r w:rsidR="00011198">
        <w:rPr>
          <w:lang w:val="fr-FR"/>
        </w:rPr>
        <w:t xml:space="preserve">des autres sociétés </w:t>
      </w:r>
      <w:r w:rsidRPr="00377F77">
        <w:rPr>
          <w:lang w:val="fr-FR"/>
        </w:rPr>
        <w:t xml:space="preserve">ni aux délibérations des </w:t>
      </w:r>
      <w:r w:rsidR="00690296" w:rsidRPr="00377F77">
        <w:rPr>
          <w:lang w:val="fr-FR"/>
        </w:rPr>
        <w:t>conseillers</w:t>
      </w:r>
      <w:r w:rsidRPr="00377F77">
        <w:rPr>
          <w:lang w:val="fr-FR"/>
        </w:rPr>
        <w:t>.</w:t>
      </w:r>
    </w:p>
    <w:p w14:paraId="31083605" w14:textId="77777777" w:rsidR="004F560E" w:rsidRPr="00377F77" w:rsidRDefault="004F560E">
      <w:pPr>
        <w:pStyle w:val="Corpsdetexte"/>
        <w:ind w:left="0"/>
        <w:jc w:val="left"/>
        <w:rPr>
          <w:sz w:val="24"/>
          <w:lang w:val="fr-FR"/>
        </w:rPr>
      </w:pPr>
    </w:p>
    <w:p w14:paraId="4CA15F43" w14:textId="77777777" w:rsidR="004F560E" w:rsidRPr="00377F77" w:rsidRDefault="005E5B9F">
      <w:pPr>
        <w:pStyle w:val="Corpsdetexte"/>
        <w:spacing w:before="139" w:line="276" w:lineRule="auto"/>
        <w:ind w:right="109"/>
        <w:rPr>
          <w:lang w:val="fr-FR"/>
        </w:rPr>
      </w:pPr>
      <w:r w:rsidRPr="00377F77">
        <w:rPr>
          <w:lang w:val="fr-FR"/>
        </w:rPr>
        <w:t xml:space="preserve">A l’issue de cette commission, les </w:t>
      </w:r>
      <w:r w:rsidR="00690296" w:rsidRPr="00377F77">
        <w:rPr>
          <w:lang w:val="fr-FR"/>
        </w:rPr>
        <w:t>conseillers</w:t>
      </w:r>
      <w:r w:rsidRPr="00377F77">
        <w:rPr>
          <w:lang w:val="fr-FR"/>
        </w:rPr>
        <w:t xml:space="preserve"> choisissent le ou les candidats correspondant au besoin d’allocation.</w:t>
      </w:r>
    </w:p>
    <w:sectPr w:rsidR="004F560E" w:rsidRPr="00377F77">
      <w:pgSz w:w="11900" w:h="16840"/>
      <w:pgMar w:top="134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1B115" w14:textId="77777777" w:rsidR="000B1D2D" w:rsidRDefault="000B1D2D" w:rsidP="002A64B6">
      <w:r>
        <w:separator/>
      </w:r>
    </w:p>
  </w:endnote>
  <w:endnote w:type="continuationSeparator" w:id="0">
    <w:p w14:paraId="286455D1" w14:textId="77777777" w:rsidR="000B1D2D" w:rsidRDefault="000B1D2D" w:rsidP="002A6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07E7B" w14:textId="77777777" w:rsidR="000B1D2D" w:rsidRDefault="000B1D2D" w:rsidP="002A64B6">
      <w:r>
        <w:separator/>
      </w:r>
    </w:p>
  </w:footnote>
  <w:footnote w:type="continuationSeparator" w:id="0">
    <w:p w14:paraId="7B7F29FC" w14:textId="77777777" w:rsidR="000B1D2D" w:rsidRDefault="000B1D2D" w:rsidP="002A6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60E"/>
    <w:rsid w:val="00011198"/>
    <w:rsid w:val="000B1D2D"/>
    <w:rsid w:val="00123603"/>
    <w:rsid w:val="002A64B6"/>
    <w:rsid w:val="00316C4D"/>
    <w:rsid w:val="00377F77"/>
    <w:rsid w:val="004F560E"/>
    <w:rsid w:val="005E5B9F"/>
    <w:rsid w:val="006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622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Titre1">
    <w:name w:val="heading 1"/>
    <w:basedOn w:val="Normal"/>
    <w:uiPriority w:val="9"/>
    <w:qFormat/>
    <w:pPr>
      <w:spacing w:before="1"/>
      <w:ind w:left="115"/>
      <w:jc w:val="both"/>
      <w:outlineLvl w:val="0"/>
    </w:pPr>
    <w:rPr>
      <w:b/>
      <w:bCs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15"/>
      <w:jc w:val="both"/>
    </w:pPr>
  </w:style>
  <w:style w:type="paragraph" w:styleId="Titre">
    <w:name w:val="Title"/>
    <w:basedOn w:val="Normal"/>
    <w:uiPriority w:val="10"/>
    <w:qFormat/>
    <w:pPr>
      <w:spacing w:before="72"/>
      <w:ind w:left="806" w:right="800"/>
      <w:jc w:val="center"/>
    </w:pPr>
    <w:rPr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2A64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A64B6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2A64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64B6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2025-03-31T15:31:00Z</dcterms:created>
  <dcterms:modified xsi:type="dcterms:W3CDTF">2025-03-31T15:31:00Z</dcterms:modified>
</cp:coreProperties>
</file>