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A7B58" w14:textId="54D24144" w:rsidR="000103C7" w:rsidRPr="00CD3B98" w:rsidRDefault="000103C7" w:rsidP="000103C7">
      <w:pPr>
        <w:jc w:val="center"/>
        <w:rPr>
          <w:rFonts w:asciiTheme="majorHAnsi" w:eastAsia="Times New Roman" w:hAnsiTheme="majorHAnsi" w:cstheme="majorHAnsi"/>
          <w:b/>
          <w:sz w:val="28"/>
          <w:lang w:eastAsia="fr-FR"/>
        </w:rPr>
      </w:pPr>
      <w:r w:rsidRPr="00CD3B98">
        <w:rPr>
          <w:rFonts w:asciiTheme="majorHAnsi" w:eastAsia="Times New Roman" w:hAnsiTheme="majorHAnsi" w:cstheme="majorHAnsi"/>
          <w:b/>
          <w:noProof/>
          <w:sz w:val="28"/>
          <w:lang w:eastAsia="fr-FR"/>
        </w:rPr>
        <w:t>MARCHES PUBLICS DE FOURNITURES COURANTES ET SERVICES</w:t>
      </w:r>
    </w:p>
    <w:p w14:paraId="068ABFC8" w14:textId="77777777" w:rsidR="000103C7" w:rsidRPr="00CD3B98" w:rsidRDefault="000103C7" w:rsidP="000103C7">
      <w:pPr>
        <w:rPr>
          <w:rFonts w:asciiTheme="majorHAnsi" w:eastAsia="Times New Roman" w:hAnsiTheme="majorHAnsi" w:cstheme="majorHAnsi"/>
          <w:lang w:eastAsia="fr-FR"/>
        </w:rPr>
      </w:pPr>
    </w:p>
    <w:p w14:paraId="13EC02D9" w14:textId="77777777" w:rsidR="000103C7" w:rsidRPr="00CD3B98" w:rsidRDefault="000103C7" w:rsidP="000103C7">
      <w:pPr>
        <w:rPr>
          <w:rFonts w:asciiTheme="majorHAnsi" w:eastAsia="Times New Roman" w:hAnsiTheme="majorHAnsi" w:cstheme="majorHAnsi"/>
          <w:lang w:eastAsia="fr-FR"/>
        </w:rPr>
      </w:pPr>
    </w:p>
    <w:p w14:paraId="6035F23B" w14:textId="77777777" w:rsidR="000103C7" w:rsidRPr="00CD3B98" w:rsidRDefault="000103C7" w:rsidP="000103C7">
      <w:pPr>
        <w:rPr>
          <w:rFonts w:asciiTheme="majorHAnsi" w:eastAsia="Times New Roman" w:hAnsiTheme="majorHAnsi" w:cstheme="majorHAnsi"/>
          <w:lang w:eastAsia="fr-FR"/>
        </w:rPr>
      </w:pPr>
    </w:p>
    <w:p w14:paraId="109AB281" w14:textId="29AA915C"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UNIVERSIT</w:t>
      </w:r>
      <w:r w:rsidR="00A93A7D">
        <w:rPr>
          <w:rFonts w:asciiTheme="majorHAnsi" w:eastAsia="Times New Roman" w:hAnsiTheme="majorHAnsi" w:cstheme="majorHAnsi"/>
          <w:b/>
          <w:noProof/>
          <w:lang w:eastAsia="fr-FR"/>
        </w:rPr>
        <w:t>É</w:t>
      </w:r>
      <w:r w:rsidRPr="00CD3B98">
        <w:rPr>
          <w:rFonts w:asciiTheme="majorHAnsi" w:eastAsia="Times New Roman" w:hAnsiTheme="majorHAnsi" w:cstheme="majorHAnsi"/>
          <w:b/>
          <w:noProof/>
          <w:lang w:eastAsia="fr-FR"/>
        </w:rPr>
        <w:t xml:space="preserve"> DE POITIERS</w:t>
      </w:r>
    </w:p>
    <w:p w14:paraId="19BEB603" w14:textId="77777777" w:rsidR="000103C7" w:rsidRPr="00CD3B98" w:rsidRDefault="000103C7" w:rsidP="000103C7">
      <w:pPr>
        <w:jc w:val="center"/>
        <w:rPr>
          <w:rFonts w:asciiTheme="majorHAnsi" w:eastAsia="Times New Roman" w:hAnsiTheme="majorHAnsi" w:cstheme="majorHAnsi"/>
          <w:szCs w:val="20"/>
          <w:lang w:eastAsia="fr-FR"/>
        </w:rPr>
      </w:pPr>
      <w:r w:rsidRPr="00CD3B98">
        <w:rPr>
          <w:rFonts w:asciiTheme="majorHAnsi" w:eastAsia="Times New Roman" w:hAnsiTheme="majorHAnsi" w:cstheme="majorHAnsi"/>
          <w:b/>
          <w:noProof/>
          <w:szCs w:val="20"/>
          <w:lang w:eastAsia="fr-FR"/>
        </w:rPr>
        <w:t>Direction des Affaires Financières</w:t>
      </w:r>
    </w:p>
    <w:p w14:paraId="44595EF1"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Service de la commande publique</w:t>
      </w:r>
    </w:p>
    <w:p w14:paraId="339C12D3" w14:textId="77777777" w:rsidR="000103C7" w:rsidRPr="00CD3B98" w:rsidRDefault="000103C7" w:rsidP="000103C7">
      <w:pPr>
        <w:jc w:val="center"/>
        <w:rPr>
          <w:rFonts w:asciiTheme="majorHAnsi" w:eastAsia="Times New Roman" w:hAnsiTheme="majorHAnsi" w:cstheme="majorHAnsi"/>
          <w:noProof/>
          <w:lang w:eastAsia="fr-FR"/>
        </w:rPr>
      </w:pPr>
      <w:r w:rsidRPr="00CD3B98">
        <w:rPr>
          <w:rFonts w:asciiTheme="majorHAnsi" w:eastAsia="Times New Roman" w:hAnsiTheme="majorHAnsi" w:cstheme="majorHAnsi"/>
          <w:noProof/>
          <w:lang w:eastAsia="fr-FR"/>
        </w:rPr>
        <w:t>15 rue de l’Hôtel Dieu</w:t>
      </w:r>
    </w:p>
    <w:p w14:paraId="058B093D"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86073 POITIERS CEDEX 9</w:t>
      </w:r>
    </w:p>
    <w:p w14:paraId="41EE21CE"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Tél: 05 49 45 41 14</w:t>
      </w:r>
    </w:p>
    <w:p w14:paraId="6793C1F6" w14:textId="77777777" w:rsidR="000103C7" w:rsidRPr="00CD3B98" w:rsidRDefault="000103C7" w:rsidP="000103C7">
      <w:pPr>
        <w:rPr>
          <w:rFonts w:asciiTheme="majorHAnsi" w:eastAsia="Times New Roman" w:hAnsiTheme="majorHAnsi" w:cstheme="majorHAnsi"/>
          <w:lang w:eastAsia="fr-FR"/>
        </w:rPr>
      </w:pPr>
    </w:p>
    <w:p w14:paraId="2A84EA50" w14:textId="77777777" w:rsidR="000103C7" w:rsidRPr="00CD3B98" w:rsidRDefault="000103C7" w:rsidP="000103C7">
      <w:pPr>
        <w:framePr w:hSpace="142" w:wrap="notBeside" w:vAnchor="text" w:hAnchor="page" w:xAlign="center" w:y="1"/>
        <w:jc w:val="center"/>
        <w:rPr>
          <w:rFonts w:asciiTheme="majorHAnsi" w:eastAsia="Times New Roman" w:hAnsiTheme="majorHAnsi" w:cstheme="majorHAnsi"/>
          <w:lang w:eastAsia="fr-FR"/>
        </w:rPr>
      </w:pPr>
    </w:p>
    <w:p w14:paraId="481DC0C6" w14:textId="77777777" w:rsidR="000103C7" w:rsidRPr="00CD3B98" w:rsidRDefault="000103C7" w:rsidP="000103C7">
      <w:pPr>
        <w:rPr>
          <w:rFonts w:asciiTheme="majorHAnsi" w:eastAsia="Times New Roman" w:hAnsiTheme="majorHAnsi" w:cstheme="majorHAnsi"/>
          <w:lang w:eastAsia="fr-FR"/>
        </w:rPr>
      </w:pPr>
    </w:p>
    <w:p w14:paraId="3879513C" w14:textId="77777777" w:rsidR="000103C7" w:rsidRPr="00CD3B98" w:rsidRDefault="000103C7" w:rsidP="000103C7">
      <w:pPr>
        <w:rPr>
          <w:rFonts w:asciiTheme="majorHAnsi" w:eastAsia="Times New Roman" w:hAnsiTheme="majorHAnsi" w:cstheme="majorHAnsi"/>
          <w:lang w:eastAsia="fr-FR"/>
        </w:rPr>
      </w:pPr>
    </w:p>
    <w:p w14:paraId="212E3474" w14:textId="77777777" w:rsidR="000103C7" w:rsidRPr="00CD3B98" w:rsidRDefault="000103C7" w:rsidP="000103C7">
      <w:pPr>
        <w:rPr>
          <w:rFonts w:asciiTheme="majorHAnsi" w:eastAsia="Times New Roman" w:hAnsiTheme="majorHAnsi" w:cstheme="majorHAnsi"/>
          <w:lang w:eastAsia="fr-FR"/>
        </w:rPr>
      </w:pPr>
    </w:p>
    <w:p w14:paraId="049F0ED3" w14:textId="3A3F93E7" w:rsidR="000103C7" w:rsidRPr="00CD3B98" w:rsidRDefault="000103C7" w:rsidP="000103C7">
      <w:pPr>
        <w:jc w:val="center"/>
        <w:rPr>
          <w:rFonts w:asciiTheme="majorHAnsi" w:eastAsia="Times New Roman" w:hAnsiTheme="majorHAnsi" w:cstheme="majorHAnsi"/>
          <w:b/>
          <w:sz w:val="32"/>
          <w:lang w:eastAsia="fr-FR"/>
        </w:rPr>
      </w:pPr>
      <w:r w:rsidRPr="00CD3B98">
        <w:rPr>
          <w:rFonts w:asciiTheme="majorHAnsi" w:eastAsia="Times New Roman" w:hAnsiTheme="majorHAnsi" w:cstheme="majorHAnsi"/>
          <w:b/>
          <w:noProof/>
          <w:sz w:val="32"/>
          <w:lang w:eastAsia="fr-FR"/>
        </w:rPr>
        <w:t>UNIVERSIT</w:t>
      </w:r>
      <w:r w:rsidR="00A93A7D">
        <w:rPr>
          <w:rFonts w:asciiTheme="majorHAnsi" w:eastAsia="Times New Roman" w:hAnsiTheme="majorHAnsi" w:cstheme="majorHAnsi"/>
          <w:b/>
          <w:noProof/>
          <w:sz w:val="32"/>
          <w:lang w:eastAsia="fr-FR"/>
        </w:rPr>
        <w:t>É</w:t>
      </w:r>
      <w:r w:rsidRPr="00CD3B98">
        <w:rPr>
          <w:rFonts w:asciiTheme="majorHAnsi" w:eastAsia="Times New Roman" w:hAnsiTheme="majorHAnsi" w:cstheme="majorHAnsi"/>
          <w:b/>
          <w:noProof/>
          <w:sz w:val="32"/>
          <w:lang w:eastAsia="fr-FR"/>
        </w:rPr>
        <w:t xml:space="preserve"> DE POITIERS</w:t>
      </w:r>
    </w:p>
    <w:p w14:paraId="65086F78" w14:textId="77777777" w:rsidR="000103C7" w:rsidRPr="00CD3B98" w:rsidRDefault="000103C7" w:rsidP="000103C7">
      <w:pPr>
        <w:rPr>
          <w:rFonts w:asciiTheme="majorHAnsi" w:eastAsia="Times New Roman" w:hAnsiTheme="majorHAnsi" w:cstheme="majorHAnsi"/>
          <w:lang w:eastAsia="fr-FR"/>
        </w:rPr>
      </w:pPr>
    </w:p>
    <w:p w14:paraId="0FA93EFD" w14:textId="77777777" w:rsidR="000103C7" w:rsidRPr="00CD3B98" w:rsidRDefault="000103C7" w:rsidP="000103C7">
      <w:pPr>
        <w:rPr>
          <w:rFonts w:asciiTheme="majorHAnsi" w:eastAsia="Times New Roman" w:hAnsiTheme="majorHAnsi" w:cstheme="majorHAnsi"/>
          <w:lang w:eastAsia="fr-FR"/>
        </w:rPr>
      </w:pPr>
    </w:p>
    <w:p w14:paraId="6AE23511" w14:textId="77777777" w:rsidR="000103C7" w:rsidRPr="00CD3B98" w:rsidRDefault="000103C7" w:rsidP="000103C7">
      <w:pPr>
        <w:tabs>
          <w:tab w:val="center" w:pos="4536"/>
          <w:tab w:val="right" w:pos="9072"/>
        </w:tabs>
        <w:jc w:val="center"/>
        <w:rPr>
          <w:rFonts w:asciiTheme="majorHAnsi" w:eastAsia="Times New Roman" w:hAnsiTheme="majorHAnsi" w:cstheme="majorHAnsi"/>
          <w:b/>
          <w:i/>
          <w:sz w:val="16"/>
          <w:szCs w:val="16"/>
          <w:lang w:eastAsia="fr-FR"/>
        </w:rPr>
      </w:pPr>
      <w:r w:rsidRPr="00CD3B98">
        <w:rPr>
          <w:rFonts w:asciiTheme="majorHAnsi" w:eastAsia="BookAntiqua" w:hAnsiTheme="majorHAnsi" w:cstheme="majorHAnsi"/>
          <w:sz w:val="16"/>
          <w:szCs w:val="16"/>
          <w:lang w:eastAsia="fr-FR"/>
        </w:rPr>
        <w:t> </w:t>
      </w:r>
    </w:p>
    <w:p w14:paraId="06BC10C0" w14:textId="77777777" w:rsidR="007B0F06" w:rsidRPr="00E757F8" w:rsidRDefault="000103C7" w:rsidP="00AF12A7">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BookAntiqua" w:hAnsiTheme="majorHAnsi" w:cstheme="majorHAnsi"/>
          <w:kern w:val="32"/>
          <w:sz w:val="36"/>
          <w:szCs w:val="36"/>
          <w:lang w:val="x-none" w:eastAsia="x-none"/>
        </w:rPr>
      </w:pPr>
      <w:r w:rsidRPr="00CD3B98">
        <w:rPr>
          <w:rFonts w:asciiTheme="majorHAnsi" w:eastAsia="BookAntiqua" w:hAnsiTheme="majorHAnsi" w:cstheme="majorHAnsi"/>
          <w:color w:val="000000"/>
          <w:kern w:val="32"/>
          <w:sz w:val="36"/>
          <w:szCs w:val="36"/>
          <w:lang w:val="x-none" w:eastAsia="x-none"/>
        </w:rPr>
        <w:t> </w:t>
      </w:r>
      <w:bookmarkStart w:id="0" w:name="_Toc120181877"/>
      <w:bookmarkStart w:id="1" w:name="_Toc120181964"/>
      <w:bookmarkStart w:id="2" w:name="_Toc120182500"/>
      <w:bookmarkStart w:id="3" w:name="_Toc120182808"/>
      <w:bookmarkStart w:id="4" w:name="_Toc121299722"/>
      <w:bookmarkStart w:id="5" w:name="_Toc121909866"/>
    </w:p>
    <w:p w14:paraId="031AC01F" w14:textId="65E3F989" w:rsidR="00A31096" w:rsidRPr="00E757F8" w:rsidRDefault="00052CE3" w:rsidP="00AF12A7">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kern w:val="32"/>
          <w:sz w:val="36"/>
          <w:szCs w:val="36"/>
          <w:lang w:eastAsia="x-none"/>
        </w:rPr>
      </w:pPr>
      <w:bookmarkStart w:id="6" w:name="_Toc133234606"/>
      <w:r w:rsidRPr="00E757F8">
        <w:rPr>
          <w:rFonts w:asciiTheme="majorHAnsi" w:eastAsia="Times New Roman" w:hAnsiTheme="majorHAnsi" w:cstheme="majorHAnsi"/>
          <w:b/>
          <w:caps/>
          <w:noProof/>
          <w:kern w:val="32"/>
          <w:sz w:val="36"/>
          <w:szCs w:val="36"/>
          <w:lang w:val="x-none" w:eastAsia="x-none"/>
        </w:rPr>
        <w:t>« </w:t>
      </w:r>
      <w:bookmarkEnd w:id="0"/>
      <w:bookmarkEnd w:id="1"/>
      <w:bookmarkEnd w:id="2"/>
      <w:bookmarkEnd w:id="3"/>
      <w:r w:rsidR="00BC47B2" w:rsidRPr="00E757F8">
        <w:rPr>
          <w:rFonts w:ascii="Times New Roman" w:hAnsi="Times New Roman" w:cs="Times New Roman"/>
          <w:sz w:val="32"/>
          <w:szCs w:val="32"/>
        </w:rPr>
        <w:t>Acquisition</w:t>
      </w:r>
      <w:r w:rsidR="00655405" w:rsidRPr="00E757F8">
        <w:rPr>
          <w:rFonts w:ascii="Times New Roman" w:hAnsi="Times New Roman" w:cs="Times New Roman"/>
          <w:sz w:val="32"/>
          <w:szCs w:val="32"/>
        </w:rPr>
        <w:t xml:space="preserve"> </w:t>
      </w:r>
      <w:r w:rsidR="00E757F8" w:rsidRPr="00E757F8">
        <w:rPr>
          <w:rFonts w:ascii="Times New Roman" w:hAnsi="Times New Roman" w:cs="Times New Roman"/>
          <w:sz w:val="32"/>
          <w:szCs w:val="32"/>
        </w:rPr>
        <w:t xml:space="preserve">et installation d’un système </w:t>
      </w:r>
      <w:r w:rsidR="00E757F8">
        <w:rPr>
          <w:rFonts w:ascii="Times New Roman" w:hAnsi="Times New Roman" w:cs="Times New Roman"/>
          <w:sz w:val="32"/>
          <w:szCs w:val="32"/>
        </w:rPr>
        <w:br/>
      </w:r>
      <w:r w:rsidR="00E757F8" w:rsidRPr="00E757F8">
        <w:rPr>
          <w:rFonts w:ascii="Times New Roman" w:hAnsi="Times New Roman" w:cs="Times New Roman"/>
          <w:sz w:val="32"/>
          <w:szCs w:val="32"/>
        </w:rPr>
        <w:t>d’extraction en phase solide</w:t>
      </w:r>
      <w:r w:rsidRPr="00E757F8">
        <w:rPr>
          <w:rFonts w:asciiTheme="majorHAnsi" w:eastAsia="Times New Roman" w:hAnsiTheme="majorHAnsi" w:cstheme="majorHAnsi"/>
          <w:b/>
          <w:kern w:val="32"/>
          <w:sz w:val="36"/>
          <w:szCs w:val="36"/>
          <w:lang w:eastAsia="x-none"/>
        </w:rPr>
        <w:t>»</w:t>
      </w:r>
      <w:bookmarkEnd w:id="4"/>
      <w:bookmarkEnd w:id="5"/>
      <w:bookmarkEnd w:id="6"/>
    </w:p>
    <w:p w14:paraId="3110F934" w14:textId="77777777" w:rsidR="007B0F06" w:rsidRDefault="007B0F06" w:rsidP="00AF12A7">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p>
    <w:p w14:paraId="3DE37D64" w14:textId="77777777" w:rsidR="000103C7" w:rsidRPr="00CD3B98" w:rsidRDefault="000103C7" w:rsidP="000103C7">
      <w:pPr>
        <w:rPr>
          <w:rFonts w:asciiTheme="majorHAnsi" w:eastAsia="Times New Roman" w:hAnsiTheme="majorHAnsi" w:cstheme="majorHAnsi"/>
          <w:lang w:eastAsia="fr-FR"/>
        </w:rPr>
      </w:pPr>
    </w:p>
    <w:p w14:paraId="5B4E3247" w14:textId="77777777" w:rsidR="000103C7" w:rsidRPr="00CD3B98" w:rsidRDefault="000103C7" w:rsidP="000103C7">
      <w:pPr>
        <w:rPr>
          <w:rFonts w:asciiTheme="majorHAnsi" w:eastAsia="Times New Roman" w:hAnsiTheme="majorHAnsi" w:cstheme="majorHAnsi"/>
          <w:lang w:eastAsia="fr-FR"/>
        </w:rPr>
      </w:pPr>
    </w:p>
    <w:p w14:paraId="61EBBC89" w14:textId="77777777" w:rsidR="000103C7" w:rsidRPr="00CD3B98" w:rsidRDefault="000103C7" w:rsidP="000103C7">
      <w:pPr>
        <w:rPr>
          <w:rFonts w:asciiTheme="majorHAnsi" w:eastAsia="Times New Roman" w:hAnsiTheme="majorHAnsi" w:cstheme="majorHAnsi"/>
          <w:lang w:eastAsia="fr-FR"/>
        </w:rPr>
      </w:pPr>
    </w:p>
    <w:p w14:paraId="2BACBF71" w14:textId="77777777" w:rsidR="000103C7" w:rsidRPr="00CD3B98" w:rsidRDefault="000103C7" w:rsidP="000103C7">
      <w:pPr>
        <w:jc w:val="center"/>
        <w:rPr>
          <w:rFonts w:asciiTheme="majorHAnsi" w:eastAsia="Times New Roman" w:hAnsiTheme="majorHAnsi" w:cstheme="majorHAnsi"/>
          <w:b/>
          <w:sz w:val="40"/>
          <w:u w:val="single"/>
          <w:lang w:eastAsia="fr-FR"/>
        </w:rPr>
      </w:pPr>
    </w:p>
    <w:p w14:paraId="1D392C91" w14:textId="262A6FDF" w:rsidR="000103C7" w:rsidRPr="00CD3B98" w:rsidRDefault="000103C7" w:rsidP="000103C7">
      <w:pPr>
        <w:jc w:val="center"/>
        <w:rPr>
          <w:rFonts w:asciiTheme="majorHAnsi" w:eastAsia="Times New Roman" w:hAnsiTheme="majorHAnsi" w:cstheme="majorHAnsi"/>
          <w:b/>
          <w:sz w:val="40"/>
          <w:u w:val="single"/>
          <w:lang w:eastAsia="fr-FR"/>
        </w:rPr>
      </w:pPr>
      <w:r w:rsidRPr="00CD3B98">
        <w:rPr>
          <w:rFonts w:asciiTheme="majorHAnsi" w:eastAsia="Times New Roman" w:hAnsiTheme="majorHAnsi" w:cstheme="majorHAnsi"/>
          <w:b/>
          <w:sz w:val="40"/>
          <w:u w:val="single"/>
          <w:lang w:eastAsia="fr-FR"/>
        </w:rPr>
        <w:t>Cahier des clauses techniques particulières</w:t>
      </w:r>
      <w:r w:rsidR="006618CD">
        <w:rPr>
          <w:rFonts w:asciiTheme="majorHAnsi" w:eastAsia="Times New Roman" w:hAnsiTheme="majorHAnsi" w:cstheme="majorHAnsi"/>
          <w:b/>
          <w:sz w:val="40"/>
          <w:u w:val="single"/>
          <w:lang w:eastAsia="fr-FR"/>
        </w:rPr>
        <w:t xml:space="preserve"> n°2025A009</w:t>
      </w:r>
    </w:p>
    <w:p w14:paraId="10B50FE9" w14:textId="77777777" w:rsidR="000103C7" w:rsidRPr="00CD3B98" w:rsidRDefault="000103C7" w:rsidP="000103C7">
      <w:pPr>
        <w:jc w:val="center"/>
        <w:rPr>
          <w:rFonts w:asciiTheme="majorHAnsi" w:eastAsia="Times New Roman" w:hAnsiTheme="majorHAnsi" w:cstheme="majorHAnsi"/>
          <w:b/>
          <w:noProof/>
          <w:sz w:val="32"/>
          <w:szCs w:val="32"/>
          <w:lang w:eastAsia="fr-FR"/>
        </w:rPr>
      </w:pPr>
    </w:p>
    <w:p w14:paraId="0D3008E2" w14:textId="77777777" w:rsidR="000103C7" w:rsidRPr="00CD3B98" w:rsidRDefault="000103C7" w:rsidP="000103C7">
      <w:pPr>
        <w:rPr>
          <w:rFonts w:asciiTheme="majorHAnsi" w:eastAsia="Times New Roman" w:hAnsiTheme="majorHAnsi" w:cstheme="majorHAnsi"/>
          <w:b/>
          <w:sz w:val="32"/>
          <w:szCs w:val="32"/>
          <w:lang w:eastAsia="fr-FR"/>
        </w:rPr>
      </w:pPr>
    </w:p>
    <w:p w14:paraId="2C15613E" w14:textId="77777777" w:rsidR="000103C7" w:rsidRPr="00CD3B98" w:rsidRDefault="000103C7" w:rsidP="000103C7">
      <w:pPr>
        <w:jc w:val="center"/>
        <w:rPr>
          <w:rFonts w:asciiTheme="majorHAnsi" w:eastAsia="Times New Roman" w:hAnsiTheme="majorHAnsi" w:cstheme="majorHAnsi"/>
          <w:b/>
          <w:sz w:val="28"/>
          <w:lang w:eastAsia="fr-FR"/>
        </w:rPr>
      </w:pPr>
    </w:p>
    <w:p w14:paraId="4B4052E7" w14:textId="77777777" w:rsidR="000103C7" w:rsidRPr="00CD3B98" w:rsidRDefault="000103C7" w:rsidP="000103C7">
      <w:pPr>
        <w:jc w:val="center"/>
        <w:rPr>
          <w:rFonts w:asciiTheme="majorHAnsi" w:eastAsia="Times New Roman" w:hAnsiTheme="majorHAnsi" w:cstheme="majorHAnsi"/>
          <w:b/>
          <w:sz w:val="28"/>
          <w:lang w:eastAsia="fr-FR"/>
        </w:rPr>
      </w:pPr>
    </w:p>
    <w:p w14:paraId="7DB9376A" w14:textId="77777777" w:rsidR="000103C7" w:rsidRPr="00CD3B98" w:rsidRDefault="000103C7" w:rsidP="000103C7">
      <w:pPr>
        <w:jc w:val="center"/>
        <w:rPr>
          <w:rFonts w:asciiTheme="majorHAnsi" w:eastAsia="Times New Roman" w:hAnsiTheme="majorHAnsi" w:cstheme="majorHAnsi"/>
          <w:bCs/>
          <w:sz w:val="28"/>
          <w:u w:val="single"/>
          <w:lang w:eastAsia="fr-FR"/>
        </w:rPr>
      </w:pPr>
    </w:p>
    <w:p w14:paraId="458FD2FF" w14:textId="77777777" w:rsidR="000103C7" w:rsidRPr="00CD3B98" w:rsidRDefault="000103C7" w:rsidP="000103C7">
      <w:pPr>
        <w:jc w:val="center"/>
        <w:rPr>
          <w:rFonts w:asciiTheme="majorHAnsi" w:eastAsia="Times New Roman" w:hAnsiTheme="majorHAnsi" w:cstheme="majorHAnsi"/>
          <w:b/>
          <w:sz w:val="28"/>
          <w:lang w:eastAsia="fr-FR"/>
        </w:rPr>
      </w:pPr>
    </w:p>
    <w:p w14:paraId="399E5349" w14:textId="45128245" w:rsidR="000103C7" w:rsidRDefault="000103C7" w:rsidP="000103C7">
      <w:pPr>
        <w:jc w:val="center"/>
        <w:rPr>
          <w:rFonts w:asciiTheme="majorHAnsi" w:eastAsia="Times New Roman" w:hAnsiTheme="majorHAnsi" w:cstheme="majorHAnsi"/>
          <w:b/>
          <w:sz w:val="28"/>
          <w:lang w:eastAsia="fr-FR"/>
        </w:rPr>
      </w:pPr>
    </w:p>
    <w:p w14:paraId="721C7D1C" w14:textId="49F89887" w:rsidR="006618CD" w:rsidRDefault="006618CD" w:rsidP="000103C7">
      <w:pPr>
        <w:jc w:val="center"/>
        <w:rPr>
          <w:rFonts w:asciiTheme="majorHAnsi" w:eastAsia="Times New Roman" w:hAnsiTheme="majorHAnsi" w:cstheme="majorHAnsi"/>
          <w:b/>
          <w:sz w:val="28"/>
          <w:lang w:eastAsia="fr-FR"/>
        </w:rPr>
      </w:pPr>
    </w:p>
    <w:p w14:paraId="61004889" w14:textId="77777777" w:rsidR="006618CD" w:rsidRPr="00CD3B98" w:rsidRDefault="006618CD" w:rsidP="000103C7">
      <w:pPr>
        <w:jc w:val="center"/>
        <w:rPr>
          <w:rFonts w:asciiTheme="majorHAnsi" w:eastAsia="Times New Roman" w:hAnsiTheme="majorHAnsi" w:cstheme="majorHAnsi"/>
          <w:b/>
          <w:sz w:val="28"/>
          <w:lang w:eastAsia="fr-FR"/>
        </w:rPr>
      </w:pPr>
    </w:p>
    <w:p w14:paraId="09EDD869" w14:textId="77777777" w:rsidR="009757DD" w:rsidRDefault="009757DD" w:rsidP="000103C7">
      <w:pPr>
        <w:jc w:val="center"/>
        <w:rPr>
          <w:rFonts w:asciiTheme="majorHAnsi" w:eastAsia="Times New Roman" w:hAnsiTheme="majorHAnsi" w:cstheme="majorHAnsi"/>
          <w:b/>
          <w:sz w:val="28"/>
          <w:lang w:eastAsia="fr-FR"/>
        </w:rPr>
      </w:pPr>
    </w:p>
    <w:p w14:paraId="60F27EE0" w14:textId="5FC869DE" w:rsidR="00A31096" w:rsidRDefault="00A31096" w:rsidP="002D4A6A">
      <w:pPr>
        <w:rPr>
          <w:rFonts w:asciiTheme="majorHAnsi" w:eastAsia="Times New Roman" w:hAnsiTheme="majorHAnsi" w:cstheme="majorHAnsi"/>
          <w:b/>
          <w:sz w:val="28"/>
          <w:lang w:eastAsia="fr-FR"/>
        </w:rPr>
      </w:pPr>
    </w:p>
    <w:p w14:paraId="06869903" w14:textId="75E8F2A1" w:rsidR="0021215F" w:rsidRDefault="007B0F06" w:rsidP="00A31096">
      <w:pPr>
        <w:pStyle w:val="Titre1"/>
        <w:rPr>
          <w:rFonts w:cstheme="majorHAnsi"/>
        </w:rPr>
      </w:pPr>
      <w:bookmarkStart w:id="7" w:name="_Toc133234607"/>
      <w:r w:rsidRPr="00B142B6">
        <w:rPr>
          <w:rFonts w:cstheme="majorHAnsi"/>
        </w:rPr>
        <w:lastRenderedPageBreak/>
        <w:t>Contexte</w:t>
      </w:r>
      <w:bookmarkEnd w:id="7"/>
    </w:p>
    <w:p w14:paraId="04B0FFFB" w14:textId="77777777" w:rsidR="00E757F8" w:rsidRPr="00E757F8" w:rsidRDefault="00E757F8" w:rsidP="00E757F8"/>
    <w:p w14:paraId="74A8C4B4" w14:textId="4C98F93A" w:rsidR="00A31096" w:rsidRPr="0033597A" w:rsidRDefault="00E757F8" w:rsidP="00E757F8">
      <w:pPr>
        <w:jc w:val="both"/>
        <w:rPr>
          <w:rFonts w:asciiTheme="majorHAnsi" w:hAnsiTheme="majorHAnsi" w:cstheme="majorHAnsi"/>
          <w:bCs/>
        </w:rPr>
      </w:pPr>
      <w:r w:rsidRPr="0033597A">
        <w:rPr>
          <w:rFonts w:asciiTheme="majorHAnsi" w:hAnsiTheme="majorHAnsi" w:cstheme="majorHAnsi"/>
          <w:bCs/>
        </w:rPr>
        <w:t>La surveillance de l’environnement est devenue un enjeu capital et fait l’objet d’attentions de plus en plus importantes. Dans ce domaine, l'analyse chimique de traces a pour objectif d'identifier la présence d'un ou plusieurs composés polluants dans l'environnement (air, eaux, sols, produits alimentaires, cosmétiques...) et de les quantifier. Afin de réaliser ces analyses, la première étape est dédiée au prélèvement d’un échantillon représentatif. Puis, après une étape d’extraction, une séparation des composés obtenus est nécessaire afin d’identifier et quantifier les différents polluants.</w:t>
      </w:r>
    </w:p>
    <w:p w14:paraId="239E1305" w14:textId="0F9D552B" w:rsidR="00E757F8" w:rsidRPr="0033597A" w:rsidRDefault="00E757F8" w:rsidP="0033597A">
      <w:pPr>
        <w:jc w:val="both"/>
        <w:rPr>
          <w:rFonts w:asciiTheme="majorHAnsi" w:hAnsiTheme="majorHAnsi" w:cstheme="majorHAnsi"/>
          <w:bCs/>
        </w:rPr>
      </w:pPr>
      <w:r w:rsidRPr="0033597A">
        <w:rPr>
          <w:rFonts w:asciiTheme="majorHAnsi" w:hAnsiTheme="majorHAnsi" w:cstheme="majorHAnsi"/>
          <w:bCs/>
        </w:rPr>
        <w:t xml:space="preserve">L’équipe « Eaux, Biomarqueurs Contaminants Organiques et Milieux » de l’Institut de Chimie des Milieux et Matériaux de Poitiers IC2MP </w:t>
      </w:r>
      <w:r w:rsidR="0033597A" w:rsidRPr="0033597A">
        <w:rPr>
          <w:rFonts w:asciiTheme="majorHAnsi" w:hAnsiTheme="majorHAnsi" w:cstheme="majorHAnsi"/>
          <w:bCs/>
        </w:rPr>
        <w:t>mène des études concernant la présence et le devenir des contaminants organiques dans l’environnement et les systèmes de traitement des eaux.</w:t>
      </w:r>
      <w:r w:rsidRPr="0033597A">
        <w:rPr>
          <w:rFonts w:asciiTheme="majorHAnsi" w:hAnsiTheme="majorHAnsi" w:cstheme="majorHAnsi"/>
          <w:bCs/>
        </w:rPr>
        <w:t xml:space="preserve"> </w:t>
      </w:r>
      <w:r w:rsidR="0033597A" w:rsidRPr="0033597A">
        <w:rPr>
          <w:rFonts w:ascii="Calibri Light" w:hAnsi="Calibri Light" w:cs="Calibri Light"/>
          <w:bCs/>
        </w:rPr>
        <w:t xml:space="preserve">La présente acquisition concerne un équipement d’extraction </w:t>
      </w:r>
      <w:r w:rsidR="005A346F">
        <w:rPr>
          <w:rFonts w:ascii="Calibri Light" w:hAnsi="Calibri Light" w:cs="Calibri Light"/>
          <w:bCs/>
        </w:rPr>
        <w:t xml:space="preserve">sur phase solide (SPE) </w:t>
      </w:r>
      <w:r w:rsidR="0033597A" w:rsidRPr="0033597A">
        <w:rPr>
          <w:rFonts w:ascii="Calibri Light" w:hAnsi="Calibri Light" w:cs="Calibri Light"/>
          <w:bCs/>
        </w:rPr>
        <w:t>des composés organiques à l’état de trace dans diverses matrices environnementales.</w:t>
      </w:r>
      <w:r w:rsidRPr="0033597A">
        <w:rPr>
          <w:rFonts w:asciiTheme="majorHAnsi" w:hAnsiTheme="majorHAnsi" w:cstheme="majorHAnsi"/>
          <w:bCs/>
        </w:rPr>
        <w:t xml:space="preserve"> </w:t>
      </w:r>
    </w:p>
    <w:p w14:paraId="0B1995F4" w14:textId="49DA541E" w:rsidR="00A31096" w:rsidRPr="00887DAE" w:rsidRDefault="00A31096" w:rsidP="00C2373B">
      <w:pPr>
        <w:pStyle w:val="Titre1"/>
        <w:rPr>
          <w:rFonts w:cstheme="majorHAnsi"/>
        </w:rPr>
      </w:pPr>
      <w:bookmarkStart w:id="8" w:name="_Toc133234608"/>
      <w:r w:rsidRPr="00B142B6">
        <w:rPr>
          <w:rFonts w:cstheme="majorHAnsi"/>
        </w:rPr>
        <w:t>D</w:t>
      </w:r>
      <w:r w:rsidR="00372192" w:rsidRPr="00B142B6">
        <w:rPr>
          <w:rFonts w:cstheme="majorHAnsi"/>
        </w:rPr>
        <w:t>escription</w:t>
      </w:r>
      <w:r w:rsidRPr="00B142B6">
        <w:rPr>
          <w:rFonts w:cstheme="majorHAnsi"/>
        </w:rPr>
        <w:t xml:space="preserve"> et attendus techniques</w:t>
      </w:r>
      <w:bookmarkEnd w:id="8"/>
    </w:p>
    <w:p w14:paraId="4FCC239C" w14:textId="1EA18C1A" w:rsidR="0033185B" w:rsidRPr="00C2373B" w:rsidRDefault="0033185B" w:rsidP="0033597A">
      <w:pPr>
        <w:pStyle w:val="Titre2"/>
        <w:numPr>
          <w:ilvl w:val="1"/>
          <w:numId w:val="12"/>
        </w:numPr>
      </w:pPr>
      <w:bookmarkStart w:id="9" w:name="_Toc133234609"/>
      <w:r w:rsidRPr="00C2373B">
        <w:t>Appareillage</w:t>
      </w:r>
      <w:bookmarkEnd w:id="9"/>
    </w:p>
    <w:p w14:paraId="216524E3" w14:textId="14FB7592" w:rsidR="0033597A" w:rsidRPr="0033597A" w:rsidRDefault="0033597A" w:rsidP="0033597A">
      <w:pPr>
        <w:pStyle w:val="Titre2"/>
        <w:numPr>
          <w:ilvl w:val="0"/>
          <w:numId w:val="0"/>
        </w:numPr>
        <w:rPr>
          <w:rFonts w:eastAsiaTheme="minorHAnsi"/>
        </w:rPr>
      </w:pPr>
      <w:bookmarkStart w:id="10" w:name="_Toc133234610"/>
      <w:r w:rsidRPr="0033597A">
        <w:rPr>
          <w:rFonts w:eastAsiaTheme="minorHAnsi"/>
        </w:rPr>
        <w:t>Le matériel doit permettre une extraction rapide et quantitative des molécules d’intérêt tout en minimisant les volumes de solvant utilisé. Ce matériel est à destination des chercheurs et stagiaires du laboratoire (doctorants et postdoctorants, masters, licence, élèves ingénieur…)</w:t>
      </w:r>
      <w:r w:rsidR="006B4D41">
        <w:rPr>
          <w:rFonts w:eastAsiaTheme="minorHAnsi"/>
        </w:rPr>
        <w:t> ;</w:t>
      </w:r>
      <w:r w:rsidRPr="0033597A">
        <w:rPr>
          <w:rFonts w:eastAsiaTheme="minorHAnsi"/>
        </w:rPr>
        <w:t xml:space="preserve"> la facilité de prise en main impliquant le moins d’éléments possibles à manipuler ainsi que la robustesse de l’équipement devront être démontrées. Le mode de prise en main devra notamment être détaillé. La mobilité ou non des pièces (type rack tournant motorisé) sera un critère de choix, une attention particulière sera portée sur :</w:t>
      </w:r>
    </w:p>
    <w:p w14:paraId="514C8D67" w14:textId="77777777" w:rsidR="0033597A" w:rsidRPr="0033597A" w:rsidRDefault="0033597A" w:rsidP="0033597A">
      <w:pPr>
        <w:pStyle w:val="Titre2"/>
        <w:rPr>
          <w:color w:val="2F5496" w:themeColor="accent1" w:themeShade="BF"/>
        </w:rPr>
      </w:pPr>
      <w:r w:rsidRPr="0033597A">
        <w:rPr>
          <w:rFonts w:eastAsiaTheme="minorHAnsi"/>
        </w:rPr>
        <w:t>Le support de cartouches SPE devra être détaillé dans l’offre, dans laquelle sera décrit s’il est fixe ou mobile ainsi que son degré de mobilité.</w:t>
      </w:r>
    </w:p>
    <w:p w14:paraId="0182E39F" w14:textId="2A3C1C4D" w:rsidR="0033597A" w:rsidRPr="0033597A" w:rsidRDefault="0033597A" w:rsidP="0033597A">
      <w:pPr>
        <w:pStyle w:val="Titre2"/>
      </w:pPr>
      <w:r w:rsidRPr="0033597A">
        <w:t>Le(s) rack(s) d’élution devra être détaillé dans l’offre, dans laquelle sera décrit s’il(s) est (sont) fixe(s) ou mobile(s) ainsi que son (leur) degré de mobilité. Le nombre de racks devra être indiqué.</w:t>
      </w:r>
    </w:p>
    <w:p w14:paraId="1562E9EF" w14:textId="77777777" w:rsidR="0033597A" w:rsidRPr="0033597A" w:rsidRDefault="0033597A" w:rsidP="0033597A">
      <w:pPr>
        <w:rPr>
          <w:rFonts w:asciiTheme="majorHAnsi" w:hAnsiTheme="majorHAnsi" w:cstheme="majorHAnsi"/>
          <w:bCs/>
          <w:sz w:val="20"/>
          <w:szCs w:val="20"/>
        </w:rPr>
      </w:pPr>
    </w:p>
    <w:p w14:paraId="5A3A26E6"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Les spécifications particulières attendues sont :</w:t>
      </w:r>
    </w:p>
    <w:p w14:paraId="03F32FFF"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 xml:space="preserve">Possibilité de travailler avec des cartouches SPE de différents volumes (1 </w:t>
      </w:r>
      <w:proofErr w:type="spellStart"/>
      <w:r w:rsidRPr="0033597A">
        <w:rPr>
          <w:rFonts w:asciiTheme="majorHAnsi" w:hAnsiTheme="majorHAnsi" w:cstheme="majorHAnsi"/>
          <w:bCs/>
          <w:sz w:val="20"/>
          <w:szCs w:val="20"/>
        </w:rPr>
        <w:t>mL</w:t>
      </w:r>
      <w:proofErr w:type="spellEnd"/>
      <w:r w:rsidRPr="0033597A">
        <w:rPr>
          <w:rFonts w:asciiTheme="majorHAnsi" w:hAnsiTheme="majorHAnsi" w:cstheme="majorHAnsi"/>
          <w:bCs/>
          <w:sz w:val="20"/>
          <w:szCs w:val="20"/>
        </w:rPr>
        <w:t xml:space="preserve">, 3 </w:t>
      </w:r>
      <w:proofErr w:type="spellStart"/>
      <w:r w:rsidRPr="0033597A">
        <w:rPr>
          <w:rFonts w:asciiTheme="majorHAnsi" w:hAnsiTheme="majorHAnsi" w:cstheme="majorHAnsi"/>
          <w:bCs/>
          <w:sz w:val="20"/>
          <w:szCs w:val="20"/>
        </w:rPr>
        <w:t>mL</w:t>
      </w:r>
      <w:proofErr w:type="spellEnd"/>
      <w:r w:rsidRPr="0033597A">
        <w:rPr>
          <w:rFonts w:asciiTheme="majorHAnsi" w:hAnsiTheme="majorHAnsi" w:cstheme="majorHAnsi"/>
          <w:bCs/>
          <w:sz w:val="20"/>
          <w:szCs w:val="20"/>
        </w:rPr>
        <w:t xml:space="preserve">, 6 </w:t>
      </w:r>
      <w:proofErr w:type="spellStart"/>
      <w:r w:rsidRPr="0033597A">
        <w:rPr>
          <w:rFonts w:asciiTheme="majorHAnsi" w:hAnsiTheme="majorHAnsi" w:cstheme="majorHAnsi"/>
          <w:bCs/>
          <w:sz w:val="20"/>
          <w:szCs w:val="20"/>
        </w:rPr>
        <w:t>mL</w:t>
      </w:r>
      <w:proofErr w:type="spellEnd"/>
      <w:r w:rsidRPr="0033597A">
        <w:rPr>
          <w:rFonts w:asciiTheme="majorHAnsi" w:hAnsiTheme="majorHAnsi" w:cstheme="majorHAnsi"/>
          <w:bCs/>
          <w:sz w:val="20"/>
          <w:szCs w:val="20"/>
        </w:rPr>
        <w:t>).</w:t>
      </w:r>
    </w:p>
    <w:p w14:paraId="2384EAC2"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Possibilité de travailler avec des cartouches SPE en verre ou autres matériaux.</w:t>
      </w:r>
    </w:p>
    <w:p w14:paraId="3D2ED2E4"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Possibilité de travailler en parallèle avec au moins 6 cartouches d’extraction.</w:t>
      </w:r>
    </w:p>
    <w:p w14:paraId="485D5A6E"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 xml:space="preserve">Possibilité d’utiliser différents solvants. </w:t>
      </w:r>
    </w:p>
    <w:p w14:paraId="4063137D"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L’automate doit être fourni avec au moins 4 bouteilles en verre d’au moins 1 L pour les solvants.</w:t>
      </w:r>
    </w:p>
    <w:p w14:paraId="33EF80F9"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Possibilité de charger des volumes allant jusqu’à 1L sur les cartouches d’extraction.</w:t>
      </w:r>
    </w:p>
    <w:p w14:paraId="06338CC7" w14:textId="77777777" w:rsidR="0033597A" w:rsidRPr="0033597A" w:rsidRDefault="0033597A" w:rsidP="0033597A">
      <w:pPr>
        <w:rPr>
          <w:rFonts w:asciiTheme="majorHAnsi" w:hAnsiTheme="majorHAnsi" w:cstheme="majorHAnsi"/>
          <w:bCs/>
          <w:sz w:val="20"/>
          <w:szCs w:val="20"/>
        </w:rPr>
      </w:pPr>
      <w:r w:rsidRPr="0033597A">
        <w:rPr>
          <w:rFonts w:asciiTheme="majorHAnsi" w:hAnsiTheme="majorHAnsi" w:cstheme="majorHAnsi"/>
          <w:bCs/>
          <w:sz w:val="20"/>
          <w:szCs w:val="20"/>
        </w:rPr>
        <w:t>-</w:t>
      </w:r>
      <w:r w:rsidRPr="0033597A">
        <w:rPr>
          <w:rFonts w:asciiTheme="majorHAnsi" w:hAnsiTheme="majorHAnsi" w:cstheme="majorHAnsi"/>
          <w:bCs/>
          <w:sz w:val="20"/>
          <w:szCs w:val="20"/>
        </w:rPr>
        <w:tab/>
        <w:t>L’automate doit permettre de sécher les cartouches d’extraction.</w:t>
      </w:r>
    </w:p>
    <w:p w14:paraId="772BB8C2" w14:textId="02AC6A3D" w:rsidR="0033597A" w:rsidRPr="0033597A" w:rsidRDefault="0033597A" w:rsidP="0033597A">
      <w:pPr>
        <w:rPr>
          <w:rFonts w:asciiTheme="majorHAnsi" w:hAnsiTheme="majorHAnsi" w:cstheme="majorHAnsi"/>
          <w:sz w:val="20"/>
          <w:szCs w:val="20"/>
        </w:rPr>
      </w:pPr>
      <w:r w:rsidRPr="0033597A">
        <w:rPr>
          <w:rFonts w:asciiTheme="majorHAnsi" w:hAnsiTheme="majorHAnsi" w:cstheme="majorHAnsi"/>
          <w:sz w:val="20"/>
          <w:szCs w:val="20"/>
        </w:rPr>
        <w:t>-</w:t>
      </w:r>
      <w:r w:rsidRPr="0033597A">
        <w:rPr>
          <w:rFonts w:asciiTheme="majorHAnsi" w:hAnsiTheme="majorHAnsi" w:cstheme="majorHAnsi"/>
          <w:sz w:val="20"/>
          <w:szCs w:val="20"/>
        </w:rPr>
        <w:tab/>
        <w:t xml:space="preserve">L’automate doit être fourni avec au moins un rack d’élution adapté à des volumes d’extraction de 1 à 20 </w:t>
      </w:r>
      <w:proofErr w:type="spellStart"/>
      <w:r w:rsidRPr="0033597A">
        <w:rPr>
          <w:rFonts w:asciiTheme="majorHAnsi" w:hAnsiTheme="majorHAnsi" w:cstheme="majorHAnsi"/>
          <w:sz w:val="20"/>
          <w:szCs w:val="20"/>
        </w:rPr>
        <w:t>mL</w:t>
      </w:r>
      <w:proofErr w:type="spellEnd"/>
      <w:r w:rsidRPr="0033597A">
        <w:rPr>
          <w:rFonts w:asciiTheme="majorHAnsi" w:hAnsiTheme="majorHAnsi" w:cstheme="majorHAnsi"/>
          <w:sz w:val="20"/>
          <w:szCs w:val="20"/>
        </w:rPr>
        <w:t>.</w:t>
      </w:r>
    </w:p>
    <w:p w14:paraId="346215C7" w14:textId="6D2DD015" w:rsidR="00655405" w:rsidRPr="00B142B6" w:rsidRDefault="007B0F06" w:rsidP="0033597A">
      <w:pPr>
        <w:pStyle w:val="Titre2"/>
        <w:numPr>
          <w:ilvl w:val="1"/>
          <w:numId w:val="12"/>
        </w:numPr>
      </w:pPr>
      <w:r w:rsidRPr="00B142B6">
        <w:t>Conditions d’utilisation</w:t>
      </w:r>
      <w:bookmarkEnd w:id="10"/>
    </w:p>
    <w:p w14:paraId="4B1FB657" w14:textId="64E3A252" w:rsidR="00655405" w:rsidRPr="00B142B6" w:rsidRDefault="00655405" w:rsidP="00655405">
      <w:pPr>
        <w:rPr>
          <w:rFonts w:asciiTheme="majorHAnsi" w:hAnsiTheme="majorHAnsi" w:cstheme="majorHAnsi"/>
        </w:rPr>
      </w:pPr>
    </w:p>
    <w:p w14:paraId="6A643E04" w14:textId="627892A6" w:rsidR="0033185B" w:rsidRPr="006931C7" w:rsidRDefault="006931C7" w:rsidP="006931C7">
      <w:pPr>
        <w:pStyle w:val="Sansinterligne1"/>
        <w:spacing w:line="276" w:lineRule="auto"/>
        <w:jc w:val="both"/>
        <w:rPr>
          <w:rFonts w:asciiTheme="majorHAnsi" w:hAnsiTheme="majorHAnsi" w:cstheme="majorHAnsi"/>
          <w:bCs/>
          <w:iCs/>
          <w:color w:val="000000" w:themeColor="text1"/>
          <w:sz w:val="20"/>
          <w:szCs w:val="20"/>
        </w:rPr>
      </w:pPr>
      <w:r w:rsidRPr="006931C7">
        <w:rPr>
          <w:rFonts w:asciiTheme="majorHAnsi" w:hAnsiTheme="majorHAnsi" w:cstheme="majorHAnsi"/>
          <w:bCs/>
          <w:iCs/>
          <w:color w:val="000000" w:themeColor="text1"/>
          <w:sz w:val="20"/>
          <w:szCs w:val="20"/>
        </w:rPr>
        <w:t xml:space="preserve">Le système d’extraction sera installé dans une salle </w:t>
      </w:r>
      <w:r>
        <w:rPr>
          <w:rFonts w:asciiTheme="majorHAnsi" w:hAnsiTheme="majorHAnsi" w:cstheme="majorHAnsi"/>
          <w:bCs/>
          <w:iCs/>
          <w:color w:val="000000" w:themeColor="text1"/>
          <w:sz w:val="20"/>
          <w:szCs w:val="20"/>
        </w:rPr>
        <w:t>équipée de différentes prises électriques et d’une arrivée d’azote pour l’étape de séchage.</w:t>
      </w:r>
      <w:r w:rsidR="00DD0C25">
        <w:rPr>
          <w:rFonts w:asciiTheme="majorHAnsi" w:hAnsiTheme="majorHAnsi" w:cstheme="majorHAnsi"/>
          <w:bCs/>
          <w:iCs/>
          <w:color w:val="000000" w:themeColor="text1"/>
          <w:sz w:val="20"/>
          <w:szCs w:val="20"/>
        </w:rPr>
        <w:t xml:space="preserve"> La salle est déjà équipée de deux systèmes d’extraction SPE. </w:t>
      </w:r>
    </w:p>
    <w:p w14:paraId="5DAD7B5F" w14:textId="4586DC9D" w:rsidR="00A9770D" w:rsidRPr="00B142B6" w:rsidRDefault="00A9770D" w:rsidP="0033597A">
      <w:pPr>
        <w:pStyle w:val="Titre2"/>
        <w:numPr>
          <w:ilvl w:val="1"/>
          <w:numId w:val="12"/>
        </w:numPr>
      </w:pPr>
      <w:bookmarkStart w:id="11" w:name="_Toc133234611"/>
      <w:r w:rsidRPr="00B142B6">
        <w:t>Accessibilité du local</w:t>
      </w:r>
      <w:bookmarkEnd w:id="11"/>
    </w:p>
    <w:p w14:paraId="0C16B1BE" w14:textId="2543E968" w:rsidR="00A9770D" w:rsidRPr="00DD0C25" w:rsidRDefault="006931C7" w:rsidP="00410C98">
      <w:pPr>
        <w:pStyle w:val="Sansinterligne1"/>
        <w:spacing w:line="276" w:lineRule="auto"/>
        <w:jc w:val="both"/>
        <w:rPr>
          <w:rFonts w:asciiTheme="majorHAnsi" w:hAnsiTheme="majorHAnsi" w:cstheme="majorHAnsi"/>
          <w:bCs/>
          <w:iCs/>
          <w:sz w:val="20"/>
          <w:szCs w:val="20"/>
          <w:lang w:eastAsia="fr-FR"/>
        </w:rPr>
      </w:pPr>
      <w:r w:rsidRPr="00DD0C25">
        <w:rPr>
          <w:rFonts w:asciiTheme="majorHAnsi" w:hAnsiTheme="majorHAnsi" w:cstheme="majorHAnsi"/>
          <w:bCs/>
          <w:iCs/>
          <w:sz w:val="20"/>
          <w:szCs w:val="20"/>
          <w:lang w:eastAsia="fr-FR"/>
        </w:rPr>
        <w:t xml:space="preserve">Le laboratoire dans </w:t>
      </w:r>
      <w:r w:rsidR="00A9770D" w:rsidRPr="00DD0C25">
        <w:rPr>
          <w:rFonts w:asciiTheme="majorHAnsi" w:hAnsiTheme="majorHAnsi" w:cstheme="majorHAnsi"/>
          <w:bCs/>
          <w:iCs/>
          <w:sz w:val="20"/>
          <w:szCs w:val="20"/>
          <w:lang w:eastAsia="fr-FR"/>
        </w:rPr>
        <w:t xml:space="preserve">lequel </w:t>
      </w:r>
      <w:r w:rsidR="00410C98" w:rsidRPr="00DD0C25">
        <w:rPr>
          <w:rFonts w:asciiTheme="majorHAnsi" w:hAnsiTheme="majorHAnsi" w:cstheme="majorHAnsi"/>
          <w:bCs/>
          <w:iCs/>
          <w:sz w:val="20"/>
          <w:szCs w:val="20"/>
          <w:lang w:eastAsia="fr-FR"/>
        </w:rPr>
        <w:t xml:space="preserve">sera installé </w:t>
      </w:r>
      <w:r w:rsidR="00A9770D" w:rsidRPr="00DD0C25">
        <w:rPr>
          <w:rFonts w:asciiTheme="majorHAnsi" w:hAnsiTheme="majorHAnsi" w:cstheme="majorHAnsi"/>
          <w:bCs/>
          <w:iCs/>
          <w:sz w:val="20"/>
          <w:szCs w:val="20"/>
          <w:lang w:eastAsia="fr-FR"/>
        </w:rPr>
        <w:t>l</w:t>
      </w:r>
      <w:r w:rsidRPr="00DD0C25">
        <w:rPr>
          <w:rFonts w:asciiTheme="majorHAnsi" w:hAnsiTheme="majorHAnsi" w:cstheme="majorHAnsi"/>
          <w:bCs/>
          <w:iCs/>
          <w:sz w:val="20"/>
          <w:szCs w:val="20"/>
          <w:lang w:eastAsia="fr-FR"/>
        </w:rPr>
        <w:t xml:space="preserve">’équipement </w:t>
      </w:r>
      <w:r w:rsidR="00410C98" w:rsidRPr="00DD0C25">
        <w:rPr>
          <w:rFonts w:asciiTheme="majorHAnsi" w:hAnsiTheme="majorHAnsi" w:cstheme="majorHAnsi"/>
          <w:bCs/>
          <w:iCs/>
          <w:sz w:val="20"/>
          <w:szCs w:val="20"/>
          <w:lang w:eastAsia="fr-FR"/>
        </w:rPr>
        <w:t xml:space="preserve">est situé </w:t>
      </w:r>
      <w:r w:rsidRPr="00DD0C25">
        <w:rPr>
          <w:rFonts w:asciiTheme="majorHAnsi" w:hAnsiTheme="majorHAnsi" w:cstheme="majorHAnsi"/>
          <w:bCs/>
          <w:iCs/>
          <w:sz w:val="20"/>
          <w:szCs w:val="20"/>
          <w:lang w:eastAsia="fr-FR"/>
        </w:rPr>
        <w:t>au rez-de-chaussée de l’Ecole Nationale Supérieure d’Ingénieurs de Poitiers au 1 rue Marcel Doré</w:t>
      </w:r>
      <w:r w:rsidR="00410C98" w:rsidRPr="00DD0C25">
        <w:rPr>
          <w:rFonts w:asciiTheme="majorHAnsi" w:hAnsiTheme="majorHAnsi" w:cstheme="majorHAnsi"/>
          <w:bCs/>
          <w:iCs/>
          <w:sz w:val="20"/>
          <w:szCs w:val="20"/>
          <w:lang w:eastAsia="fr-FR"/>
        </w:rPr>
        <w:t xml:space="preserve"> avec un accès</w:t>
      </w:r>
      <w:r w:rsidRPr="00DD0C25">
        <w:rPr>
          <w:rFonts w:asciiTheme="majorHAnsi" w:hAnsiTheme="majorHAnsi" w:cstheme="majorHAnsi"/>
          <w:bCs/>
          <w:iCs/>
          <w:sz w:val="20"/>
          <w:szCs w:val="20"/>
          <w:lang w:eastAsia="fr-FR"/>
        </w:rPr>
        <w:t xml:space="preserve"> de </w:t>
      </w:r>
      <w:r w:rsidR="00410C98" w:rsidRPr="00DD0C25">
        <w:rPr>
          <w:rFonts w:asciiTheme="majorHAnsi" w:hAnsiTheme="majorHAnsi" w:cstheme="majorHAnsi"/>
          <w:bCs/>
          <w:iCs/>
          <w:sz w:val="20"/>
          <w:szCs w:val="20"/>
          <w:lang w:eastAsia="fr-FR"/>
        </w:rPr>
        <w:t>pl</w:t>
      </w:r>
      <w:r w:rsidRPr="00DD0C25">
        <w:rPr>
          <w:rFonts w:asciiTheme="majorHAnsi" w:hAnsiTheme="majorHAnsi" w:cstheme="majorHAnsi"/>
          <w:bCs/>
          <w:iCs/>
          <w:sz w:val="20"/>
          <w:szCs w:val="20"/>
          <w:lang w:eastAsia="fr-FR"/>
        </w:rPr>
        <w:t>ain-</w:t>
      </w:r>
      <w:r w:rsidR="00410C98" w:rsidRPr="00DD0C25">
        <w:rPr>
          <w:rFonts w:asciiTheme="majorHAnsi" w:hAnsiTheme="majorHAnsi" w:cstheme="majorHAnsi"/>
          <w:bCs/>
          <w:iCs/>
          <w:sz w:val="20"/>
          <w:szCs w:val="20"/>
          <w:lang w:eastAsia="fr-FR"/>
        </w:rPr>
        <w:t>pied.</w:t>
      </w:r>
      <w:r w:rsidRPr="00DD0C25">
        <w:rPr>
          <w:rFonts w:asciiTheme="majorHAnsi" w:hAnsiTheme="majorHAnsi" w:cstheme="majorHAnsi"/>
          <w:bCs/>
          <w:iCs/>
          <w:sz w:val="20"/>
          <w:szCs w:val="20"/>
          <w:lang w:eastAsia="fr-FR"/>
        </w:rPr>
        <w:t xml:space="preserve"> </w:t>
      </w:r>
    </w:p>
    <w:p w14:paraId="330DF8EC" w14:textId="643E55D2" w:rsidR="00141422" w:rsidRPr="00B142B6" w:rsidRDefault="00141422" w:rsidP="0033597A">
      <w:pPr>
        <w:pStyle w:val="Titre2"/>
        <w:numPr>
          <w:ilvl w:val="1"/>
          <w:numId w:val="12"/>
        </w:numPr>
      </w:pPr>
      <w:bookmarkStart w:id="12" w:name="_Toc133234612"/>
      <w:r w:rsidRPr="00B142B6">
        <w:lastRenderedPageBreak/>
        <w:t>Documents à fournir</w:t>
      </w:r>
      <w:bookmarkEnd w:id="12"/>
    </w:p>
    <w:p w14:paraId="4242D11A" w14:textId="3E51227F" w:rsidR="002D4A6A" w:rsidRPr="00887DAE" w:rsidRDefault="002D4A6A" w:rsidP="002D4A6A">
      <w:pPr>
        <w:rPr>
          <w:rFonts w:asciiTheme="majorHAnsi" w:hAnsiTheme="majorHAnsi" w:cstheme="majorHAnsi"/>
          <w:sz w:val="20"/>
        </w:rPr>
      </w:pPr>
    </w:p>
    <w:p w14:paraId="12257E79"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Les documents suivants devront être fournis par le candidat :</w:t>
      </w:r>
    </w:p>
    <w:p w14:paraId="4371B3B6"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offre détaillée (caractéristiques techniques, prix, délais)</w:t>
      </w:r>
    </w:p>
    <w:p w14:paraId="7C081917"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notice technique</w:t>
      </w:r>
    </w:p>
    <w:p w14:paraId="5DB78E99"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descriptif des protocoles de maintenance</w:t>
      </w:r>
    </w:p>
    <w:p w14:paraId="65E67E8A"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Conditions et tarifs d’intervention et/ou de maintenance et de réparation hors contrat</w:t>
      </w:r>
    </w:p>
    <w:p w14:paraId="569150BE"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Liste des consommables et leurs coûts</w:t>
      </w:r>
    </w:p>
    <w:p w14:paraId="1FD37659" w14:textId="77777777" w:rsidR="00BE7DE5" w:rsidRPr="00BE7DE5" w:rsidRDefault="00BE7DE5" w:rsidP="00BE7DE5">
      <w:pPr>
        <w:pStyle w:val="Sansinterligne1"/>
        <w:spacing w:line="276" w:lineRule="auto"/>
        <w:jc w:val="both"/>
        <w:rPr>
          <w:rFonts w:asciiTheme="majorHAnsi" w:eastAsiaTheme="minorHAnsi" w:hAnsiTheme="majorHAnsi" w:cstheme="majorHAnsi"/>
          <w:bCs/>
          <w:sz w:val="20"/>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descriptif de l’offre de garantie</w:t>
      </w:r>
    </w:p>
    <w:p w14:paraId="5F7E39DC" w14:textId="0E6FE856" w:rsidR="00410C98" w:rsidRPr="00BE7DE5" w:rsidRDefault="00BE7DE5" w:rsidP="00BE7DE5">
      <w:pPr>
        <w:pStyle w:val="Sansinterligne1"/>
        <w:spacing w:line="276" w:lineRule="auto"/>
        <w:jc w:val="both"/>
        <w:rPr>
          <w:rFonts w:asciiTheme="majorHAnsi" w:hAnsiTheme="majorHAnsi" w:cstheme="majorHAnsi"/>
          <w:bCs/>
        </w:rPr>
      </w:pPr>
      <w:r w:rsidRPr="00BE7DE5">
        <w:rPr>
          <w:rFonts w:asciiTheme="majorHAnsi" w:eastAsiaTheme="minorHAnsi" w:hAnsiTheme="majorHAnsi" w:cstheme="majorHAnsi"/>
          <w:bCs/>
          <w:sz w:val="20"/>
        </w:rPr>
        <w:t>-</w:t>
      </w:r>
      <w:r w:rsidRPr="00BE7DE5">
        <w:rPr>
          <w:rFonts w:asciiTheme="majorHAnsi" w:eastAsiaTheme="minorHAnsi" w:hAnsiTheme="majorHAnsi" w:cstheme="majorHAnsi"/>
          <w:bCs/>
          <w:sz w:val="20"/>
        </w:rPr>
        <w:tab/>
        <w:t>coordonnées des contacts techniques consacrés au service après-vente, à l’assistance technique, et à l’appui au développement de méthodes</w:t>
      </w:r>
    </w:p>
    <w:p w14:paraId="0B168FAB" w14:textId="291F625C" w:rsidR="00A31096" w:rsidRPr="00BC47B2" w:rsidRDefault="00A31096" w:rsidP="00BC47B2">
      <w:pPr>
        <w:pStyle w:val="Titre1"/>
        <w:rPr>
          <w:rFonts w:cstheme="majorHAnsi"/>
        </w:rPr>
      </w:pPr>
      <w:bookmarkStart w:id="13" w:name="_Toc133234613"/>
      <w:r w:rsidRPr="00B142B6">
        <w:rPr>
          <w:rFonts w:cstheme="majorHAnsi"/>
        </w:rPr>
        <w:t>Prestations associées</w:t>
      </w:r>
      <w:bookmarkEnd w:id="13"/>
    </w:p>
    <w:p w14:paraId="3709DD7A" w14:textId="00D14B99" w:rsidR="00A31096" w:rsidRPr="00B142B6" w:rsidRDefault="00A31096" w:rsidP="0033597A">
      <w:pPr>
        <w:pStyle w:val="Titre2"/>
        <w:numPr>
          <w:ilvl w:val="1"/>
          <w:numId w:val="12"/>
        </w:numPr>
      </w:pPr>
      <w:bookmarkStart w:id="14" w:name="_Toc133234614"/>
      <w:r w:rsidRPr="00B142B6">
        <w:t>Garantie et service après-vente</w:t>
      </w:r>
      <w:bookmarkEnd w:id="14"/>
    </w:p>
    <w:p w14:paraId="0A0F57E6" w14:textId="72ECA8C6" w:rsidR="009D2CEF" w:rsidRPr="009D2CEF" w:rsidRDefault="009D2CEF" w:rsidP="009D2CEF">
      <w:pPr>
        <w:keepNext/>
        <w:spacing w:before="240" w:after="60"/>
        <w:jc w:val="both"/>
        <w:outlineLvl w:val="0"/>
        <w:rPr>
          <w:rFonts w:asciiTheme="majorHAnsi" w:hAnsiTheme="majorHAnsi" w:cstheme="majorHAnsi"/>
          <w:sz w:val="20"/>
          <w:szCs w:val="20"/>
        </w:rPr>
      </w:pPr>
      <w:r w:rsidRPr="009D2CEF">
        <w:rPr>
          <w:rFonts w:asciiTheme="majorHAnsi" w:hAnsiTheme="majorHAnsi" w:cstheme="majorHAnsi"/>
          <w:sz w:val="20"/>
          <w:szCs w:val="20"/>
        </w:rPr>
        <w:t>La garantie minimum proposée sera d’un an à partir de la mise en service (pièces, main d’œuvre et déplacement), pour l’ensemble des composants du système. La garantie contractuelle prend effet à compter de la date de Vérification d’aptitude au bon fonctionnement (VABF).</w:t>
      </w:r>
    </w:p>
    <w:p w14:paraId="4E5BDF91" w14:textId="36A03D76" w:rsidR="009D2CEF" w:rsidRPr="009D2CEF" w:rsidRDefault="009D2CEF" w:rsidP="009D2CEF">
      <w:pPr>
        <w:keepNext/>
        <w:spacing w:before="240" w:after="60"/>
        <w:jc w:val="both"/>
        <w:outlineLvl w:val="0"/>
        <w:rPr>
          <w:rFonts w:asciiTheme="majorHAnsi" w:hAnsiTheme="majorHAnsi" w:cstheme="majorHAnsi"/>
          <w:sz w:val="20"/>
          <w:szCs w:val="20"/>
        </w:rPr>
      </w:pPr>
      <w:r w:rsidRPr="009D2CEF">
        <w:rPr>
          <w:rFonts w:asciiTheme="majorHAnsi" w:hAnsiTheme="majorHAnsi" w:cstheme="majorHAnsi"/>
          <w:sz w:val="20"/>
          <w:szCs w:val="20"/>
        </w:rPr>
        <w:t xml:space="preserve">Le candidat devra fournir les conditions et les tarifs d’intervention et/ou de maintenance et de réparation hors garantie. </w:t>
      </w:r>
      <w:r w:rsidR="00BE7DE5" w:rsidRPr="00BE7DE5">
        <w:rPr>
          <w:rFonts w:asciiTheme="majorHAnsi" w:hAnsiTheme="majorHAnsi" w:cstheme="majorHAnsi"/>
          <w:sz w:val="20"/>
          <w:szCs w:val="20"/>
        </w:rPr>
        <w:t>Le service après-vente devra être explicitement décrit (localisation, nombre de techniciens …) afin de pouvoir l’évaluer. A ce titre, le délai maximum de prise en charge de la demande de service après-vente et d’intervention devra être précisé dans l’offre</w:t>
      </w:r>
    </w:p>
    <w:p w14:paraId="72264C46" w14:textId="77777777" w:rsidR="009D2CEF" w:rsidRPr="009D2CEF" w:rsidRDefault="009D2CEF" w:rsidP="009D2CEF">
      <w:pPr>
        <w:keepNext/>
        <w:spacing w:before="240" w:after="60"/>
        <w:jc w:val="both"/>
        <w:outlineLvl w:val="0"/>
        <w:rPr>
          <w:rFonts w:asciiTheme="majorHAnsi" w:hAnsiTheme="majorHAnsi" w:cstheme="majorHAnsi"/>
          <w:sz w:val="20"/>
          <w:szCs w:val="20"/>
        </w:rPr>
      </w:pPr>
      <w:r w:rsidRPr="009D2CEF">
        <w:rPr>
          <w:rFonts w:asciiTheme="majorHAnsi" w:hAnsiTheme="majorHAnsi" w:cstheme="majorHAnsi"/>
          <w:sz w:val="20"/>
          <w:szCs w:val="20"/>
        </w:rPr>
        <w:t xml:space="preserve">L’offre devra contenir une liste et le coût des consommables à changer régulièrement. </w:t>
      </w:r>
    </w:p>
    <w:p w14:paraId="73BFCE90" w14:textId="48B6FE06" w:rsidR="00AD62F5" w:rsidRPr="00862384" w:rsidRDefault="00A31096" w:rsidP="0033597A">
      <w:pPr>
        <w:pStyle w:val="Titre2"/>
        <w:numPr>
          <w:ilvl w:val="1"/>
          <w:numId w:val="12"/>
        </w:numPr>
        <w:rPr>
          <w:sz w:val="26"/>
        </w:rPr>
      </w:pPr>
      <w:bookmarkStart w:id="15" w:name="_Toc133234615"/>
      <w:r w:rsidRPr="00B142B6">
        <w:t>Livraison des matériels</w:t>
      </w:r>
      <w:bookmarkEnd w:id="15"/>
    </w:p>
    <w:p w14:paraId="708C7667" w14:textId="77777777" w:rsidR="00DD0C25" w:rsidRPr="00DD0C25" w:rsidRDefault="00DD0C25" w:rsidP="00DD0C25">
      <w:pPr>
        <w:autoSpaceDE w:val="0"/>
        <w:autoSpaceDN w:val="0"/>
        <w:adjustRightInd w:val="0"/>
        <w:jc w:val="both"/>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 xml:space="preserve">Le délai de livraison devra être mentionné dans l’offre et d’une durée de 6 semaines maximum. Cette durée est à compter dès la réception de la notification par le candidat. </w:t>
      </w:r>
    </w:p>
    <w:p w14:paraId="57A74D05" w14:textId="77777777" w:rsidR="00DD0C25" w:rsidRPr="00DD0C25" w:rsidRDefault="00DD0C25" w:rsidP="00DD0C25">
      <w:pPr>
        <w:autoSpaceDE w:val="0"/>
        <w:autoSpaceDN w:val="0"/>
        <w:adjustRightInd w:val="0"/>
        <w:jc w:val="both"/>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Le matériel devra être livré et installé à l’adresse suivante :</w:t>
      </w:r>
    </w:p>
    <w:p w14:paraId="48429F8B" w14:textId="77777777" w:rsidR="00DD0C25" w:rsidRPr="00DD0C25" w:rsidRDefault="00DD0C25" w:rsidP="00DD0C25">
      <w:pPr>
        <w:autoSpaceDE w:val="0"/>
        <w:autoSpaceDN w:val="0"/>
        <w:adjustRightInd w:val="0"/>
        <w:jc w:val="center"/>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Université de Poitiers</w:t>
      </w:r>
    </w:p>
    <w:p w14:paraId="3EEF7276" w14:textId="645B719C" w:rsidR="00DD0C25" w:rsidRPr="00DD0C25" w:rsidRDefault="00DD0C25" w:rsidP="00DD0C25">
      <w:pPr>
        <w:autoSpaceDE w:val="0"/>
        <w:autoSpaceDN w:val="0"/>
        <w:adjustRightInd w:val="0"/>
        <w:jc w:val="center"/>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Bâtiment B</w:t>
      </w:r>
      <w:r>
        <w:rPr>
          <w:rFonts w:asciiTheme="majorHAnsi" w:hAnsiTheme="majorHAnsi" w:cstheme="majorHAnsi"/>
          <w:bCs/>
          <w:iCs/>
          <w:color w:val="000000"/>
          <w:sz w:val="20"/>
          <w:szCs w:val="20"/>
        </w:rPr>
        <w:t>1</w:t>
      </w:r>
    </w:p>
    <w:p w14:paraId="0306DFFA" w14:textId="5A8747BF" w:rsidR="00DD0C25" w:rsidRPr="00DD0C25" w:rsidRDefault="00DD0C25" w:rsidP="00DD0C25">
      <w:pPr>
        <w:autoSpaceDE w:val="0"/>
        <w:autoSpaceDN w:val="0"/>
        <w:adjustRightInd w:val="0"/>
        <w:jc w:val="center"/>
        <w:rPr>
          <w:rFonts w:asciiTheme="majorHAnsi" w:hAnsiTheme="majorHAnsi" w:cstheme="majorHAnsi"/>
          <w:bCs/>
          <w:iCs/>
          <w:color w:val="000000"/>
          <w:sz w:val="20"/>
          <w:szCs w:val="20"/>
        </w:rPr>
      </w:pPr>
      <w:r>
        <w:rPr>
          <w:rFonts w:asciiTheme="majorHAnsi" w:hAnsiTheme="majorHAnsi" w:cstheme="majorHAnsi"/>
          <w:bCs/>
          <w:iCs/>
          <w:color w:val="000000"/>
          <w:sz w:val="20"/>
          <w:szCs w:val="20"/>
        </w:rPr>
        <w:t>1</w:t>
      </w:r>
      <w:r w:rsidRPr="00DD0C25">
        <w:rPr>
          <w:rFonts w:asciiTheme="majorHAnsi" w:hAnsiTheme="majorHAnsi" w:cstheme="majorHAnsi"/>
          <w:bCs/>
          <w:iCs/>
          <w:color w:val="000000"/>
          <w:sz w:val="20"/>
          <w:szCs w:val="20"/>
        </w:rPr>
        <w:t xml:space="preserve"> rue M</w:t>
      </w:r>
      <w:r>
        <w:rPr>
          <w:rFonts w:asciiTheme="majorHAnsi" w:hAnsiTheme="majorHAnsi" w:cstheme="majorHAnsi"/>
          <w:bCs/>
          <w:iCs/>
          <w:color w:val="000000"/>
          <w:sz w:val="20"/>
          <w:szCs w:val="20"/>
        </w:rPr>
        <w:t>arcel</w:t>
      </w:r>
      <w:r w:rsidRPr="00DD0C25">
        <w:rPr>
          <w:rFonts w:asciiTheme="majorHAnsi" w:hAnsiTheme="majorHAnsi" w:cstheme="majorHAnsi"/>
          <w:bCs/>
          <w:iCs/>
          <w:color w:val="000000"/>
          <w:sz w:val="20"/>
          <w:szCs w:val="20"/>
        </w:rPr>
        <w:t xml:space="preserve"> </w:t>
      </w:r>
      <w:r>
        <w:rPr>
          <w:rFonts w:asciiTheme="majorHAnsi" w:hAnsiTheme="majorHAnsi" w:cstheme="majorHAnsi"/>
          <w:bCs/>
          <w:iCs/>
          <w:color w:val="000000"/>
          <w:sz w:val="20"/>
          <w:szCs w:val="20"/>
        </w:rPr>
        <w:t>Doré</w:t>
      </w:r>
    </w:p>
    <w:p w14:paraId="39CB3BC2" w14:textId="049519C1" w:rsidR="00DD0C25" w:rsidRPr="00DD0C25" w:rsidRDefault="00DD0C25" w:rsidP="00DD0C25">
      <w:pPr>
        <w:autoSpaceDE w:val="0"/>
        <w:autoSpaceDN w:val="0"/>
        <w:adjustRightInd w:val="0"/>
        <w:jc w:val="center"/>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 xml:space="preserve">TSA </w:t>
      </w:r>
      <w:r w:rsidR="009D2CEF">
        <w:rPr>
          <w:rFonts w:asciiTheme="majorHAnsi" w:hAnsiTheme="majorHAnsi" w:cstheme="majorHAnsi"/>
          <w:bCs/>
          <w:iCs/>
          <w:color w:val="000000"/>
          <w:sz w:val="20"/>
          <w:szCs w:val="20"/>
        </w:rPr>
        <w:t>4</w:t>
      </w:r>
      <w:r w:rsidRPr="00DD0C25">
        <w:rPr>
          <w:rFonts w:asciiTheme="majorHAnsi" w:hAnsiTheme="majorHAnsi" w:cstheme="majorHAnsi"/>
          <w:bCs/>
          <w:iCs/>
          <w:color w:val="000000"/>
          <w:sz w:val="20"/>
          <w:szCs w:val="20"/>
        </w:rPr>
        <w:t>110</w:t>
      </w:r>
      <w:r w:rsidR="009D2CEF">
        <w:rPr>
          <w:rFonts w:asciiTheme="majorHAnsi" w:hAnsiTheme="majorHAnsi" w:cstheme="majorHAnsi"/>
          <w:bCs/>
          <w:iCs/>
          <w:color w:val="000000"/>
          <w:sz w:val="20"/>
          <w:szCs w:val="20"/>
        </w:rPr>
        <w:t>5</w:t>
      </w:r>
    </w:p>
    <w:p w14:paraId="44C05553" w14:textId="77777777" w:rsidR="00DD0C25" w:rsidRPr="00DD0C25" w:rsidRDefault="00DD0C25" w:rsidP="00DD0C25">
      <w:pPr>
        <w:autoSpaceDE w:val="0"/>
        <w:autoSpaceDN w:val="0"/>
        <w:adjustRightInd w:val="0"/>
        <w:jc w:val="center"/>
        <w:rPr>
          <w:rFonts w:asciiTheme="majorHAnsi" w:hAnsiTheme="majorHAnsi" w:cstheme="majorHAnsi"/>
          <w:bCs/>
          <w:iCs/>
          <w:color w:val="000000"/>
          <w:sz w:val="20"/>
          <w:szCs w:val="20"/>
        </w:rPr>
      </w:pPr>
      <w:r w:rsidRPr="00DD0C25">
        <w:rPr>
          <w:rFonts w:asciiTheme="majorHAnsi" w:hAnsiTheme="majorHAnsi" w:cstheme="majorHAnsi"/>
          <w:bCs/>
          <w:iCs/>
          <w:color w:val="000000"/>
          <w:sz w:val="20"/>
          <w:szCs w:val="20"/>
        </w:rPr>
        <w:t>86073 POITIERS CEDEX 9 - France</w:t>
      </w:r>
    </w:p>
    <w:p w14:paraId="21962573" w14:textId="77777777" w:rsidR="00DD0C25" w:rsidRPr="00DD0C25" w:rsidRDefault="00DD0C25" w:rsidP="00DD0C25">
      <w:pPr>
        <w:autoSpaceDE w:val="0"/>
        <w:autoSpaceDN w:val="0"/>
        <w:adjustRightInd w:val="0"/>
        <w:jc w:val="both"/>
        <w:rPr>
          <w:rFonts w:asciiTheme="majorHAnsi" w:hAnsiTheme="majorHAnsi" w:cstheme="majorHAnsi"/>
          <w:bCs/>
          <w:iCs/>
          <w:color w:val="000000"/>
          <w:sz w:val="20"/>
          <w:szCs w:val="20"/>
        </w:rPr>
      </w:pPr>
    </w:p>
    <w:p w14:paraId="16184266" w14:textId="77777777" w:rsidR="00EF6BD9" w:rsidRPr="00EF6BD9" w:rsidRDefault="00EF6BD9" w:rsidP="00EF6BD9">
      <w:pPr>
        <w:autoSpaceDE w:val="0"/>
        <w:autoSpaceDN w:val="0"/>
        <w:adjustRightInd w:val="0"/>
        <w:jc w:val="both"/>
        <w:rPr>
          <w:rFonts w:asciiTheme="majorHAnsi" w:hAnsiTheme="majorHAnsi" w:cstheme="majorHAnsi"/>
          <w:bCs/>
          <w:iCs/>
          <w:color w:val="000000"/>
          <w:sz w:val="20"/>
          <w:szCs w:val="20"/>
        </w:rPr>
      </w:pPr>
      <w:r w:rsidRPr="00EF6BD9">
        <w:rPr>
          <w:rFonts w:asciiTheme="majorHAnsi" w:hAnsiTheme="majorHAnsi" w:cstheme="majorHAnsi"/>
          <w:bCs/>
          <w:iCs/>
          <w:color w:val="000000"/>
          <w:sz w:val="20"/>
          <w:szCs w:val="20"/>
        </w:rPr>
        <w:t xml:space="preserve">▪ Jours et horaires de livraison : du lundi au vendredi de 8h30 à 12h00 et de 13h30 à 17h00. </w:t>
      </w:r>
    </w:p>
    <w:p w14:paraId="3BB8024B" w14:textId="77777777" w:rsidR="00EF6BD9" w:rsidRPr="00EF6BD9" w:rsidRDefault="00EF6BD9" w:rsidP="00EF6BD9">
      <w:pPr>
        <w:autoSpaceDE w:val="0"/>
        <w:autoSpaceDN w:val="0"/>
        <w:adjustRightInd w:val="0"/>
        <w:jc w:val="both"/>
        <w:rPr>
          <w:rFonts w:asciiTheme="majorHAnsi" w:hAnsiTheme="majorHAnsi" w:cstheme="majorHAnsi"/>
          <w:bCs/>
          <w:iCs/>
          <w:color w:val="000000"/>
          <w:sz w:val="20"/>
          <w:szCs w:val="20"/>
        </w:rPr>
      </w:pPr>
    </w:p>
    <w:p w14:paraId="1D3CDCC7" w14:textId="77777777" w:rsidR="00EF6BD9" w:rsidRPr="00EF6BD9" w:rsidRDefault="00EF6BD9" w:rsidP="00EF6BD9">
      <w:pPr>
        <w:autoSpaceDE w:val="0"/>
        <w:autoSpaceDN w:val="0"/>
        <w:adjustRightInd w:val="0"/>
        <w:jc w:val="both"/>
        <w:rPr>
          <w:rFonts w:asciiTheme="majorHAnsi" w:hAnsiTheme="majorHAnsi" w:cstheme="majorHAnsi"/>
          <w:bCs/>
          <w:iCs/>
          <w:color w:val="000000"/>
          <w:sz w:val="20"/>
          <w:szCs w:val="20"/>
        </w:rPr>
      </w:pPr>
      <w:r w:rsidRPr="00EF6BD9">
        <w:rPr>
          <w:rFonts w:asciiTheme="majorHAnsi" w:hAnsiTheme="majorHAnsi" w:cstheme="majorHAnsi"/>
          <w:bCs/>
          <w:iCs/>
          <w:color w:val="000000"/>
          <w:sz w:val="20"/>
          <w:szCs w:val="20"/>
        </w:rPr>
        <w:t>▪ Personnes à contacter avant la livraison :</w:t>
      </w:r>
    </w:p>
    <w:p w14:paraId="42EE767D" w14:textId="697A73C6" w:rsidR="00EF6BD9" w:rsidRPr="00EF6BD9" w:rsidRDefault="00EF6BD9" w:rsidP="00EF6BD9">
      <w:pPr>
        <w:autoSpaceDE w:val="0"/>
        <w:autoSpaceDN w:val="0"/>
        <w:adjustRightInd w:val="0"/>
        <w:jc w:val="both"/>
        <w:rPr>
          <w:rFonts w:asciiTheme="majorHAnsi" w:hAnsiTheme="majorHAnsi" w:cstheme="majorHAnsi"/>
          <w:bCs/>
          <w:iCs/>
          <w:color w:val="000000"/>
          <w:sz w:val="20"/>
          <w:szCs w:val="20"/>
          <w:lang w:val="en-US"/>
        </w:rPr>
      </w:pPr>
      <w:r w:rsidRPr="00EF6BD9">
        <w:rPr>
          <w:rFonts w:asciiTheme="majorHAnsi" w:hAnsiTheme="majorHAnsi" w:cstheme="majorHAnsi"/>
          <w:bCs/>
          <w:iCs/>
          <w:color w:val="000000"/>
          <w:sz w:val="20"/>
          <w:szCs w:val="20"/>
        </w:rPr>
        <w:tab/>
      </w:r>
      <w:r w:rsidRPr="00EF6BD9">
        <w:rPr>
          <w:rFonts w:asciiTheme="majorHAnsi" w:hAnsiTheme="majorHAnsi" w:cstheme="majorHAnsi"/>
          <w:bCs/>
          <w:iCs/>
          <w:color w:val="000000"/>
          <w:sz w:val="20"/>
          <w:szCs w:val="20"/>
        </w:rPr>
        <w:tab/>
      </w:r>
      <w:r>
        <w:rPr>
          <w:rFonts w:asciiTheme="majorHAnsi" w:hAnsiTheme="majorHAnsi" w:cstheme="majorHAnsi"/>
          <w:bCs/>
          <w:iCs/>
          <w:color w:val="000000"/>
          <w:sz w:val="20"/>
          <w:szCs w:val="20"/>
        </w:rPr>
        <w:tab/>
      </w:r>
      <w:r w:rsidRPr="0088170B">
        <w:rPr>
          <w:rFonts w:asciiTheme="majorHAnsi" w:hAnsiTheme="majorHAnsi" w:cstheme="majorHAnsi"/>
          <w:bCs/>
          <w:iCs/>
          <w:color w:val="000000"/>
          <w:sz w:val="20"/>
          <w:szCs w:val="20"/>
        </w:rPr>
        <w:t xml:space="preserve"> </w:t>
      </w:r>
      <w:proofErr w:type="spellStart"/>
      <w:r w:rsidRPr="00EF6BD9">
        <w:rPr>
          <w:rFonts w:asciiTheme="majorHAnsi" w:hAnsiTheme="majorHAnsi" w:cstheme="majorHAnsi"/>
          <w:bCs/>
          <w:iCs/>
          <w:color w:val="000000"/>
          <w:sz w:val="20"/>
          <w:szCs w:val="20"/>
          <w:lang w:val="en-US"/>
        </w:rPr>
        <w:t>Hervé</w:t>
      </w:r>
      <w:proofErr w:type="spellEnd"/>
      <w:r w:rsidRPr="00EF6BD9">
        <w:rPr>
          <w:rFonts w:asciiTheme="majorHAnsi" w:hAnsiTheme="majorHAnsi" w:cstheme="majorHAnsi"/>
          <w:bCs/>
          <w:iCs/>
          <w:color w:val="000000"/>
          <w:sz w:val="20"/>
          <w:szCs w:val="20"/>
          <w:lang w:val="en-US"/>
        </w:rPr>
        <w:t xml:space="preserve"> GALLARD</w:t>
      </w:r>
    </w:p>
    <w:p w14:paraId="51447C17" w14:textId="77777777" w:rsidR="00EF6BD9" w:rsidRPr="006B4D41" w:rsidRDefault="00EF6BD9" w:rsidP="00EF6BD9">
      <w:pPr>
        <w:autoSpaceDE w:val="0"/>
        <w:autoSpaceDN w:val="0"/>
        <w:adjustRightInd w:val="0"/>
        <w:jc w:val="both"/>
        <w:rPr>
          <w:rFonts w:asciiTheme="majorHAnsi" w:hAnsiTheme="majorHAnsi" w:cstheme="majorHAnsi"/>
          <w:bCs/>
          <w:iCs/>
          <w:color w:val="000000"/>
          <w:sz w:val="20"/>
          <w:szCs w:val="20"/>
          <w:lang w:val="en-US"/>
        </w:rPr>
      </w:pPr>
      <w:r w:rsidRPr="00EF6BD9">
        <w:rPr>
          <w:rFonts w:asciiTheme="majorHAnsi" w:hAnsiTheme="majorHAnsi" w:cstheme="majorHAnsi"/>
          <w:bCs/>
          <w:iCs/>
          <w:color w:val="000000"/>
          <w:sz w:val="20"/>
          <w:szCs w:val="20"/>
          <w:lang w:val="en-US"/>
        </w:rPr>
        <w:tab/>
      </w:r>
      <w:r w:rsidRPr="00EF6BD9">
        <w:rPr>
          <w:rFonts w:asciiTheme="majorHAnsi" w:hAnsiTheme="majorHAnsi" w:cstheme="majorHAnsi"/>
          <w:bCs/>
          <w:iCs/>
          <w:color w:val="000000"/>
          <w:sz w:val="20"/>
          <w:szCs w:val="20"/>
          <w:lang w:val="en-US"/>
        </w:rPr>
        <w:tab/>
      </w:r>
      <w:r w:rsidRPr="00EF6BD9">
        <w:rPr>
          <w:rFonts w:asciiTheme="majorHAnsi" w:hAnsiTheme="majorHAnsi" w:cstheme="majorHAnsi"/>
          <w:bCs/>
          <w:iCs/>
          <w:color w:val="000000"/>
          <w:sz w:val="20"/>
          <w:szCs w:val="20"/>
          <w:lang w:val="en-US"/>
        </w:rPr>
        <w:tab/>
      </w:r>
      <w:proofErr w:type="spellStart"/>
      <w:r w:rsidRPr="006B4D41">
        <w:rPr>
          <w:rFonts w:asciiTheme="majorHAnsi" w:hAnsiTheme="majorHAnsi" w:cstheme="majorHAnsi"/>
          <w:bCs/>
          <w:iCs/>
          <w:color w:val="000000"/>
          <w:sz w:val="20"/>
          <w:szCs w:val="20"/>
          <w:lang w:val="en-US"/>
        </w:rPr>
        <w:t>Tél</w:t>
      </w:r>
      <w:proofErr w:type="spellEnd"/>
      <w:proofErr w:type="gramStart"/>
      <w:r w:rsidRPr="006B4D41">
        <w:rPr>
          <w:rFonts w:asciiTheme="majorHAnsi" w:hAnsiTheme="majorHAnsi" w:cstheme="majorHAnsi"/>
          <w:bCs/>
          <w:iCs/>
          <w:color w:val="000000"/>
          <w:sz w:val="20"/>
          <w:szCs w:val="20"/>
          <w:lang w:val="en-US"/>
        </w:rPr>
        <w:t>. :</w:t>
      </w:r>
      <w:proofErr w:type="gramEnd"/>
      <w:r w:rsidRPr="006B4D41">
        <w:rPr>
          <w:rFonts w:asciiTheme="majorHAnsi" w:hAnsiTheme="majorHAnsi" w:cstheme="majorHAnsi"/>
          <w:bCs/>
          <w:iCs/>
          <w:color w:val="000000"/>
          <w:sz w:val="20"/>
          <w:szCs w:val="20"/>
          <w:lang w:val="en-US"/>
        </w:rPr>
        <w:t xml:space="preserve"> 05.49.45.44.31</w:t>
      </w:r>
    </w:p>
    <w:p w14:paraId="697D2044" w14:textId="4B5960A9" w:rsidR="00DD0C25" w:rsidRPr="006B4D41" w:rsidRDefault="00EF6BD9" w:rsidP="00EF6BD9">
      <w:pPr>
        <w:autoSpaceDE w:val="0"/>
        <w:autoSpaceDN w:val="0"/>
        <w:adjustRightInd w:val="0"/>
        <w:jc w:val="both"/>
        <w:rPr>
          <w:rFonts w:asciiTheme="majorHAnsi" w:hAnsiTheme="majorHAnsi" w:cstheme="majorHAnsi"/>
          <w:bCs/>
          <w:iCs/>
          <w:color w:val="000000"/>
          <w:sz w:val="24"/>
          <w:szCs w:val="24"/>
          <w:lang w:val="en-US"/>
        </w:rPr>
      </w:pPr>
      <w:r w:rsidRPr="006B4D41">
        <w:rPr>
          <w:rFonts w:asciiTheme="majorHAnsi" w:hAnsiTheme="majorHAnsi" w:cstheme="majorHAnsi"/>
          <w:bCs/>
          <w:iCs/>
          <w:color w:val="000000"/>
          <w:sz w:val="20"/>
          <w:szCs w:val="20"/>
          <w:lang w:val="en-US"/>
        </w:rPr>
        <w:tab/>
      </w:r>
      <w:r w:rsidRPr="006B4D41">
        <w:rPr>
          <w:rFonts w:asciiTheme="majorHAnsi" w:hAnsiTheme="majorHAnsi" w:cstheme="majorHAnsi"/>
          <w:bCs/>
          <w:iCs/>
          <w:color w:val="000000"/>
          <w:sz w:val="20"/>
          <w:szCs w:val="20"/>
          <w:lang w:val="en-US"/>
        </w:rPr>
        <w:tab/>
      </w:r>
      <w:r w:rsidRPr="006B4D41">
        <w:rPr>
          <w:rFonts w:asciiTheme="majorHAnsi" w:hAnsiTheme="majorHAnsi" w:cstheme="majorHAnsi"/>
          <w:bCs/>
          <w:iCs/>
          <w:color w:val="000000"/>
          <w:sz w:val="20"/>
          <w:szCs w:val="20"/>
          <w:lang w:val="en-US"/>
        </w:rPr>
        <w:tab/>
      </w:r>
      <w:proofErr w:type="gramStart"/>
      <w:r w:rsidRPr="006B4D41">
        <w:rPr>
          <w:rFonts w:asciiTheme="majorHAnsi" w:hAnsiTheme="majorHAnsi" w:cstheme="majorHAnsi"/>
          <w:bCs/>
          <w:iCs/>
          <w:color w:val="000000"/>
          <w:sz w:val="20"/>
          <w:szCs w:val="20"/>
          <w:lang w:val="en-US"/>
        </w:rPr>
        <w:t>Email :</w:t>
      </w:r>
      <w:proofErr w:type="gramEnd"/>
      <w:r w:rsidRPr="006B4D41">
        <w:rPr>
          <w:rFonts w:asciiTheme="majorHAnsi" w:hAnsiTheme="majorHAnsi" w:cstheme="majorHAnsi"/>
          <w:bCs/>
          <w:iCs/>
          <w:color w:val="000000"/>
          <w:sz w:val="20"/>
          <w:szCs w:val="20"/>
          <w:lang w:val="en-US"/>
        </w:rPr>
        <w:t xml:space="preserve"> herve.gallard@univ-poitiers.fr</w:t>
      </w:r>
    </w:p>
    <w:p w14:paraId="0B753EF5" w14:textId="4A6CD53E" w:rsidR="00A31096" w:rsidRPr="00B142B6" w:rsidRDefault="00A31096" w:rsidP="0033597A">
      <w:pPr>
        <w:pStyle w:val="Titre2"/>
        <w:numPr>
          <w:ilvl w:val="1"/>
          <w:numId w:val="12"/>
        </w:numPr>
      </w:pPr>
      <w:bookmarkStart w:id="16" w:name="_Toc133234616"/>
      <w:r w:rsidRPr="00B142B6">
        <w:t xml:space="preserve">Mise en service </w:t>
      </w:r>
      <w:r w:rsidR="00BF6E15" w:rsidRPr="00B142B6">
        <w:t>et formation</w:t>
      </w:r>
      <w:bookmarkEnd w:id="16"/>
    </w:p>
    <w:p w14:paraId="70B4E40C" w14:textId="5885F957" w:rsidR="005B257E" w:rsidRPr="00BE7DE5" w:rsidRDefault="009D2CEF" w:rsidP="005B257E">
      <w:pPr>
        <w:rPr>
          <w:rFonts w:asciiTheme="majorHAnsi" w:hAnsiTheme="majorHAnsi" w:cstheme="majorHAnsi"/>
          <w:sz w:val="20"/>
          <w:szCs w:val="20"/>
        </w:rPr>
      </w:pPr>
      <w:r w:rsidRPr="00BE7DE5">
        <w:rPr>
          <w:rFonts w:asciiTheme="majorHAnsi" w:hAnsiTheme="majorHAnsi" w:cstheme="majorHAnsi"/>
          <w:sz w:val="20"/>
          <w:szCs w:val="20"/>
        </w:rPr>
        <w:t>Les contraintes liées à la bonne installation de l’équipement devront être précisées dans l’offre. Lors de l’installation, un test de performance du matériel, proposé dans l’offre, devra être réalisé.</w:t>
      </w:r>
    </w:p>
    <w:p w14:paraId="7848A0D7" w14:textId="77777777" w:rsidR="00EF6BD9" w:rsidRDefault="00EF6BD9">
      <w:pPr>
        <w:rPr>
          <w:rFonts w:asciiTheme="majorHAnsi" w:eastAsiaTheme="majorEastAsia" w:hAnsiTheme="majorHAnsi" w:cstheme="majorBidi"/>
          <w:b/>
          <w:color w:val="2F5496" w:themeColor="accent1" w:themeShade="BF"/>
          <w:sz w:val="32"/>
          <w:szCs w:val="32"/>
        </w:rPr>
      </w:pPr>
      <w:bookmarkStart w:id="17" w:name="_Toc121158437"/>
      <w:r>
        <w:br w:type="page"/>
      </w:r>
    </w:p>
    <w:p w14:paraId="57CC53A8" w14:textId="27BF7DC4" w:rsidR="00E75951" w:rsidRPr="00B142B6" w:rsidRDefault="00E75951" w:rsidP="00862384">
      <w:pPr>
        <w:pStyle w:val="Titre1"/>
      </w:pPr>
      <w:r w:rsidRPr="00B142B6">
        <w:lastRenderedPageBreak/>
        <w:t>CRIT</w:t>
      </w:r>
      <w:r w:rsidR="00A93A7D">
        <w:t>È</w:t>
      </w:r>
      <w:r w:rsidRPr="00B142B6">
        <w:t xml:space="preserve">RES </w:t>
      </w:r>
      <w:proofErr w:type="gramStart"/>
      <w:r w:rsidRPr="00B142B6">
        <w:t>D</w:t>
      </w:r>
      <w:r w:rsidR="00862384">
        <w:t>’ATTRIBUTION</w:t>
      </w:r>
      <w:r w:rsidRPr="00B142B6">
        <w:t>:</w:t>
      </w:r>
      <w:bookmarkEnd w:id="17"/>
      <w:proofErr w:type="gramEnd"/>
    </w:p>
    <w:p w14:paraId="3E17E982" w14:textId="77777777" w:rsidR="00655405" w:rsidRPr="00B142B6" w:rsidRDefault="00655405" w:rsidP="00655405">
      <w:pPr>
        <w:rPr>
          <w:rFonts w:asciiTheme="majorHAnsi" w:hAnsiTheme="majorHAnsi" w:cstheme="majorHAnsi"/>
        </w:rPr>
      </w:pPr>
    </w:p>
    <w:tbl>
      <w:tblPr>
        <w:tblW w:w="7998"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6557"/>
        <w:gridCol w:w="1441"/>
      </w:tblGrid>
      <w:tr w:rsidR="00655405" w:rsidRPr="00B142B6" w14:paraId="33156B5E" w14:textId="77777777" w:rsidTr="00DC34F8">
        <w:trPr>
          <w:trHeight w:val="121"/>
          <w:jc w:val="center"/>
        </w:trPr>
        <w:tc>
          <w:tcPr>
            <w:tcW w:w="65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6604EE" w14:textId="77777777" w:rsidR="00655405" w:rsidRPr="00B142B6" w:rsidRDefault="00655405" w:rsidP="009C3418">
            <w:pPr>
              <w:jc w:val="center"/>
              <w:rPr>
                <w:rFonts w:asciiTheme="majorHAnsi" w:hAnsiTheme="majorHAnsi" w:cstheme="majorHAnsi"/>
                <w:b/>
                <w:bCs/>
                <w:sz w:val="24"/>
                <w:szCs w:val="24"/>
              </w:rPr>
            </w:pPr>
            <w:r w:rsidRPr="00B142B6">
              <w:rPr>
                <w:rFonts w:asciiTheme="majorHAnsi" w:hAnsiTheme="majorHAnsi" w:cstheme="majorHAnsi"/>
                <w:b/>
                <w:bCs/>
                <w:sz w:val="24"/>
                <w:szCs w:val="24"/>
              </w:rPr>
              <w:t>Critères</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D7FD19" w14:textId="77777777" w:rsidR="00655405" w:rsidRPr="00B142B6" w:rsidRDefault="00655405" w:rsidP="009C3418">
            <w:pPr>
              <w:rPr>
                <w:rFonts w:asciiTheme="majorHAnsi" w:hAnsiTheme="majorHAnsi" w:cstheme="majorHAnsi"/>
                <w:b/>
                <w:bCs/>
                <w:sz w:val="24"/>
                <w:szCs w:val="24"/>
              </w:rPr>
            </w:pPr>
            <w:r w:rsidRPr="00B142B6">
              <w:rPr>
                <w:rFonts w:asciiTheme="majorHAnsi" w:hAnsiTheme="majorHAnsi" w:cstheme="majorHAnsi"/>
                <w:b/>
                <w:bCs/>
                <w:sz w:val="24"/>
                <w:szCs w:val="24"/>
              </w:rPr>
              <w:t>Pourcentage</w:t>
            </w:r>
          </w:p>
        </w:tc>
      </w:tr>
      <w:tr w:rsidR="00655405" w:rsidRPr="00B142B6" w14:paraId="6B555079" w14:textId="77777777" w:rsidTr="00DC34F8">
        <w:trPr>
          <w:trHeight w:val="74"/>
          <w:jc w:val="center"/>
        </w:trPr>
        <w:tc>
          <w:tcPr>
            <w:tcW w:w="65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C4D356" w14:textId="3EF67DCE" w:rsidR="00655405" w:rsidRPr="00B142B6" w:rsidRDefault="00D01FE2" w:rsidP="00EF6BD9">
            <w:pPr>
              <w:keepNext/>
              <w:spacing w:before="240" w:after="60"/>
              <w:outlineLvl w:val="0"/>
              <w:rPr>
                <w:rFonts w:asciiTheme="majorHAnsi" w:hAnsiTheme="majorHAnsi" w:cstheme="majorHAnsi"/>
                <w:b/>
                <w:sz w:val="24"/>
                <w:szCs w:val="24"/>
              </w:rPr>
            </w:pPr>
            <w:r>
              <w:rPr>
                <w:rFonts w:asciiTheme="majorHAnsi" w:hAnsiTheme="majorHAnsi" w:cstheme="majorHAnsi"/>
                <w:b/>
                <w:sz w:val="24"/>
                <w:szCs w:val="24"/>
              </w:rPr>
              <w:t xml:space="preserve">Critère 1 - </w:t>
            </w:r>
            <w:r w:rsidR="00655405" w:rsidRPr="00B142B6">
              <w:rPr>
                <w:rFonts w:asciiTheme="majorHAnsi" w:hAnsiTheme="majorHAnsi" w:cstheme="majorHAnsi"/>
                <w:b/>
                <w:sz w:val="24"/>
                <w:szCs w:val="24"/>
              </w:rPr>
              <w:t xml:space="preserve">Prix </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F3C358" w14:textId="77777777" w:rsidR="00DC34F8" w:rsidRDefault="00DC34F8" w:rsidP="009C3418">
            <w:pPr>
              <w:rPr>
                <w:rFonts w:asciiTheme="majorHAnsi" w:hAnsiTheme="majorHAnsi" w:cstheme="majorHAnsi"/>
                <w:sz w:val="24"/>
                <w:szCs w:val="24"/>
              </w:rPr>
            </w:pPr>
          </w:p>
          <w:p w14:paraId="34EC6116" w14:textId="41D5F3B8" w:rsidR="00655405" w:rsidRPr="00B142B6" w:rsidRDefault="0088170B" w:rsidP="009C3418">
            <w:pPr>
              <w:rPr>
                <w:rFonts w:asciiTheme="majorHAnsi" w:hAnsiTheme="majorHAnsi" w:cstheme="majorHAnsi"/>
                <w:sz w:val="24"/>
                <w:szCs w:val="24"/>
              </w:rPr>
            </w:pPr>
            <w:r>
              <w:rPr>
                <w:rFonts w:asciiTheme="majorHAnsi" w:hAnsiTheme="majorHAnsi" w:cstheme="majorHAnsi"/>
                <w:sz w:val="24"/>
                <w:szCs w:val="24"/>
              </w:rPr>
              <w:t>50</w:t>
            </w:r>
          </w:p>
        </w:tc>
      </w:tr>
      <w:tr w:rsidR="00655405" w:rsidRPr="00B142B6" w14:paraId="5B5728F2" w14:textId="77777777" w:rsidTr="00DC34F8">
        <w:trPr>
          <w:trHeight w:val="771"/>
          <w:jc w:val="center"/>
        </w:trPr>
        <w:tc>
          <w:tcPr>
            <w:tcW w:w="65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FD16BC" w14:textId="1F2A9082" w:rsidR="00655405" w:rsidRDefault="00D01FE2" w:rsidP="0030100D">
            <w:pPr>
              <w:keepNext/>
              <w:spacing w:before="240" w:after="60"/>
              <w:outlineLvl w:val="0"/>
              <w:rPr>
                <w:rFonts w:asciiTheme="majorHAnsi" w:hAnsiTheme="majorHAnsi" w:cstheme="majorHAnsi"/>
                <w:b/>
                <w:sz w:val="24"/>
                <w:szCs w:val="24"/>
              </w:rPr>
            </w:pPr>
            <w:r>
              <w:rPr>
                <w:rFonts w:asciiTheme="majorHAnsi" w:hAnsiTheme="majorHAnsi" w:cstheme="majorHAnsi"/>
                <w:b/>
                <w:sz w:val="24"/>
                <w:szCs w:val="24"/>
              </w:rPr>
              <w:t xml:space="preserve">Critère 2 - </w:t>
            </w:r>
            <w:r w:rsidR="00655405" w:rsidRPr="00B142B6">
              <w:rPr>
                <w:rFonts w:asciiTheme="majorHAnsi" w:hAnsiTheme="majorHAnsi" w:cstheme="majorHAnsi"/>
                <w:b/>
                <w:sz w:val="24"/>
                <w:szCs w:val="24"/>
              </w:rPr>
              <w:t xml:space="preserve">Qualité de la valeur technique : </w:t>
            </w:r>
          </w:p>
          <w:p w14:paraId="656ECAE8" w14:textId="52D84DB5" w:rsidR="00D01FE2" w:rsidRDefault="00D01FE2" w:rsidP="0030100D">
            <w:pPr>
              <w:keepNext/>
              <w:spacing w:before="240" w:after="60"/>
              <w:outlineLvl w:val="0"/>
              <w:rPr>
                <w:rFonts w:asciiTheme="majorHAnsi" w:hAnsiTheme="majorHAnsi" w:cstheme="majorHAnsi"/>
                <w:b/>
                <w:sz w:val="24"/>
                <w:szCs w:val="24"/>
              </w:rPr>
            </w:pPr>
            <w:r>
              <w:rPr>
                <w:rFonts w:asciiTheme="majorHAnsi" w:hAnsiTheme="majorHAnsi" w:cstheme="majorHAnsi"/>
                <w:b/>
                <w:sz w:val="24"/>
                <w:szCs w:val="24"/>
              </w:rPr>
              <w:t xml:space="preserve">2.1 </w:t>
            </w:r>
            <w:r w:rsidR="006E2889">
              <w:rPr>
                <w:rFonts w:asciiTheme="majorHAnsi" w:hAnsiTheme="majorHAnsi" w:cstheme="majorHAnsi"/>
                <w:b/>
                <w:sz w:val="24"/>
                <w:szCs w:val="24"/>
              </w:rPr>
              <w:t>Possibilité</w:t>
            </w:r>
            <w:r w:rsidR="00C840E5">
              <w:rPr>
                <w:rFonts w:asciiTheme="majorHAnsi" w:hAnsiTheme="majorHAnsi" w:cstheme="majorHAnsi"/>
                <w:b/>
                <w:sz w:val="24"/>
                <w:szCs w:val="24"/>
              </w:rPr>
              <w:t>s</w:t>
            </w:r>
            <w:r w:rsidR="006E2889">
              <w:rPr>
                <w:rFonts w:asciiTheme="majorHAnsi" w:hAnsiTheme="majorHAnsi" w:cstheme="majorHAnsi"/>
                <w:b/>
                <w:sz w:val="24"/>
                <w:szCs w:val="24"/>
              </w:rPr>
              <w:t xml:space="preserve"> d’adapter différents types de</w:t>
            </w:r>
            <w:r>
              <w:rPr>
                <w:rFonts w:asciiTheme="majorHAnsi" w:hAnsiTheme="majorHAnsi" w:cstheme="majorHAnsi"/>
                <w:b/>
                <w:sz w:val="24"/>
                <w:szCs w:val="24"/>
              </w:rPr>
              <w:t xml:space="preserve"> cartouche</w:t>
            </w:r>
            <w:r w:rsidR="00F47FF8">
              <w:rPr>
                <w:rFonts w:asciiTheme="majorHAnsi" w:hAnsiTheme="majorHAnsi" w:cstheme="majorHAnsi"/>
                <w:b/>
                <w:sz w:val="24"/>
                <w:szCs w:val="24"/>
              </w:rPr>
              <w:t xml:space="preserve"> SPE</w:t>
            </w:r>
          </w:p>
          <w:p w14:paraId="26FCAB73" w14:textId="4F29EDA6" w:rsidR="00D01FE2" w:rsidRDefault="00D01FE2" w:rsidP="0030100D">
            <w:pPr>
              <w:keepNext/>
              <w:spacing w:before="240" w:after="60"/>
              <w:outlineLvl w:val="0"/>
              <w:rPr>
                <w:rFonts w:asciiTheme="majorHAnsi" w:hAnsiTheme="majorHAnsi" w:cstheme="majorHAnsi"/>
                <w:b/>
                <w:sz w:val="24"/>
                <w:szCs w:val="24"/>
              </w:rPr>
            </w:pPr>
            <w:r>
              <w:rPr>
                <w:rFonts w:asciiTheme="majorHAnsi" w:hAnsiTheme="majorHAnsi" w:cstheme="majorHAnsi"/>
                <w:b/>
                <w:sz w:val="24"/>
                <w:szCs w:val="24"/>
              </w:rPr>
              <w:t xml:space="preserve">2.2 </w:t>
            </w:r>
            <w:r w:rsidR="006E2889">
              <w:rPr>
                <w:rFonts w:asciiTheme="majorHAnsi" w:hAnsiTheme="majorHAnsi" w:cstheme="majorHAnsi"/>
                <w:b/>
                <w:sz w:val="24"/>
                <w:szCs w:val="24"/>
              </w:rPr>
              <w:t>Possibilité</w:t>
            </w:r>
            <w:r w:rsidR="00C840E5">
              <w:rPr>
                <w:rFonts w:asciiTheme="majorHAnsi" w:hAnsiTheme="majorHAnsi" w:cstheme="majorHAnsi"/>
                <w:b/>
                <w:sz w:val="24"/>
                <w:szCs w:val="24"/>
              </w:rPr>
              <w:t>s</w:t>
            </w:r>
            <w:r w:rsidR="006E2889">
              <w:rPr>
                <w:rFonts w:asciiTheme="majorHAnsi" w:hAnsiTheme="majorHAnsi" w:cstheme="majorHAnsi"/>
                <w:b/>
                <w:sz w:val="24"/>
                <w:szCs w:val="24"/>
              </w:rPr>
              <w:t xml:space="preserve"> de changer</w:t>
            </w:r>
            <w:r>
              <w:rPr>
                <w:rFonts w:asciiTheme="majorHAnsi" w:hAnsiTheme="majorHAnsi" w:cstheme="majorHAnsi"/>
                <w:b/>
                <w:sz w:val="24"/>
                <w:szCs w:val="24"/>
              </w:rPr>
              <w:t xml:space="preserve"> </w:t>
            </w:r>
            <w:r w:rsidR="006E2889">
              <w:rPr>
                <w:rFonts w:asciiTheme="majorHAnsi" w:hAnsiTheme="majorHAnsi" w:cstheme="majorHAnsi"/>
                <w:b/>
                <w:sz w:val="24"/>
                <w:szCs w:val="24"/>
              </w:rPr>
              <w:t>les racks d’élution</w:t>
            </w:r>
          </w:p>
          <w:p w14:paraId="6F45FE14" w14:textId="0A62107A" w:rsidR="00655405" w:rsidRPr="00F47FF8" w:rsidRDefault="00D01FE2" w:rsidP="009C3418">
            <w:pPr>
              <w:keepNext/>
              <w:spacing w:before="240" w:after="60"/>
              <w:outlineLvl w:val="0"/>
              <w:rPr>
                <w:rFonts w:asciiTheme="majorHAnsi" w:hAnsiTheme="majorHAnsi" w:cstheme="majorHAnsi"/>
                <w:b/>
                <w:sz w:val="24"/>
                <w:szCs w:val="24"/>
              </w:rPr>
            </w:pPr>
            <w:r>
              <w:rPr>
                <w:rFonts w:asciiTheme="majorHAnsi" w:hAnsiTheme="majorHAnsi" w:cstheme="majorHAnsi"/>
                <w:b/>
                <w:sz w:val="24"/>
                <w:szCs w:val="24"/>
              </w:rPr>
              <w:t>2.3 Facilité d’utilisation</w:t>
            </w:r>
            <w:r w:rsidR="00655405" w:rsidRPr="0030100D">
              <w:rPr>
                <w:rFonts w:asciiTheme="majorHAnsi" w:hAnsiTheme="majorHAnsi" w:cstheme="majorHAnsi"/>
                <w:color w:val="5B9BD5" w:themeColor="accent5"/>
                <w:sz w:val="20"/>
              </w:rPr>
              <w:t xml:space="preserve"> </w:t>
            </w:r>
          </w:p>
        </w:tc>
        <w:tc>
          <w:tcPr>
            <w:tcW w:w="144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03DA0C" w14:textId="6F1EC43A" w:rsidR="00655405" w:rsidRPr="00DC34F8" w:rsidRDefault="0088170B" w:rsidP="009C3418">
            <w:pPr>
              <w:rPr>
                <w:rFonts w:asciiTheme="majorHAnsi" w:hAnsiTheme="majorHAnsi" w:cstheme="majorHAnsi"/>
                <w:sz w:val="24"/>
                <w:szCs w:val="24"/>
              </w:rPr>
            </w:pPr>
            <w:r w:rsidRPr="00DC34F8">
              <w:rPr>
                <w:rFonts w:asciiTheme="majorHAnsi" w:hAnsiTheme="majorHAnsi" w:cstheme="majorHAnsi"/>
                <w:sz w:val="24"/>
                <w:szCs w:val="24"/>
              </w:rPr>
              <w:t>50</w:t>
            </w:r>
          </w:p>
          <w:p w14:paraId="36CD2A35" w14:textId="77777777" w:rsidR="00D01FE2" w:rsidRPr="00DC34F8" w:rsidRDefault="00D01FE2" w:rsidP="009C3418">
            <w:pPr>
              <w:rPr>
                <w:rFonts w:asciiTheme="majorHAnsi" w:hAnsiTheme="majorHAnsi" w:cstheme="majorHAnsi"/>
                <w:sz w:val="24"/>
                <w:szCs w:val="24"/>
              </w:rPr>
            </w:pPr>
          </w:p>
          <w:p w14:paraId="4EA357AC" w14:textId="77777777" w:rsidR="00D01FE2" w:rsidRPr="00DC34F8" w:rsidRDefault="00D01FE2" w:rsidP="009C3418">
            <w:pPr>
              <w:rPr>
                <w:rFonts w:asciiTheme="majorHAnsi" w:hAnsiTheme="majorHAnsi" w:cstheme="majorHAnsi"/>
                <w:sz w:val="24"/>
                <w:szCs w:val="24"/>
              </w:rPr>
            </w:pPr>
            <w:r w:rsidRPr="00DC34F8">
              <w:rPr>
                <w:rFonts w:asciiTheme="majorHAnsi" w:hAnsiTheme="majorHAnsi" w:cstheme="majorHAnsi"/>
                <w:sz w:val="24"/>
                <w:szCs w:val="24"/>
              </w:rPr>
              <w:t>20</w:t>
            </w:r>
          </w:p>
          <w:p w14:paraId="756F4D63" w14:textId="77777777" w:rsidR="00D01FE2" w:rsidRPr="00DC34F8" w:rsidRDefault="00D01FE2" w:rsidP="009C3418">
            <w:pPr>
              <w:rPr>
                <w:rFonts w:asciiTheme="majorHAnsi" w:hAnsiTheme="majorHAnsi" w:cstheme="majorHAnsi"/>
                <w:sz w:val="24"/>
                <w:szCs w:val="24"/>
              </w:rPr>
            </w:pPr>
          </w:p>
          <w:p w14:paraId="6CA2DB19" w14:textId="77777777" w:rsidR="00D01FE2" w:rsidRPr="00DC34F8" w:rsidRDefault="00D01FE2" w:rsidP="009C3418">
            <w:pPr>
              <w:rPr>
                <w:rFonts w:asciiTheme="majorHAnsi" w:hAnsiTheme="majorHAnsi" w:cstheme="majorHAnsi"/>
                <w:sz w:val="24"/>
                <w:szCs w:val="24"/>
              </w:rPr>
            </w:pPr>
            <w:r w:rsidRPr="00DC34F8">
              <w:rPr>
                <w:rFonts w:asciiTheme="majorHAnsi" w:hAnsiTheme="majorHAnsi" w:cstheme="majorHAnsi"/>
                <w:sz w:val="24"/>
                <w:szCs w:val="24"/>
              </w:rPr>
              <w:t>15</w:t>
            </w:r>
          </w:p>
          <w:p w14:paraId="569E9483" w14:textId="77777777" w:rsidR="00D01FE2" w:rsidRPr="00DC34F8" w:rsidRDefault="00D01FE2" w:rsidP="009C3418">
            <w:pPr>
              <w:rPr>
                <w:rFonts w:asciiTheme="majorHAnsi" w:hAnsiTheme="majorHAnsi" w:cstheme="majorHAnsi"/>
                <w:sz w:val="24"/>
                <w:szCs w:val="24"/>
              </w:rPr>
            </w:pPr>
          </w:p>
          <w:p w14:paraId="6B313F52" w14:textId="0A50CE14" w:rsidR="00D01FE2" w:rsidRPr="00B142B6" w:rsidRDefault="00D01FE2" w:rsidP="009C3418">
            <w:pPr>
              <w:rPr>
                <w:rFonts w:asciiTheme="majorHAnsi" w:hAnsiTheme="majorHAnsi" w:cstheme="majorHAnsi"/>
                <w:sz w:val="24"/>
                <w:szCs w:val="24"/>
              </w:rPr>
            </w:pPr>
            <w:r w:rsidRPr="00DC34F8">
              <w:rPr>
                <w:rFonts w:asciiTheme="majorHAnsi" w:hAnsiTheme="majorHAnsi" w:cstheme="majorHAnsi"/>
                <w:sz w:val="24"/>
                <w:szCs w:val="24"/>
              </w:rPr>
              <w:t>15</w:t>
            </w:r>
          </w:p>
        </w:tc>
      </w:tr>
    </w:tbl>
    <w:p w14:paraId="30643CE6" w14:textId="77777777" w:rsidR="00655405" w:rsidRPr="00B142B6" w:rsidRDefault="00655405" w:rsidP="00655405">
      <w:pPr>
        <w:rPr>
          <w:rFonts w:asciiTheme="majorHAnsi" w:hAnsiTheme="majorHAnsi" w:cstheme="majorHAnsi"/>
        </w:rPr>
      </w:pPr>
    </w:p>
    <w:p w14:paraId="30C02EB3" w14:textId="77777777" w:rsidR="00E75951" w:rsidRPr="00141422" w:rsidRDefault="00E75951" w:rsidP="00CF75C6">
      <w:pPr>
        <w:spacing w:line="276" w:lineRule="auto"/>
        <w:jc w:val="both"/>
        <w:rPr>
          <w:rFonts w:asciiTheme="majorHAnsi" w:hAnsiTheme="majorHAnsi" w:cstheme="majorHAnsi"/>
          <w:b/>
          <w:sz w:val="24"/>
          <w:szCs w:val="24"/>
        </w:rPr>
      </w:pPr>
    </w:p>
    <w:sectPr w:rsidR="00E75951" w:rsidRPr="00141422" w:rsidSect="00B142B6">
      <w:headerReference w:type="default" r:id="rId8"/>
      <w:footerReference w:type="even" r:id="rId9"/>
      <w:footerReference w:type="default" r:id="rId10"/>
      <w:pgSz w:w="11900" w:h="16840"/>
      <w:pgMar w:top="1702" w:right="1417" w:bottom="1417" w:left="1417" w:header="142" w:footer="708"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25B8A" w14:textId="77777777" w:rsidR="00177D72" w:rsidRDefault="00177D72" w:rsidP="0021215F">
      <w:r>
        <w:separator/>
      </w:r>
    </w:p>
  </w:endnote>
  <w:endnote w:type="continuationSeparator" w:id="0">
    <w:p w14:paraId="3E0A3C95" w14:textId="77777777" w:rsidR="00177D72" w:rsidRDefault="00177D72" w:rsidP="0021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UnicodeMS-WinCharSetFFFF-H">
    <w:altName w:val="Arial"/>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96327753"/>
      <w:docPartObj>
        <w:docPartGallery w:val="Page Numbers (Bottom of Page)"/>
        <w:docPartUnique/>
      </w:docPartObj>
    </w:sdtPr>
    <w:sdtEndPr>
      <w:rPr>
        <w:rStyle w:val="Numrodepage"/>
      </w:rPr>
    </w:sdtEndPr>
    <w:sdtContent>
      <w:p w14:paraId="2ED534A3" w14:textId="77777777" w:rsidR="0021215F" w:rsidRDefault="0021215F" w:rsidP="00F46EB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45119E5" w14:textId="77777777" w:rsidR="0021215F" w:rsidRDefault="0021215F" w:rsidP="002121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DF7E8" w14:textId="04C376AE" w:rsidR="0021215F" w:rsidRPr="000103C7" w:rsidRDefault="000103C7" w:rsidP="0021215F">
    <w:pPr>
      <w:pStyle w:val="Pieddepage"/>
      <w:ind w:right="360"/>
      <w:rPr>
        <w:sz w:val="20"/>
        <w:szCs w:val="20"/>
      </w:rPr>
    </w:pPr>
    <w:r w:rsidRPr="000103C7">
      <w:rPr>
        <w:sz w:val="20"/>
        <w:szCs w:val="20"/>
      </w:rPr>
      <w:t>CCTP</w:t>
    </w:r>
    <w:r w:rsidR="006618CD">
      <w:rPr>
        <w:sz w:val="20"/>
        <w:szCs w:val="20"/>
      </w:rPr>
      <w:t xml:space="preserve"> n°2025A009</w:t>
    </w:r>
    <w:r w:rsidRPr="000103C7">
      <w:rPr>
        <w:sz w:val="20"/>
        <w:szCs w:val="20"/>
      </w:rPr>
      <w:tab/>
    </w:r>
    <w:r w:rsidRPr="000103C7">
      <w:rPr>
        <w:sz w:val="20"/>
        <w:szCs w:val="20"/>
      </w:rPr>
      <w:tab/>
      <w:t xml:space="preserve">Page </w:t>
    </w:r>
    <w:r w:rsidRPr="000103C7">
      <w:rPr>
        <w:b/>
        <w:bCs/>
        <w:sz w:val="20"/>
        <w:szCs w:val="20"/>
      </w:rPr>
      <w:fldChar w:fldCharType="begin"/>
    </w:r>
    <w:r w:rsidRPr="000103C7">
      <w:rPr>
        <w:b/>
        <w:bCs/>
        <w:sz w:val="20"/>
        <w:szCs w:val="20"/>
      </w:rPr>
      <w:instrText>PAGE  \* Arabic  \* MERGEFORMAT</w:instrText>
    </w:r>
    <w:r w:rsidRPr="000103C7">
      <w:rPr>
        <w:b/>
        <w:bCs/>
        <w:sz w:val="20"/>
        <w:szCs w:val="20"/>
      </w:rPr>
      <w:fldChar w:fldCharType="separate"/>
    </w:r>
    <w:r w:rsidR="004C0B87">
      <w:rPr>
        <w:b/>
        <w:bCs/>
        <w:noProof/>
        <w:sz w:val="20"/>
        <w:szCs w:val="20"/>
      </w:rPr>
      <w:t>5</w:t>
    </w:r>
    <w:r w:rsidRPr="000103C7">
      <w:rPr>
        <w:b/>
        <w:bCs/>
        <w:sz w:val="20"/>
        <w:szCs w:val="20"/>
      </w:rPr>
      <w:fldChar w:fldCharType="end"/>
    </w:r>
    <w:r w:rsidRPr="000103C7">
      <w:rPr>
        <w:sz w:val="20"/>
        <w:szCs w:val="20"/>
      </w:rPr>
      <w:t xml:space="preserve"> sur </w:t>
    </w:r>
    <w:r w:rsidRPr="000103C7">
      <w:rPr>
        <w:b/>
        <w:bCs/>
        <w:sz w:val="20"/>
        <w:szCs w:val="20"/>
      </w:rPr>
      <w:fldChar w:fldCharType="begin"/>
    </w:r>
    <w:r w:rsidRPr="000103C7">
      <w:rPr>
        <w:b/>
        <w:bCs/>
        <w:sz w:val="20"/>
        <w:szCs w:val="20"/>
      </w:rPr>
      <w:instrText>NUMPAGES  \* Arabic  \* MERGEFORMAT</w:instrText>
    </w:r>
    <w:r w:rsidRPr="000103C7">
      <w:rPr>
        <w:b/>
        <w:bCs/>
        <w:sz w:val="20"/>
        <w:szCs w:val="20"/>
      </w:rPr>
      <w:fldChar w:fldCharType="separate"/>
    </w:r>
    <w:r w:rsidR="004C0B87">
      <w:rPr>
        <w:b/>
        <w:bCs/>
        <w:noProof/>
        <w:sz w:val="20"/>
        <w:szCs w:val="20"/>
      </w:rPr>
      <w:t>5</w:t>
    </w:r>
    <w:r w:rsidRPr="000103C7">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3C21A" w14:textId="77777777" w:rsidR="00177D72" w:rsidRDefault="00177D72" w:rsidP="0021215F">
      <w:r>
        <w:separator/>
      </w:r>
    </w:p>
  </w:footnote>
  <w:footnote w:type="continuationSeparator" w:id="0">
    <w:p w14:paraId="1B387B55" w14:textId="77777777" w:rsidR="00177D72" w:rsidRDefault="00177D72" w:rsidP="00212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A491F" w14:textId="77777777" w:rsidR="008961BD" w:rsidRDefault="008961BD">
    <w:pPr>
      <w:pStyle w:val="En-tte"/>
    </w:pPr>
    <w:r>
      <w:rPr>
        <w:rFonts w:ascii="Calibri" w:eastAsia="Calibri" w:hAnsi="Calibri" w:cs="Calibri"/>
        <w:b/>
        <w:noProof/>
        <w:color w:val="000000"/>
        <w:sz w:val="28"/>
        <w:szCs w:val="28"/>
        <w:lang w:eastAsia="fr-FR"/>
      </w:rPr>
      <w:drawing>
        <wp:inline distT="0" distB="0" distL="114300" distR="114300" wp14:anchorId="46293F64" wp14:editId="3771B93E">
          <wp:extent cx="1231265" cy="929005"/>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231265" cy="92900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C16A7"/>
    <w:multiLevelType w:val="hybridMultilevel"/>
    <w:tmpl w:val="F06292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AA6A24"/>
    <w:multiLevelType w:val="hybridMultilevel"/>
    <w:tmpl w:val="B874CA38"/>
    <w:lvl w:ilvl="0" w:tplc="6E067D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412B0"/>
    <w:multiLevelType w:val="hybridMultilevel"/>
    <w:tmpl w:val="5662657A"/>
    <w:lvl w:ilvl="0" w:tplc="7B26C7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2069AC"/>
    <w:multiLevelType w:val="multilevel"/>
    <w:tmpl w:val="579ED0EE"/>
    <w:lvl w:ilvl="0">
      <w:start w:val="1"/>
      <w:numFmt w:val="upperRoman"/>
      <w:pStyle w:val="Titre1"/>
      <w:lvlText w:val="%1."/>
      <w:lvlJc w:val="right"/>
      <w:pPr>
        <w:ind w:left="72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E8B1FB2"/>
    <w:multiLevelType w:val="hybridMultilevel"/>
    <w:tmpl w:val="BFAA925E"/>
    <w:lvl w:ilvl="0" w:tplc="3460B5F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0A11CF"/>
    <w:multiLevelType w:val="hybridMultilevel"/>
    <w:tmpl w:val="88EC54D6"/>
    <w:lvl w:ilvl="0" w:tplc="1D8CFC06">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0897B70"/>
    <w:multiLevelType w:val="hybridMultilevel"/>
    <w:tmpl w:val="74324632"/>
    <w:lvl w:ilvl="0" w:tplc="2EDCF660">
      <w:start w:val="14"/>
      <w:numFmt w:val="bullet"/>
      <w:lvlText w:val="-"/>
      <w:lvlJc w:val="left"/>
      <w:pPr>
        <w:ind w:left="1080" w:hanging="360"/>
      </w:pPr>
      <w:rPr>
        <w:rFonts w:ascii="Cambria" w:eastAsia="Times New Roman" w:hAnsi="Cambria"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7E72C45"/>
    <w:multiLevelType w:val="hybridMultilevel"/>
    <w:tmpl w:val="A5621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DB5872"/>
    <w:multiLevelType w:val="hybridMultilevel"/>
    <w:tmpl w:val="7C3A3D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7BD2AA8"/>
    <w:multiLevelType w:val="hybridMultilevel"/>
    <w:tmpl w:val="D07823F0"/>
    <w:lvl w:ilvl="0" w:tplc="5400D8E2">
      <w:start w:val="2"/>
      <w:numFmt w:val="bullet"/>
      <w:lvlText w:val="-"/>
      <w:lvlJc w:val="left"/>
      <w:pPr>
        <w:ind w:left="1069" w:hanging="360"/>
      </w:pPr>
      <w:rPr>
        <w:rFonts w:ascii="Century Gothic" w:eastAsia="Times New Roman" w:hAnsi="Century Gothic"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28685CAA"/>
    <w:multiLevelType w:val="hybridMultilevel"/>
    <w:tmpl w:val="86828FBA"/>
    <w:lvl w:ilvl="0" w:tplc="62AA7CE2">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A4552"/>
    <w:multiLevelType w:val="hybridMultilevel"/>
    <w:tmpl w:val="87764DA2"/>
    <w:lvl w:ilvl="0" w:tplc="A88EF19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2B471D"/>
    <w:multiLevelType w:val="hybridMultilevel"/>
    <w:tmpl w:val="FFAE5E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BE57E1D"/>
    <w:multiLevelType w:val="hybridMultilevel"/>
    <w:tmpl w:val="1728A0BA"/>
    <w:lvl w:ilvl="0" w:tplc="B0984CD2">
      <w:start w:val="1"/>
      <w:numFmt w:val="decimal"/>
      <w:lvlText w:val="%1."/>
      <w:lvlJc w:val="left"/>
      <w:pPr>
        <w:ind w:left="360" w:hanging="360"/>
      </w:pPr>
      <w:rPr>
        <w:rFonts w:hint="default"/>
        <w:b/>
        <w:i w:val="0"/>
        <w:color w:val="auto"/>
        <w:sz w:val="22"/>
        <w:szCs w:val="22"/>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FA67FA7"/>
    <w:multiLevelType w:val="hybridMultilevel"/>
    <w:tmpl w:val="52700C0C"/>
    <w:lvl w:ilvl="0" w:tplc="C47EBB76">
      <w:numFmt w:val="bullet"/>
      <w:lvlText w:val="-"/>
      <w:lvlJc w:val="left"/>
      <w:pPr>
        <w:ind w:left="502" w:hanging="360"/>
      </w:pPr>
      <w:rPr>
        <w:rFonts w:ascii="Calibri" w:eastAsia="Times New Roman"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3A2ECA"/>
    <w:multiLevelType w:val="multilevel"/>
    <w:tmpl w:val="04160A72"/>
    <w:lvl w:ilvl="0">
      <w:start w:val="1"/>
      <w:numFmt w:val="decimal"/>
      <w:pStyle w:val="Titre3"/>
      <w:lvlText w:val="%1)"/>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0CE64F0"/>
    <w:multiLevelType w:val="hybridMultilevel"/>
    <w:tmpl w:val="2AC6579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4F10E49"/>
    <w:multiLevelType w:val="hybridMultilevel"/>
    <w:tmpl w:val="FB1A99BC"/>
    <w:lvl w:ilvl="0" w:tplc="60BA3D02">
      <w:start w:val="1"/>
      <w:numFmt w:val="lowerLetter"/>
      <w:pStyle w:val="Titre4"/>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8" w15:restartNumberingAfterBreak="0">
    <w:nsid w:val="4CBA2EEB"/>
    <w:multiLevelType w:val="multilevel"/>
    <w:tmpl w:val="194E2F44"/>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9" w15:restartNumberingAfterBreak="0">
    <w:nsid w:val="500D4C39"/>
    <w:multiLevelType w:val="hybridMultilevel"/>
    <w:tmpl w:val="BE2AF67C"/>
    <w:lvl w:ilvl="0" w:tplc="9CEA3C16">
      <w:numFmt w:val="bullet"/>
      <w:pStyle w:val="Titre2"/>
      <w:lvlText w:val="-"/>
      <w:lvlJc w:val="left"/>
      <w:pPr>
        <w:ind w:left="1070" w:hanging="360"/>
      </w:pPr>
      <w:rPr>
        <w:rFonts w:ascii="ArialUnicodeMS-WinCharSetFFFF-H" w:eastAsiaTheme="minorHAnsi" w:hAnsi="ArialUnicodeMS-WinCharSetFFFF-H" w:cs="ArialUnicodeMS-WinCharSetFFFF-H" w:hint="default"/>
        <w:color w:val="00284B"/>
        <w:sz w:val="20"/>
        <w:szCs w:val="24"/>
      </w:rPr>
    </w:lvl>
    <w:lvl w:ilvl="1" w:tplc="040C0003" w:tentative="1">
      <w:start w:val="1"/>
      <w:numFmt w:val="bullet"/>
      <w:lvlText w:val="o"/>
      <w:lvlJc w:val="left"/>
      <w:pPr>
        <w:ind w:left="4060" w:hanging="360"/>
      </w:pPr>
      <w:rPr>
        <w:rFonts w:ascii="Courier New" w:hAnsi="Courier New" w:cs="Courier New" w:hint="default"/>
      </w:rPr>
    </w:lvl>
    <w:lvl w:ilvl="2" w:tplc="040C0005" w:tentative="1">
      <w:start w:val="1"/>
      <w:numFmt w:val="bullet"/>
      <w:lvlText w:val=""/>
      <w:lvlJc w:val="left"/>
      <w:pPr>
        <w:ind w:left="4780" w:hanging="360"/>
      </w:pPr>
      <w:rPr>
        <w:rFonts w:ascii="Wingdings" w:hAnsi="Wingdings" w:hint="default"/>
      </w:rPr>
    </w:lvl>
    <w:lvl w:ilvl="3" w:tplc="040C0001" w:tentative="1">
      <w:start w:val="1"/>
      <w:numFmt w:val="bullet"/>
      <w:lvlText w:val=""/>
      <w:lvlJc w:val="left"/>
      <w:pPr>
        <w:ind w:left="5500" w:hanging="360"/>
      </w:pPr>
      <w:rPr>
        <w:rFonts w:ascii="Symbol" w:hAnsi="Symbol" w:hint="default"/>
      </w:rPr>
    </w:lvl>
    <w:lvl w:ilvl="4" w:tplc="040C0003" w:tentative="1">
      <w:start w:val="1"/>
      <w:numFmt w:val="bullet"/>
      <w:lvlText w:val="o"/>
      <w:lvlJc w:val="left"/>
      <w:pPr>
        <w:ind w:left="6220" w:hanging="360"/>
      </w:pPr>
      <w:rPr>
        <w:rFonts w:ascii="Courier New" w:hAnsi="Courier New" w:cs="Courier New" w:hint="default"/>
      </w:rPr>
    </w:lvl>
    <w:lvl w:ilvl="5" w:tplc="040C0005" w:tentative="1">
      <w:start w:val="1"/>
      <w:numFmt w:val="bullet"/>
      <w:lvlText w:val=""/>
      <w:lvlJc w:val="left"/>
      <w:pPr>
        <w:ind w:left="6940" w:hanging="360"/>
      </w:pPr>
      <w:rPr>
        <w:rFonts w:ascii="Wingdings" w:hAnsi="Wingdings" w:hint="default"/>
      </w:rPr>
    </w:lvl>
    <w:lvl w:ilvl="6" w:tplc="040C0001" w:tentative="1">
      <w:start w:val="1"/>
      <w:numFmt w:val="bullet"/>
      <w:lvlText w:val=""/>
      <w:lvlJc w:val="left"/>
      <w:pPr>
        <w:ind w:left="7660" w:hanging="360"/>
      </w:pPr>
      <w:rPr>
        <w:rFonts w:ascii="Symbol" w:hAnsi="Symbol" w:hint="default"/>
      </w:rPr>
    </w:lvl>
    <w:lvl w:ilvl="7" w:tplc="040C0003" w:tentative="1">
      <w:start w:val="1"/>
      <w:numFmt w:val="bullet"/>
      <w:lvlText w:val="o"/>
      <w:lvlJc w:val="left"/>
      <w:pPr>
        <w:ind w:left="8380" w:hanging="360"/>
      </w:pPr>
      <w:rPr>
        <w:rFonts w:ascii="Courier New" w:hAnsi="Courier New" w:cs="Courier New" w:hint="default"/>
      </w:rPr>
    </w:lvl>
    <w:lvl w:ilvl="8" w:tplc="040C0005" w:tentative="1">
      <w:start w:val="1"/>
      <w:numFmt w:val="bullet"/>
      <w:lvlText w:val=""/>
      <w:lvlJc w:val="left"/>
      <w:pPr>
        <w:ind w:left="9100" w:hanging="360"/>
      </w:pPr>
      <w:rPr>
        <w:rFonts w:ascii="Wingdings" w:hAnsi="Wingdings" w:hint="default"/>
      </w:rPr>
    </w:lvl>
  </w:abstractNum>
  <w:abstractNum w:abstractNumId="20" w15:restartNumberingAfterBreak="0">
    <w:nsid w:val="540046D6"/>
    <w:multiLevelType w:val="hybridMultilevel"/>
    <w:tmpl w:val="72C2D6F8"/>
    <w:lvl w:ilvl="0" w:tplc="040C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F761F"/>
    <w:multiLevelType w:val="hybridMultilevel"/>
    <w:tmpl w:val="C0CE0F10"/>
    <w:lvl w:ilvl="0" w:tplc="7B26C7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9666E3"/>
    <w:multiLevelType w:val="hybridMultilevel"/>
    <w:tmpl w:val="AC7A64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D319FE"/>
    <w:multiLevelType w:val="hybridMultilevel"/>
    <w:tmpl w:val="750A9B5A"/>
    <w:lvl w:ilvl="0" w:tplc="FE162FF8">
      <w:start w:val="1"/>
      <w:numFmt w:val="upperRoman"/>
      <w:lvlText w:val="%1."/>
      <w:lvlJc w:val="right"/>
      <w:pPr>
        <w:ind w:left="720" w:hanging="360"/>
      </w:pPr>
      <w:rPr>
        <w:color w:val="4472C4" w:themeColor="accen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D5031E"/>
    <w:multiLevelType w:val="hybridMultilevel"/>
    <w:tmpl w:val="74D0B350"/>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633293"/>
    <w:multiLevelType w:val="hybridMultilevel"/>
    <w:tmpl w:val="EF7CF4A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A522A00"/>
    <w:multiLevelType w:val="hybridMultilevel"/>
    <w:tmpl w:val="89A85E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D7044F"/>
    <w:multiLevelType w:val="hybridMultilevel"/>
    <w:tmpl w:val="BDD405F2"/>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ED5807"/>
    <w:multiLevelType w:val="hybridMultilevel"/>
    <w:tmpl w:val="7BF6E7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BCE19AB"/>
    <w:multiLevelType w:val="multilevel"/>
    <w:tmpl w:val="ACEAF83C"/>
    <w:lvl w:ilvl="0">
      <w:start w:val="1"/>
      <w:numFmt w:val="decimal"/>
      <w:lvlText w:val="%1."/>
      <w:lvlJc w:val="left"/>
      <w:pPr>
        <w:ind w:left="720" w:hanging="360"/>
      </w:pPr>
      <w:rPr>
        <w:rFonts w:ascii="Times New Roman" w:hAnsi="Times New Roman" w:cs="Times New Roman"/>
        <w:b/>
        <w:color w:val="000000" w:themeColor="text1"/>
        <w:sz w:val="2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4"/>
  </w:num>
  <w:num w:numId="2">
    <w:abstractNumId w:val="12"/>
  </w:num>
  <w:num w:numId="3">
    <w:abstractNumId w:val="13"/>
  </w:num>
  <w:num w:numId="4">
    <w:abstractNumId w:val="24"/>
  </w:num>
  <w:num w:numId="5">
    <w:abstractNumId w:val="27"/>
  </w:num>
  <w:num w:numId="6">
    <w:abstractNumId w:val="26"/>
  </w:num>
  <w:num w:numId="7">
    <w:abstractNumId w:val="22"/>
  </w:num>
  <w:num w:numId="8">
    <w:abstractNumId w:val="18"/>
  </w:num>
  <w:num w:numId="9">
    <w:abstractNumId w:val="11"/>
  </w:num>
  <w:num w:numId="10">
    <w:abstractNumId w:val="10"/>
  </w:num>
  <w:num w:numId="11">
    <w:abstractNumId w:val="9"/>
  </w:num>
  <w:num w:numId="12">
    <w:abstractNumId w:val="3"/>
  </w:num>
  <w:num w:numId="13">
    <w:abstractNumId w:val="5"/>
  </w:num>
  <w:num w:numId="14">
    <w:abstractNumId w:val="15"/>
  </w:num>
  <w:num w:numId="15">
    <w:abstractNumId w:val="17"/>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num>
  <w:num w:numId="18">
    <w:abstractNumId w:val="20"/>
  </w:num>
  <w:num w:numId="19">
    <w:abstractNumId w:val="21"/>
  </w:num>
  <w:num w:numId="20">
    <w:abstractNumId w:val="2"/>
  </w:num>
  <w:num w:numId="21">
    <w:abstractNumId w:val="5"/>
    <w:lvlOverride w:ilvl="0">
      <w:startOverride w:val="1"/>
    </w:lvlOverride>
  </w:num>
  <w:num w:numId="22">
    <w:abstractNumId w:val="5"/>
    <w:lvlOverride w:ilvl="0">
      <w:startOverride w:val="1"/>
    </w:lvlOverride>
  </w:num>
  <w:num w:numId="23">
    <w:abstractNumId w:val="29"/>
  </w:num>
  <w:num w:numId="24">
    <w:abstractNumId w:val="14"/>
  </w:num>
  <w:num w:numId="25">
    <w:abstractNumId w:val="7"/>
  </w:num>
  <w:num w:numId="26">
    <w:abstractNumId w:val="19"/>
  </w:num>
  <w:num w:numId="27">
    <w:abstractNumId w:val="28"/>
  </w:num>
  <w:num w:numId="28">
    <w:abstractNumId w:val="6"/>
  </w:num>
  <w:num w:numId="29">
    <w:abstractNumId w:val="23"/>
  </w:num>
  <w:num w:numId="30">
    <w:abstractNumId w:val="0"/>
  </w:num>
  <w:num w:numId="31">
    <w:abstractNumId w:val="25"/>
  </w:num>
  <w:num w:numId="32">
    <w:abstractNumId w:val="16"/>
  </w:num>
  <w:num w:numId="33">
    <w:abstractNumId w:val="5"/>
    <w:lvlOverride w:ilvl="0">
      <w:startOverride w:val="4"/>
    </w:lvlOverride>
  </w:num>
  <w:num w:numId="34">
    <w:abstractNumId w:val="1"/>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5F"/>
    <w:rsid w:val="00006F09"/>
    <w:rsid w:val="000103C7"/>
    <w:rsid w:val="00014302"/>
    <w:rsid w:val="00052CE3"/>
    <w:rsid w:val="00070833"/>
    <w:rsid w:val="000837DD"/>
    <w:rsid w:val="000953CE"/>
    <w:rsid w:val="00103323"/>
    <w:rsid w:val="00115545"/>
    <w:rsid w:val="00141422"/>
    <w:rsid w:val="00165F13"/>
    <w:rsid w:val="00173521"/>
    <w:rsid w:val="00177D72"/>
    <w:rsid w:val="00184B6B"/>
    <w:rsid w:val="00191A04"/>
    <w:rsid w:val="001B383D"/>
    <w:rsid w:val="0021215F"/>
    <w:rsid w:val="00216989"/>
    <w:rsid w:val="00234B35"/>
    <w:rsid w:val="0027158A"/>
    <w:rsid w:val="00276333"/>
    <w:rsid w:val="002A61FB"/>
    <w:rsid w:val="002C1906"/>
    <w:rsid w:val="002D4A6A"/>
    <w:rsid w:val="0030100D"/>
    <w:rsid w:val="0030130C"/>
    <w:rsid w:val="0033185B"/>
    <w:rsid w:val="0033445F"/>
    <w:rsid w:val="0033597A"/>
    <w:rsid w:val="00345261"/>
    <w:rsid w:val="00364111"/>
    <w:rsid w:val="00372192"/>
    <w:rsid w:val="003C5728"/>
    <w:rsid w:val="003F1CAF"/>
    <w:rsid w:val="003F2E76"/>
    <w:rsid w:val="00400C4A"/>
    <w:rsid w:val="00410C98"/>
    <w:rsid w:val="004268FC"/>
    <w:rsid w:val="004926A1"/>
    <w:rsid w:val="004C0B87"/>
    <w:rsid w:val="004D1A29"/>
    <w:rsid w:val="004E1C20"/>
    <w:rsid w:val="004F60D3"/>
    <w:rsid w:val="00500578"/>
    <w:rsid w:val="00504CAF"/>
    <w:rsid w:val="00514631"/>
    <w:rsid w:val="00525CB3"/>
    <w:rsid w:val="00533E79"/>
    <w:rsid w:val="005A346F"/>
    <w:rsid w:val="005B257E"/>
    <w:rsid w:val="005D092E"/>
    <w:rsid w:val="005D7FE9"/>
    <w:rsid w:val="005E4BC0"/>
    <w:rsid w:val="006029A1"/>
    <w:rsid w:val="006116C5"/>
    <w:rsid w:val="00611C65"/>
    <w:rsid w:val="00655405"/>
    <w:rsid w:val="006618CD"/>
    <w:rsid w:val="00666391"/>
    <w:rsid w:val="00675EAA"/>
    <w:rsid w:val="0067787F"/>
    <w:rsid w:val="006931C7"/>
    <w:rsid w:val="006B1658"/>
    <w:rsid w:val="006B4D41"/>
    <w:rsid w:val="006E104E"/>
    <w:rsid w:val="006E2624"/>
    <w:rsid w:val="006E2889"/>
    <w:rsid w:val="006E4AC8"/>
    <w:rsid w:val="006F0FAA"/>
    <w:rsid w:val="00701C3C"/>
    <w:rsid w:val="00717ACE"/>
    <w:rsid w:val="0074426B"/>
    <w:rsid w:val="00744C33"/>
    <w:rsid w:val="0074578F"/>
    <w:rsid w:val="007766DE"/>
    <w:rsid w:val="00776BF6"/>
    <w:rsid w:val="0078011C"/>
    <w:rsid w:val="0078377C"/>
    <w:rsid w:val="00790D70"/>
    <w:rsid w:val="007A2EA3"/>
    <w:rsid w:val="007B0F06"/>
    <w:rsid w:val="007B4B47"/>
    <w:rsid w:val="007C2246"/>
    <w:rsid w:val="007C73CD"/>
    <w:rsid w:val="007E4B24"/>
    <w:rsid w:val="007F1F2A"/>
    <w:rsid w:val="00800D08"/>
    <w:rsid w:val="00814955"/>
    <w:rsid w:val="00826507"/>
    <w:rsid w:val="008543AA"/>
    <w:rsid w:val="00854B69"/>
    <w:rsid w:val="00862384"/>
    <w:rsid w:val="00871A2C"/>
    <w:rsid w:val="0088170B"/>
    <w:rsid w:val="00887DAE"/>
    <w:rsid w:val="00894E8A"/>
    <w:rsid w:val="00896074"/>
    <w:rsid w:val="008961BD"/>
    <w:rsid w:val="008A1637"/>
    <w:rsid w:val="008D6215"/>
    <w:rsid w:val="00905E3A"/>
    <w:rsid w:val="009135D7"/>
    <w:rsid w:val="009135E0"/>
    <w:rsid w:val="00917C62"/>
    <w:rsid w:val="00956603"/>
    <w:rsid w:val="00975205"/>
    <w:rsid w:val="009757DD"/>
    <w:rsid w:val="00982A67"/>
    <w:rsid w:val="009B7D49"/>
    <w:rsid w:val="009C010F"/>
    <w:rsid w:val="009D2CEF"/>
    <w:rsid w:val="009E468B"/>
    <w:rsid w:val="009F105A"/>
    <w:rsid w:val="00A058D3"/>
    <w:rsid w:val="00A12ABA"/>
    <w:rsid w:val="00A31096"/>
    <w:rsid w:val="00A32D6A"/>
    <w:rsid w:val="00A55693"/>
    <w:rsid w:val="00A6110D"/>
    <w:rsid w:val="00A6565A"/>
    <w:rsid w:val="00A86DC5"/>
    <w:rsid w:val="00A93A7D"/>
    <w:rsid w:val="00A9770D"/>
    <w:rsid w:val="00AD62F5"/>
    <w:rsid w:val="00AE7957"/>
    <w:rsid w:val="00AF12A7"/>
    <w:rsid w:val="00B1251B"/>
    <w:rsid w:val="00B142B6"/>
    <w:rsid w:val="00B20982"/>
    <w:rsid w:val="00B3239E"/>
    <w:rsid w:val="00B4655F"/>
    <w:rsid w:val="00B604C2"/>
    <w:rsid w:val="00BA5198"/>
    <w:rsid w:val="00BB70EA"/>
    <w:rsid w:val="00BC47B2"/>
    <w:rsid w:val="00BE7DE5"/>
    <w:rsid w:val="00BF6E15"/>
    <w:rsid w:val="00C16A46"/>
    <w:rsid w:val="00C2373B"/>
    <w:rsid w:val="00C52516"/>
    <w:rsid w:val="00C763B6"/>
    <w:rsid w:val="00C840E5"/>
    <w:rsid w:val="00CB7771"/>
    <w:rsid w:val="00CD3B98"/>
    <w:rsid w:val="00CF071A"/>
    <w:rsid w:val="00CF75C6"/>
    <w:rsid w:val="00D01FE2"/>
    <w:rsid w:val="00D070D6"/>
    <w:rsid w:val="00D32167"/>
    <w:rsid w:val="00D4523D"/>
    <w:rsid w:val="00D74A41"/>
    <w:rsid w:val="00D81EC0"/>
    <w:rsid w:val="00DA5BE4"/>
    <w:rsid w:val="00DC34F8"/>
    <w:rsid w:val="00DD0C25"/>
    <w:rsid w:val="00DD2CEF"/>
    <w:rsid w:val="00E009D6"/>
    <w:rsid w:val="00E06C84"/>
    <w:rsid w:val="00E15EC9"/>
    <w:rsid w:val="00E36636"/>
    <w:rsid w:val="00E70561"/>
    <w:rsid w:val="00E74CAC"/>
    <w:rsid w:val="00E757F8"/>
    <w:rsid w:val="00E75951"/>
    <w:rsid w:val="00EA2EAE"/>
    <w:rsid w:val="00EC0D1A"/>
    <w:rsid w:val="00EC3F48"/>
    <w:rsid w:val="00EC5B4C"/>
    <w:rsid w:val="00ED46E0"/>
    <w:rsid w:val="00EE0DB6"/>
    <w:rsid w:val="00EF6BD9"/>
    <w:rsid w:val="00F1669C"/>
    <w:rsid w:val="00F23D64"/>
    <w:rsid w:val="00F47FF8"/>
    <w:rsid w:val="00F52DFE"/>
    <w:rsid w:val="00F62920"/>
    <w:rsid w:val="00F90AB3"/>
    <w:rsid w:val="00FA5C62"/>
    <w:rsid w:val="00FD092B"/>
    <w:rsid w:val="00FD6FDA"/>
    <w:rsid w:val="00FF2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2F1887"/>
  <w15:chartTrackingRefBased/>
  <w15:docId w15:val="{1120678D-8691-834A-8F7A-C8002CC8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096"/>
    <w:rPr>
      <w:sz w:val="22"/>
      <w:szCs w:val="22"/>
    </w:rPr>
  </w:style>
  <w:style w:type="paragraph" w:styleId="Titre1">
    <w:name w:val="heading 1"/>
    <w:basedOn w:val="Normal"/>
    <w:next w:val="Normal"/>
    <w:link w:val="Titre1Car"/>
    <w:autoRedefine/>
    <w:uiPriority w:val="9"/>
    <w:qFormat/>
    <w:rsid w:val="00A31096"/>
    <w:pPr>
      <w:keepNext/>
      <w:keepLines/>
      <w:numPr>
        <w:numId w:val="12"/>
      </w:numPr>
      <w:spacing w:before="24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autoRedefine/>
    <w:uiPriority w:val="9"/>
    <w:unhideWhenUsed/>
    <w:qFormat/>
    <w:rsid w:val="0033597A"/>
    <w:pPr>
      <w:keepNext/>
      <w:keepLines/>
      <w:numPr>
        <w:numId w:val="26"/>
      </w:numPr>
      <w:spacing w:before="240" w:after="60" w:line="276" w:lineRule="auto"/>
      <w:jc w:val="both"/>
      <w:outlineLvl w:val="1"/>
    </w:pPr>
    <w:rPr>
      <w:rFonts w:asciiTheme="majorHAnsi" w:eastAsiaTheme="majorEastAsia" w:hAnsiTheme="majorHAnsi" w:cstheme="majorHAnsi"/>
      <w:bCs/>
      <w:sz w:val="20"/>
      <w:szCs w:val="20"/>
    </w:rPr>
  </w:style>
  <w:style w:type="paragraph" w:styleId="Titre3">
    <w:name w:val="heading 3"/>
    <w:basedOn w:val="Normal"/>
    <w:next w:val="Normal"/>
    <w:link w:val="Titre3Car"/>
    <w:autoRedefine/>
    <w:uiPriority w:val="9"/>
    <w:unhideWhenUsed/>
    <w:qFormat/>
    <w:rsid w:val="00A31096"/>
    <w:pPr>
      <w:keepNext/>
      <w:keepLines/>
      <w:numPr>
        <w:numId w:val="14"/>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unhideWhenUsed/>
    <w:qFormat/>
    <w:rsid w:val="00A31096"/>
    <w:pPr>
      <w:keepNext/>
      <w:keepLines/>
      <w:numPr>
        <w:numId w:val="15"/>
      </w:numPr>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21215F"/>
    <w:pPr>
      <w:tabs>
        <w:tab w:val="center" w:pos="4536"/>
        <w:tab w:val="right" w:pos="9072"/>
      </w:tabs>
    </w:pPr>
  </w:style>
  <w:style w:type="character" w:customStyle="1" w:styleId="PieddepageCar">
    <w:name w:val="Pied de page Car"/>
    <w:basedOn w:val="Policepardfaut"/>
    <w:link w:val="Pieddepage"/>
    <w:uiPriority w:val="99"/>
    <w:rsid w:val="0021215F"/>
  </w:style>
  <w:style w:type="character" w:styleId="Numrodepage">
    <w:name w:val="page number"/>
    <w:basedOn w:val="Policepardfaut"/>
    <w:uiPriority w:val="99"/>
    <w:semiHidden/>
    <w:unhideWhenUsed/>
    <w:rsid w:val="0021215F"/>
  </w:style>
  <w:style w:type="character" w:styleId="Lienhypertexte">
    <w:name w:val="Hyperlink"/>
    <w:basedOn w:val="Policepardfaut"/>
    <w:uiPriority w:val="99"/>
    <w:unhideWhenUsed/>
    <w:rsid w:val="0021215F"/>
    <w:rPr>
      <w:color w:val="0563C1" w:themeColor="hyperlink"/>
      <w:u w:val="single"/>
    </w:rPr>
  </w:style>
  <w:style w:type="character" w:customStyle="1" w:styleId="Mentionnonrsolue1">
    <w:name w:val="Mention non résolue1"/>
    <w:basedOn w:val="Policepardfaut"/>
    <w:uiPriority w:val="99"/>
    <w:semiHidden/>
    <w:unhideWhenUsed/>
    <w:rsid w:val="0021215F"/>
    <w:rPr>
      <w:color w:val="605E5C"/>
      <w:shd w:val="clear" w:color="auto" w:fill="E1DFDD"/>
    </w:rPr>
  </w:style>
  <w:style w:type="paragraph" w:styleId="Paragraphedeliste">
    <w:name w:val="List Paragraph"/>
    <w:basedOn w:val="Normal"/>
    <w:uiPriority w:val="34"/>
    <w:qFormat/>
    <w:rsid w:val="0074578F"/>
    <w:pPr>
      <w:ind w:left="720"/>
      <w:contextualSpacing/>
    </w:pPr>
  </w:style>
  <w:style w:type="table" w:styleId="Grilledutableau">
    <w:name w:val="Table Grid"/>
    <w:basedOn w:val="TableauNormal"/>
    <w:uiPriority w:val="39"/>
    <w:rsid w:val="00A05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103C7"/>
    <w:pPr>
      <w:tabs>
        <w:tab w:val="center" w:pos="4536"/>
        <w:tab w:val="right" w:pos="9072"/>
      </w:tabs>
    </w:pPr>
  </w:style>
  <w:style w:type="character" w:customStyle="1" w:styleId="En-tteCar">
    <w:name w:val="En-tête Car"/>
    <w:basedOn w:val="Policepardfaut"/>
    <w:link w:val="En-tte"/>
    <w:uiPriority w:val="99"/>
    <w:rsid w:val="000103C7"/>
  </w:style>
  <w:style w:type="paragraph" w:customStyle="1" w:styleId="Titre0">
    <w:name w:val="Titre 0"/>
    <w:basedOn w:val="Normal"/>
    <w:link w:val="Titre0Car"/>
    <w:rsid w:val="00A31096"/>
    <w:rPr>
      <w:b/>
      <w:color w:val="2F5496" w:themeColor="accent1" w:themeShade="BF"/>
      <w:sz w:val="36"/>
    </w:rPr>
  </w:style>
  <w:style w:type="character" w:customStyle="1" w:styleId="Titre0Car">
    <w:name w:val="Titre 0 Car"/>
    <w:basedOn w:val="Policepardfaut"/>
    <w:link w:val="Titre0"/>
    <w:rsid w:val="00A31096"/>
    <w:rPr>
      <w:b/>
      <w:color w:val="2F5496" w:themeColor="accent1" w:themeShade="BF"/>
      <w:sz w:val="36"/>
      <w:szCs w:val="22"/>
    </w:rPr>
  </w:style>
  <w:style w:type="character" w:customStyle="1" w:styleId="Titre1Car">
    <w:name w:val="Titre 1 Car"/>
    <w:basedOn w:val="Policepardfaut"/>
    <w:link w:val="Titre1"/>
    <w:uiPriority w:val="9"/>
    <w:rsid w:val="00A31096"/>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33597A"/>
    <w:rPr>
      <w:rFonts w:asciiTheme="majorHAnsi" w:eastAsiaTheme="majorEastAsia" w:hAnsiTheme="majorHAnsi" w:cstheme="majorHAnsi"/>
      <w:bCs/>
      <w:sz w:val="20"/>
      <w:szCs w:val="20"/>
    </w:rPr>
  </w:style>
  <w:style w:type="character" w:customStyle="1" w:styleId="Titre3Car">
    <w:name w:val="Titre 3 Car"/>
    <w:basedOn w:val="Policepardfaut"/>
    <w:link w:val="Titre3"/>
    <w:uiPriority w:val="9"/>
    <w:rsid w:val="00A31096"/>
    <w:rPr>
      <w:rFonts w:asciiTheme="majorHAnsi" w:eastAsiaTheme="majorEastAsia" w:hAnsiTheme="majorHAnsi" w:cstheme="majorBidi"/>
      <w:color w:val="1F3763" w:themeColor="accent1" w:themeShade="7F"/>
      <w:sz w:val="22"/>
      <w:szCs w:val="22"/>
    </w:rPr>
  </w:style>
  <w:style w:type="character" w:customStyle="1" w:styleId="Titre4Car">
    <w:name w:val="Titre 4 Car"/>
    <w:basedOn w:val="Policepardfaut"/>
    <w:link w:val="Titre4"/>
    <w:uiPriority w:val="9"/>
    <w:rsid w:val="00A31096"/>
    <w:rPr>
      <w:rFonts w:asciiTheme="majorHAnsi" w:eastAsiaTheme="majorEastAsia" w:hAnsiTheme="majorHAnsi" w:cstheme="majorBidi"/>
      <w:i/>
      <w:iCs/>
      <w:color w:val="2F5496" w:themeColor="accent1" w:themeShade="BF"/>
      <w:sz w:val="22"/>
      <w:szCs w:val="22"/>
    </w:rPr>
  </w:style>
  <w:style w:type="paragraph" w:styleId="TM1">
    <w:name w:val="toc 1"/>
    <w:basedOn w:val="Normal"/>
    <w:next w:val="Normal"/>
    <w:autoRedefine/>
    <w:uiPriority w:val="39"/>
    <w:unhideWhenUsed/>
    <w:rsid w:val="00A31096"/>
    <w:pPr>
      <w:spacing w:before="360" w:after="360"/>
    </w:pPr>
    <w:rPr>
      <w:rFonts w:cstheme="minorHAnsi"/>
      <w:b/>
      <w:bCs/>
      <w:caps/>
      <w:u w:val="single"/>
    </w:rPr>
  </w:style>
  <w:style w:type="paragraph" w:styleId="TM2">
    <w:name w:val="toc 2"/>
    <w:basedOn w:val="Normal"/>
    <w:next w:val="Normal"/>
    <w:autoRedefine/>
    <w:uiPriority w:val="39"/>
    <w:unhideWhenUsed/>
    <w:rsid w:val="00A31096"/>
    <w:rPr>
      <w:rFonts w:cstheme="minorHAnsi"/>
      <w:b/>
      <w:bCs/>
      <w:smallCaps/>
    </w:rPr>
  </w:style>
  <w:style w:type="paragraph" w:styleId="TM3">
    <w:name w:val="toc 3"/>
    <w:basedOn w:val="Normal"/>
    <w:next w:val="Normal"/>
    <w:autoRedefine/>
    <w:uiPriority w:val="39"/>
    <w:unhideWhenUsed/>
    <w:rsid w:val="00A31096"/>
    <w:rPr>
      <w:rFonts w:cstheme="minorHAnsi"/>
      <w:smallCaps/>
    </w:rPr>
  </w:style>
  <w:style w:type="paragraph" w:styleId="TM4">
    <w:name w:val="toc 4"/>
    <w:basedOn w:val="Normal"/>
    <w:next w:val="Normal"/>
    <w:autoRedefine/>
    <w:uiPriority w:val="39"/>
    <w:unhideWhenUsed/>
    <w:rsid w:val="00A31096"/>
    <w:rPr>
      <w:rFonts w:cstheme="minorHAnsi"/>
    </w:rPr>
  </w:style>
  <w:style w:type="paragraph" w:styleId="En-ttedetabledesmatires">
    <w:name w:val="TOC Heading"/>
    <w:basedOn w:val="Titre1"/>
    <w:next w:val="Normal"/>
    <w:uiPriority w:val="39"/>
    <w:unhideWhenUsed/>
    <w:qFormat/>
    <w:rsid w:val="00A31096"/>
    <w:pPr>
      <w:numPr>
        <w:numId w:val="0"/>
      </w:numPr>
      <w:spacing w:line="259" w:lineRule="auto"/>
      <w:outlineLvl w:val="9"/>
    </w:pPr>
    <w:rPr>
      <w:b w:val="0"/>
      <w:lang w:eastAsia="fr-FR"/>
    </w:rPr>
  </w:style>
  <w:style w:type="paragraph" w:styleId="TM5">
    <w:name w:val="toc 5"/>
    <w:basedOn w:val="Normal"/>
    <w:next w:val="Normal"/>
    <w:autoRedefine/>
    <w:uiPriority w:val="39"/>
    <w:unhideWhenUsed/>
    <w:rsid w:val="00A31096"/>
    <w:rPr>
      <w:rFonts w:cstheme="minorHAnsi"/>
    </w:rPr>
  </w:style>
  <w:style w:type="paragraph" w:styleId="TM6">
    <w:name w:val="toc 6"/>
    <w:basedOn w:val="Normal"/>
    <w:next w:val="Normal"/>
    <w:autoRedefine/>
    <w:uiPriority w:val="39"/>
    <w:unhideWhenUsed/>
    <w:rsid w:val="00A31096"/>
    <w:rPr>
      <w:rFonts w:cstheme="minorHAnsi"/>
    </w:rPr>
  </w:style>
  <w:style w:type="paragraph" w:styleId="TM7">
    <w:name w:val="toc 7"/>
    <w:basedOn w:val="Normal"/>
    <w:next w:val="Normal"/>
    <w:autoRedefine/>
    <w:uiPriority w:val="39"/>
    <w:unhideWhenUsed/>
    <w:rsid w:val="00A31096"/>
    <w:rPr>
      <w:rFonts w:cstheme="minorHAnsi"/>
    </w:rPr>
  </w:style>
  <w:style w:type="paragraph" w:styleId="TM8">
    <w:name w:val="toc 8"/>
    <w:basedOn w:val="Normal"/>
    <w:next w:val="Normal"/>
    <w:autoRedefine/>
    <w:uiPriority w:val="39"/>
    <w:unhideWhenUsed/>
    <w:rsid w:val="00A31096"/>
    <w:rPr>
      <w:rFonts w:cstheme="minorHAnsi"/>
    </w:rPr>
  </w:style>
  <w:style w:type="paragraph" w:styleId="TM9">
    <w:name w:val="toc 9"/>
    <w:basedOn w:val="Normal"/>
    <w:next w:val="Normal"/>
    <w:autoRedefine/>
    <w:uiPriority w:val="39"/>
    <w:unhideWhenUsed/>
    <w:rsid w:val="00A31096"/>
    <w:rPr>
      <w:rFonts w:cstheme="minorHAnsi"/>
    </w:rPr>
  </w:style>
  <w:style w:type="paragraph" w:styleId="Textedebulles">
    <w:name w:val="Balloon Text"/>
    <w:basedOn w:val="Normal"/>
    <w:link w:val="TextedebullesCar"/>
    <w:uiPriority w:val="99"/>
    <w:semiHidden/>
    <w:unhideWhenUsed/>
    <w:rsid w:val="00611C65"/>
    <w:rPr>
      <w:rFonts w:ascii="Segoe UI" w:hAnsi="Segoe UI" w:cs="Segoe UI"/>
      <w:sz w:val="18"/>
      <w:szCs w:val="18"/>
    </w:rPr>
  </w:style>
  <w:style w:type="character" w:customStyle="1" w:styleId="TextedebullesCar">
    <w:name w:val="Texte de bulles Car"/>
    <w:basedOn w:val="Policepardfaut"/>
    <w:link w:val="Textedebulles"/>
    <w:uiPriority w:val="99"/>
    <w:semiHidden/>
    <w:rsid w:val="00611C65"/>
    <w:rPr>
      <w:rFonts w:ascii="Segoe UI" w:hAnsi="Segoe UI" w:cs="Segoe UI"/>
      <w:sz w:val="18"/>
      <w:szCs w:val="18"/>
    </w:rPr>
  </w:style>
  <w:style w:type="paragraph" w:customStyle="1" w:styleId="Default">
    <w:name w:val="Default"/>
    <w:rsid w:val="003F2E76"/>
    <w:pPr>
      <w:autoSpaceDE w:val="0"/>
      <w:autoSpaceDN w:val="0"/>
      <w:adjustRightInd w:val="0"/>
    </w:pPr>
    <w:rPr>
      <w:rFonts w:ascii="Times New Roman" w:hAnsi="Times New Roman" w:cs="Times New Roman"/>
      <w:color w:val="000000"/>
      <w:lang w:val="en-GB"/>
    </w:rPr>
  </w:style>
  <w:style w:type="character" w:styleId="Marquedecommentaire">
    <w:name w:val="annotation reference"/>
    <w:basedOn w:val="Policepardfaut"/>
    <w:uiPriority w:val="99"/>
    <w:semiHidden/>
    <w:unhideWhenUsed/>
    <w:rsid w:val="00BF6E15"/>
    <w:rPr>
      <w:sz w:val="16"/>
      <w:szCs w:val="16"/>
    </w:rPr>
  </w:style>
  <w:style w:type="paragraph" w:styleId="Commentaire">
    <w:name w:val="annotation text"/>
    <w:basedOn w:val="Normal"/>
    <w:link w:val="CommentaireCar"/>
    <w:uiPriority w:val="99"/>
    <w:semiHidden/>
    <w:unhideWhenUsed/>
    <w:rsid w:val="00BF6E15"/>
    <w:rPr>
      <w:sz w:val="20"/>
      <w:szCs w:val="20"/>
    </w:rPr>
  </w:style>
  <w:style w:type="character" w:customStyle="1" w:styleId="CommentaireCar">
    <w:name w:val="Commentaire Car"/>
    <w:basedOn w:val="Policepardfaut"/>
    <w:link w:val="Commentaire"/>
    <w:uiPriority w:val="99"/>
    <w:semiHidden/>
    <w:rsid w:val="00BF6E15"/>
    <w:rPr>
      <w:sz w:val="20"/>
      <w:szCs w:val="20"/>
    </w:rPr>
  </w:style>
  <w:style w:type="paragraph" w:styleId="Objetducommentaire">
    <w:name w:val="annotation subject"/>
    <w:basedOn w:val="Commentaire"/>
    <w:next w:val="Commentaire"/>
    <w:link w:val="ObjetducommentaireCar"/>
    <w:uiPriority w:val="99"/>
    <w:semiHidden/>
    <w:unhideWhenUsed/>
    <w:rsid w:val="00BF6E15"/>
    <w:rPr>
      <w:b/>
      <w:bCs/>
    </w:rPr>
  </w:style>
  <w:style w:type="character" w:customStyle="1" w:styleId="ObjetducommentaireCar">
    <w:name w:val="Objet du commentaire Car"/>
    <w:basedOn w:val="CommentaireCar"/>
    <w:link w:val="Objetducommentaire"/>
    <w:uiPriority w:val="99"/>
    <w:semiHidden/>
    <w:rsid w:val="00BF6E15"/>
    <w:rPr>
      <w:b/>
      <w:bCs/>
      <w:sz w:val="20"/>
      <w:szCs w:val="20"/>
    </w:rPr>
  </w:style>
  <w:style w:type="paragraph" w:customStyle="1" w:styleId="Sansinterligne1">
    <w:name w:val="Sans interligne1"/>
    <w:uiPriority w:val="1"/>
    <w:qFormat/>
    <w:rsid w:val="007B0F06"/>
    <w:rPr>
      <w:rFonts w:ascii="Calibri" w:eastAsia="Calibri" w:hAnsi="Calibri" w:cs="Times New Roman"/>
      <w:sz w:val="22"/>
      <w:szCs w:val="22"/>
    </w:rPr>
  </w:style>
  <w:style w:type="character" w:customStyle="1" w:styleId="hps">
    <w:name w:val="hps"/>
    <w:basedOn w:val="Policepardfaut"/>
    <w:rsid w:val="007B0F06"/>
  </w:style>
  <w:style w:type="character" w:customStyle="1" w:styleId="Mentionnonrsolue2">
    <w:name w:val="Mention non résolue2"/>
    <w:basedOn w:val="Policepardfaut"/>
    <w:uiPriority w:val="99"/>
    <w:semiHidden/>
    <w:unhideWhenUsed/>
    <w:rsid w:val="00717ACE"/>
    <w:rPr>
      <w:color w:val="605E5C"/>
      <w:shd w:val="clear" w:color="auto" w:fill="E1DFDD"/>
    </w:rPr>
  </w:style>
  <w:style w:type="paragraph" w:customStyle="1" w:styleId="instructions">
    <w:name w:val="instructions"/>
    <w:basedOn w:val="Normal"/>
    <w:qFormat/>
    <w:rsid w:val="00655405"/>
    <w:pPr>
      <w:spacing w:before="120"/>
      <w:jc w:val="both"/>
    </w:pPr>
    <w:rPr>
      <w:rFonts w:ascii="Times New Roman" w:eastAsia="Times New Roman" w:hAnsi="Times New Roman" w:cs="Times New Roman"/>
      <w:i/>
      <w:spacing w:val="-4"/>
      <w:lang w:eastAsia="fr-FR"/>
    </w:rPr>
  </w:style>
  <w:style w:type="character" w:styleId="Mentionnonrsolue">
    <w:name w:val="Unresolved Mention"/>
    <w:basedOn w:val="Policepardfaut"/>
    <w:uiPriority w:val="99"/>
    <w:semiHidden/>
    <w:unhideWhenUsed/>
    <w:rsid w:val="00DD0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24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ADCCD-33AC-4948-A345-9928C76E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925</Words>
  <Characters>5091</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Guille Aurelien</cp:lastModifiedBy>
  <cp:revision>3</cp:revision>
  <cp:lastPrinted>2023-05-10T09:44:00Z</cp:lastPrinted>
  <dcterms:created xsi:type="dcterms:W3CDTF">2025-05-13T12:54:00Z</dcterms:created>
  <dcterms:modified xsi:type="dcterms:W3CDTF">2025-06-02T14:04:00Z</dcterms:modified>
</cp:coreProperties>
</file>