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C05E9" w14:textId="77777777" w:rsidR="00CF7B5D" w:rsidRPr="005C1651" w:rsidRDefault="00CF7B5D" w:rsidP="00CF7B5D">
      <w:pPr>
        <w:pBdr>
          <w:bottom w:val="single" w:sz="12" w:space="1" w:color="auto"/>
        </w:pBdr>
        <w:tabs>
          <w:tab w:val="center" w:pos="4536"/>
        </w:tabs>
        <w:rPr>
          <w:rFonts w:ascii="Arial" w:hAnsi="Arial" w:cs="Arial"/>
          <w:b/>
          <w:color w:val="333399"/>
          <w:sz w:val="28"/>
          <w:szCs w:val="28"/>
        </w:rPr>
      </w:pPr>
      <w:r w:rsidRPr="005C1651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0DAAA052" wp14:editId="65D5134C">
            <wp:simplePos x="0" y="0"/>
            <wp:positionH relativeFrom="margin">
              <wp:align>center</wp:align>
            </wp:positionH>
            <wp:positionV relativeFrom="paragraph">
              <wp:posOffset>-154305</wp:posOffset>
            </wp:positionV>
            <wp:extent cx="775335" cy="765175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1651">
        <w:rPr>
          <w:rFonts w:ascii="Arial" w:hAnsi="Arial" w:cs="Arial"/>
          <w:b/>
          <w:color w:val="333399"/>
          <w:sz w:val="28"/>
          <w:szCs w:val="28"/>
        </w:rPr>
        <w:tab/>
      </w:r>
    </w:p>
    <w:p w14:paraId="156B8EAB" w14:textId="3A523C93" w:rsidR="00CF7B5D" w:rsidRPr="005C1651" w:rsidRDefault="00CF7B5D" w:rsidP="00CF7B5D">
      <w:pPr>
        <w:pBdr>
          <w:bottom w:val="single" w:sz="12" w:space="1" w:color="auto"/>
        </w:pBdr>
        <w:rPr>
          <w:rFonts w:ascii="Arial" w:hAnsi="Arial" w:cs="Arial"/>
          <w:b/>
          <w:color w:val="333399"/>
          <w:sz w:val="28"/>
          <w:szCs w:val="28"/>
        </w:rPr>
      </w:pPr>
    </w:p>
    <w:p w14:paraId="029B096B" w14:textId="09257F6E" w:rsidR="00CF7B5D" w:rsidRPr="005C1651" w:rsidRDefault="00CF7B5D" w:rsidP="00CF7B5D">
      <w:pPr>
        <w:pBdr>
          <w:bottom w:val="single" w:sz="12" w:space="1" w:color="auto"/>
        </w:pBdr>
        <w:rPr>
          <w:rFonts w:ascii="Arial" w:hAnsi="Arial" w:cs="Arial"/>
          <w:b/>
          <w:color w:val="333399"/>
          <w:sz w:val="28"/>
          <w:szCs w:val="28"/>
        </w:rPr>
      </w:pPr>
    </w:p>
    <w:p w14:paraId="5A4CF37C" w14:textId="77777777" w:rsidR="00CF7B5D" w:rsidRPr="005C1651" w:rsidRDefault="00CF7B5D" w:rsidP="00CF7B5D">
      <w:pPr>
        <w:pBdr>
          <w:bottom w:val="single" w:sz="12" w:space="1" w:color="auto"/>
        </w:pBdr>
        <w:jc w:val="center"/>
        <w:rPr>
          <w:rFonts w:ascii="Arial" w:hAnsi="Arial" w:cs="Arial"/>
          <w:b/>
          <w:color w:val="333399"/>
          <w:sz w:val="28"/>
          <w:szCs w:val="28"/>
        </w:rPr>
      </w:pPr>
      <w:r w:rsidRPr="005C1651">
        <w:rPr>
          <w:rFonts w:ascii="Arial" w:hAnsi="Arial" w:cs="Arial"/>
          <w:b/>
          <w:color w:val="333399"/>
          <w:sz w:val="28"/>
          <w:szCs w:val="28"/>
        </w:rPr>
        <w:t>CADRE DE REPONSE TECHNIQUE</w:t>
      </w:r>
    </w:p>
    <w:p w14:paraId="27238492" w14:textId="20A23059" w:rsidR="00CF7B5D" w:rsidRPr="005C1651" w:rsidRDefault="00CF7B5D" w:rsidP="002A7242">
      <w:pPr>
        <w:rPr>
          <w:rFonts w:ascii="Arial" w:hAnsi="Arial" w:cs="Arial"/>
          <w:b/>
          <w:color w:val="333399"/>
          <w:sz w:val="28"/>
          <w:szCs w:val="28"/>
        </w:rPr>
      </w:pPr>
    </w:p>
    <w:p w14:paraId="6CB5F968" w14:textId="77777777" w:rsidR="005C1651" w:rsidRPr="005C1651" w:rsidRDefault="005C1651" w:rsidP="00CF7B5D">
      <w:pPr>
        <w:jc w:val="center"/>
        <w:rPr>
          <w:rFonts w:ascii="Arial" w:hAnsi="Arial" w:cs="Arial"/>
          <w:b/>
          <w:color w:val="333399"/>
          <w:sz w:val="28"/>
          <w:szCs w:val="28"/>
        </w:rPr>
      </w:pPr>
      <w:r w:rsidRPr="005C1651">
        <w:rPr>
          <w:rFonts w:ascii="Arial" w:hAnsi="Arial" w:cs="Arial"/>
          <w:b/>
          <w:color w:val="333399"/>
          <w:sz w:val="28"/>
          <w:szCs w:val="28"/>
        </w:rPr>
        <w:t xml:space="preserve">PRESTATION DE CONSEIL EN ACCOMPAGNEMENT A MAITRISE D’OUVRAGE POUR LA REFONTE DE L’ECOSYSTEME EXTERNE DE COMMUNICATION NUMERIQUE DU CNRS </w:t>
      </w:r>
    </w:p>
    <w:p w14:paraId="2DFAD0C6" w14:textId="77777777" w:rsidR="005C1651" w:rsidRPr="005C1651" w:rsidRDefault="005C1651" w:rsidP="00CF7B5D">
      <w:pPr>
        <w:jc w:val="center"/>
        <w:rPr>
          <w:rFonts w:ascii="Arial" w:hAnsi="Arial" w:cs="Arial"/>
          <w:b/>
          <w:color w:val="333399"/>
          <w:sz w:val="28"/>
          <w:szCs w:val="28"/>
        </w:rPr>
      </w:pPr>
    </w:p>
    <w:p w14:paraId="06256A83" w14:textId="3673039D" w:rsidR="00CF7B5D" w:rsidRPr="005C1651" w:rsidRDefault="00CF7B5D" w:rsidP="00CF7B5D">
      <w:pPr>
        <w:jc w:val="center"/>
        <w:rPr>
          <w:rFonts w:ascii="Arial" w:hAnsi="Arial" w:cs="Arial"/>
          <w:b/>
          <w:color w:val="333399"/>
          <w:sz w:val="28"/>
          <w:szCs w:val="28"/>
        </w:rPr>
      </w:pPr>
      <w:r w:rsidRPr="005C1651">
        <w:rPr>
          <w:rFonts w:ascii="Arial" w:hAnsi="Arial" w:cs="Arial"/>
          <w:b/>
          <w:color w:val="333399"/>
          <w:sz w:val="28"/>
          <w:szCs w:val="28"/>
        </w:rPr>
        <w:t>CONSULTATION N°</w:t>
      </w:r>
      <w:r w:rsidR="002A7242">
        <w:rPr>
          <w:rFonts w:ascii="Arial" w:hAnsi="Arial" w:cs="Arial"/>
          <w:b/>
          <w:color w:val="333399"/>
          <w:sz w:val="28"/>
          <w:szCs w:val="28"/>
        </w:rPr>
        <w:t>2025APA010</w:t>
      </w:r>
      <w:r w:rsidRPr="005C1651">
        <w:rPr>
          <w:rFonts w:ascii="Arial" w:hAnsi="Arial" w:cs="Arial"/>
          <w:b/>
          <w:color w:val="333399"/>
          <w:sz w:val="28"/>
          <w:szCs w:val="28"/>
        </w:rPr>
        <w:t xml:space="preserve"> </w:t>
      </w:r>
    </w:p>
    <w:p w14:paraId="79750297" w14:textId="54A02B1E" w:rsidR="00B45A3B" w:rsidRPr="005C1651" w:rsidRDefault="00B45A3B" w:rsidP="00CF7B5D">
      <w:pPr>
        <w:rPr>
          <w:rFonts w:ascii="Arial" w:hAnsi="Arial" w:cs="Arial"/>
          <w:b/>
          <w:bCs/>
          <w:sz w:val="28"/>
          <w:szCs w:val="28"/>
        </w:rPr>
      </w:pPr>
    </w:p>
    <w:p w14:paraId="18F16267" w14:textId="77777777" w:rsidR="00381B6B" w:rsidRPr="005C1651" w:rsidRDefault="00381B6B" w:rsidP="005C1651">
      <w:pPr>
        <w:widowControl w:val="0"/>
        <w:shd w:val="clear" w:color="auto" w:fill="FFFFFF"/>
        <w:autoSpaceDE w:val="0"/>
        <w:autoSpaceDN w:val="0"/>
        <w:adjustRightInd w:val="0"/>
        <w:spacing w:before="120" w:after="240" w:line="259" w:lineRule="auto"/>
        <w:jc w:val="both"/>
        <w:outlineLvl w:val="0"/>
        <w:rPr>
          <w:rFonts w:ascii="Arial" w:hAnsi="Arial" w:cs="Arial"/>
          <w:b/>
          <w:bCs/>
          <w:sz w:val="24"/>
          <w:szCs w:val="28"/>
        </w:rPr>
      </w:pPr>
      <w:r w:rsidRPr="005C1651">
        <w:rPr>
          <w:rFonts w:ascii="Arial" w:hAnsi="Arial" w:cs="Arial"/>
          <w:b/>
          <w:bCs/>
          <w:sz w:val="24"/>
          <w:szCs w:val="28"/>
        </w:rPr>
        <w:t xml:space="preserve">Règles d’utilisation du cadre de réponse </w:t>
      </w:r>
    </w:p>
    <w:p w14:paraId="3879DF16" w14:textId="77777777" w:rsidR="005C1651" w:rsidRDefault="00381B6B" w:rsidP="00381B6B">
      <w:pPr>
        <w:jc w:val="both"/>
        <w:rPr>
          <w:rFonts w:ascii="Arial" w:eastAsia="Calibri" w:hAnsi="Arial" w:cs="Arial"/>
          <w:sz w:val="22"/>
          <w:szCs w:val="24"/>
        </w:rPr>
      </w:pPr>
      <w:r w:rsidRPr="005C1651">
        <w:rPr>
          <w:rFonts w:ascii="Arial" w:eastAsia="Calibri" w:hAnsi="Arial" w:cs="Arial"/>
          <w:sz w:val="22"/>
          <w:szCs w:val="24"/>
        </w:rPr>
        <w:t xml:space="preserve">Les soumissionnaires </w:t>
      </w:r>
      <w:r w:rsidR="00A502AA" w:rsidRPr="005C1651">
        <w:rPr>
          <w:rFonts w:ascii="Arial" w:eastAsia="Calibri" w:hAnsi="Arial" w:cs="Arial"/>
          <w:sz w:val="22"/>
          <w:szCs w:val="24"/>
        </w:rPr>
        <w:t xml:space="preserve">doivent </w:t>
      </w:r>
      <w:r w:rsidRPr="005C1651">
        <w:rPr>
          <w:rFonts w:ascii="Arial" w:eastAsia="Calibri" w:hAnsi="Arial" w:cs="Arial"/>
          <w:sz w:val="22"/>
          <w:szCs w:val="24"/>
        </w:rPr>
        <w:t>compléter et intégrer à leur offre</w:t>
      </w:r>
      <w:r w:rsidR="00A502AA" w:rsidRPr="005C1651">
        <w:rPr>
          <w:rFonts w:ascii="Arial" w:eastAsia="Calibri" w:hAnsi="Arial" w:cs="Arial"/>
          <w:sz w:val="22"/>
          <w:szCs w:val="24"/>
        </w:rPr>
        <w:t xml:space="preserve"> ce cadre de réponse technique.</w:t>
      </w:r>
      <w:r w:rsidR="008E7DE9" w:rsidRPr="005C1651">
        <w:rPr>
          <w:rFonts w:ascii="Arial" w:eastAsia="Calibri" w:hAnsi="Arial" w:cs="Arial"/>
          <w:sz w:val="22"/>
          <w:szCs w:val="24"/>
        </w:rPr>
        <w:t xml:space="preserve"> </w:t>
      </w:r>
    </w:p>
    <w:p w14:paraId="06B6123F" w14:textId="77777777" w:rsidR="005C1651" w:rsidRDefault="005C1651" w:rsidP="00381B6B">
      <w:pPr>
        <w:jc w:val="both"/>
        <w:rPr>
          <w:rFonts w:ascii="Arial" w:eastAsia="Calibri" w:hAnsi="Arial" w:cs="Arial"/>
          <w:sz w:val="22"/>
          <w:szCs w:val="24"/>
        </w:rPr>
      </w:pPr>
    </w:p>
    <w:p w14:paraId="7F58D385" w14:textId="36702130" w:rsidR="00381B6B" w:rsidRPr="005C1651" w:rsidRDefault="008E7DE9" w:rsidP="00381B6B">
      <w:pPr>
        <w:jc w:val="both"/>
        <w:rPr>
          <w:rFonts w:ascii="Arial" w:eastAsia="Calibri" w:hAnsi="Arial" w:cs="Arial"/>
          <w:sz w:val="22"/>
          <w:szCs w:val="24"/>
        </w:rPr>
      </w:pPr>
      <w:r w:rsidRPr="005C1651">
        <w:rPr>
          <w:rFonts w:ascii="Arial" w:eastAsia="Calibri" w:hAnsi="Arial" w:cs="Arial"/>
          <w:sz w:val="22"/>
          <w:szCs w:val="24"/>
        </w:rPr>
        <w:t>L</w:t>
      </w:r>
      <w:r w:rsidR="00381B6B" w:rsidRPr="005C1651">
        <w:rPr>
          <w:rFonts w:ascii="Arial" w:eastAsia="Calibri" w:hAnsi="Arial" w:cs="Arial"/>
          <w:sz w:val="22"/>
          <w:szCs w:val="24"/>
        </w:rPr>
        <w:t xml:space="preserve">es candidats peuvent soit : </w:t>
      </w:r>
    </w:p>
    <w:p w14:paraId="0DB787CF" w14:textId="77777777" w:rsidR="00381B6B" w:rsidRPr="005C1651" w:rsidRDefault="00381B6B" w:rsidP="00381B6B">
      <w:pPr>
        <w:numPr>
          <w:ilvl w:val="0"/>
          <w:numId w:val="1"/>
        </w:numPr>
        <w:spacing w:before="120" w:after="120"/>
        <w:contextualSpacing/>
        <w:jc w:val="both"/>
        <w:rPr>
          <w:rFonts w:ascii="Arial" w:eastAsia="Calibri" w:hAnsi="Arial" w:cs="Arial"/>
          <w:sz w:val="22"/>
          <w:szCs w:val="24"/>
        </w:rPr>
      </w:pPr>
      <w:r w:rsidRPr="005C1651">
        <w:rPr>
          <w:rFonts w:ascii="Arial" w:eastAsia="Calibri" w:hAnsi="Arial" w:cs="Arial"/>
          <w:sz w:val="22"/>
          <w:szCs w:val="24"/>
        </w:rPr>
        <w:t xml:space="preserve">Intégrer leur offre au présent document et compléter par tout document jugé utile ; </w:t>
      </w:r>
    </w:p>
    <w:p w14:paraId="54E1D8A7" w14:textId="77777777" w:rsidR="00381B6B" w:rsidRPr="005C1651" w:rsidRDefault="00381B6B" w:rsidP="00381B6B">
      <w:pPr>
        <w:numPr>
          <w:ilvl w:val="0"/>
          <w:numId w:val="1"/>
        </w:numPr>
        <w:spacing w:before="120" w:after="120"/>
        <w:contextualSpacing/>
        <w:jc w:val="both"/>
        <w:rPr>
          <w:rFonts w:ascii="Arial" w:eastAsia="Calibri" w:hAnsi="Arial" w:cs="Arial"/>
          <w:sz w:val="22"/>
          <w:szCs w:val="24"/>
        </w:rPr>
      </w:pPr>
      <w:r w:rsidRPr="005C1651">
        <w:rPr>
          <w:rFonts w:ascii="Arial" w:eastAsia="Calibri" w:hAnsi="Arial" w:cs="Arial"/>
          <w:sz w:val="22"/>
          <w:szCs w:val="24"/>
        </w:rPr>
        <w:t xml:space="preserve">Indiquer précisément, pour chaque article, la référence dans leur mémoire technique ou autre document (référence du document, paragraphe, n° de page) ; </w:t>
      </w:r>
    </w:p>
    <w:p w14:paraId="7741714E" w14:textId="77777777" w:rsidR="00381B6B" w:rsidRPr="005C1651" w:rsidRDefault="00381B6B" w:rsidP="00381B6B">
      <w:pPr>
        <w:numPr>
          <w:ilvl w:val="0"/>
          <w:numId w:val="1"/>
        </w:numPr>
        <w:spacing w:before="120" w:after="120"/>
        <w:contextualSpacing/>
        <w:jc w:val="both"/>
        <w:rPr>
          <w:rFonts w:ascii="Arial" w:eastAsia="Calibri" w:hAnsi="Arial" w:cs="Arial"/>
          <w:sz w:val="22"/>
          <w:szCs w:val="24"/>
        </w:rPr>
      </w:pPr>
      <w:r w:rsidRPr="005C1651">
        <w:rPr>
          <w:rFonts w:ascii="Arial" w:eastAsia="Calibri" w:hAnsi="Arial" w:cs="Arial"/>
          <w:sz w:val="22"/>
          <w:szCs w:val="24"/>
        </w:rPr>
        <w:t>Produire un mémoire technique indépendant reprenant tous les axes du présent cadre de réponse et son architecture</w:t>
      </w:r>
      <w:r w:rsidR="00B85695" w:rsidRPr="005C1651">
        <w:rPr>
          <w:rFonts w:ascii="Arial" w:eastAsia="Calibri" w:hAnsi="Arial" w:cs="Arial"/>
          <w:sz w:val="22"/>
          <w:szCs w:val="24"/>
        </w:rPr>
        <w:t xml:space="preserve">. </w:t>
      </w:r>
    </w:p>
    <w:p w14:paraId="24A4BA18" w14:textId="77777777" w:rsidR="00B85695" w:rsidRPr="005C1651" w:rsidRDefault="00B85695" w:rsidP="00B85695">
      <w:pPr>
        <w:spacing w:before="120" w:after="120"/>
        <w:ind w:left="360"/>
        <w:contextualSpacing/>
        <w:jc w:val="both"/>
        <w:rPr>
          <w:rFonts w:ascii="Arial" w:eastAsia="Calibri" w:hAnsi="Arial" w:cs="Arial"/>
          <w:sz w:val="22"/>
          <w:szCs w:val="24"/>
        </w:rPr>
      </w:pPr>
    </w:p>
    <w:p w14:paraId="5E83EED4" w14:textId="070C8460" w:rsidR="00381B6B" w:rsidRPr="005C1651" w:rsidRDefault="00381B6B" w:rsidP="00381B6B">
      <w:pPr>
        <w:spacing w:before="120" w:after="120"/>
        <w:jc w:val="both"/>
        <w:rPr>
          <w:rFonts w:ascii="Arial" w:eastAsia="Calibri" w:hAnsi="Arial" w:cs="Arial"/>
          <w:sz w:val="22"/>
          <w:szCs w:val="24"/>
        </w:rPr>
      </w:pPr>
      <w:r w:rsidRPr="005C1651">
        <w:rPr>
          <w:rFonts w:ascii="Arial" w:eastAsia="Calibri" w:hAnsi="Arial" w:cs="Arial"/>
          <w:sz w:val="22"/>
          <w:szCs w:val="24"/>
        </w:rPr>
        <w:t xml:space="preserve">Les </w:t>
      </w:r>
      <w:r w:rsidR="0024174F" w:rsidRPr="005C1651">
        <w:rPr>
          <w:rFonts w:ascii="Arial" w:eastAsia="Calibri" w:hAnsi="Arial" w:cs="Arial"/>
          <w:sz w:val="22"/>
          <w:szCs w:val="24"/>
        </w:rPr>
        <w:t>soumissionnaires</w:t>
      </w:r>
      <w:r w:rsidRPr="005C1651">
        <w:rPr>
          <w:rFonts w:ascii="Arial" w:eastAsia="Calibri" w:hAnsi="Arial" w:cs="Arial"/>
          <w:sz w:val="22"/>
          <w:szCs w:val="24"/>
        </w:rPr>
        <w:t xml:space="preserve"> souhaitant participer à la consultation doivent respecter ce cadre de réponse technique (CRT) sans y apporter de modification.</w:t>
      </w:r>
    </w:p>
    <w:p w14:paraId="066E1921" w14:textId="77777777" w:rsidR="00381B6B" w:rsidRPr="005C1651" w:rsidRDefault="00381B6B" w:rsidP="00381B6B">
      <w:pPr>
        <w:spacing w:before="120" w:after="120"/>
        <w:jc w:val="both"/>
        <w:rPr>
          <w:rFonts w:ascii="Arial" w:eastAsia="Calibri" w:hAnsi="Arial" w:cs="Arial"/>
          <w:sz w:val="22"/>
          <w:szCs w:val="24"/>
        </w:rPr>
      </w:pPr>
      <w:r w:rsidRPr="005C1651">
        <w:rPr>
          <w:rFonts w:ascii="Arial" w:eastAsia="Calibri" w:hAnsi="Arial" w:cs="Arial"/>
          <w:sz w:val="22"/>
          <w:szCs w:val="24"/>
        </w:rPr>
        <w:t>Toute modification ou réponse dérogeant à ce cadre de réponse rendra l’offre irrégulière.</w:t>
      </w:r>
    </w:p>
    <w:p w14:paraId="5F744430" w14:textId="329B564E" w:rsidR="005C1651" w:rsidRPr="00D5441D" w:rsidRDefault="00381B6B" w:rsidP="00D5441D">
      <w:pPr>
        <w:spacing w:before="120" w:after="120"/>
        <w:jc w:val="both"/>
        <w:rPr>
          <w:rFonts w:ascii="Arial" w:eastAsia="Calibri" w:hAnsi="Arial" w:cs="Arial"/>
          <w:sz w:val="22"/>
          <w:szCs w:val="24"/>
        </w:rPr>
      </w:pPr>
      <w:r w:rsidRPr="005C1651">
        <w:rPr>
          <w:rFonts w:ascii="Arial" w:eastAsia="Calibri" w:hAnsi="Arial" w:cs="Arial"/>
          <w:sz w:val="22"/>
          <w:szCs w:val="24"/>
        </w:rPr>
        <w:t>L’objectif de ce document est de définir contractuellement les engagements du candidat pour la réalisation de ce</w:t>
      </w:r>
      <w:r w:rsidR="00E530E9" w:rsidRPr="005C1651">
        <w:rPr>
          <w:rFonts w:ascii="Arial" w:eastAsia="Calibri" w:hAnsi="Arial" w:cs="Arial"/>
          <w:sz w:val="22"/>
          <w:szCs w:val="24"/>
        </w:rPr>
        <w:t xml:space="preserve"> marché</w:t>
      </w:r>
      <w:r w:rsidRPr="005C1651">
        <w:rPr>
          <w:rFonts w:ascii="Arial" w:eastAsia="Calibri" w:hAnsi="Arial" w:cs="Arial"/>
          <w:sz w:val="22"/>
          <w:szCs w:val="24"/>
        </w:rPr>
        <w:t>.</w:t>
      </w:r>
      <w:r w:rsidR="00D5441D" w:rsidRPr="00D5441D">
        <w:rPr>
          <w:rFonts w:ascii="Arial" w:eastAsia="Calibri" w:hAnsi="Arial" w:cs="Arial"/>
          <w:sz w:val="22"/>
          <w:szCs w:val="24"/>
        </w:rPr>
        <w:t xml:space="preserve"> </w:t>
      </w:r>
    </w:p>
    <w:p w14:paraId="6FFD52C6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6C4B38FB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55E91782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77615736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15FEC76B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12AF0D3E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545A638C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4DFB6F14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78EF7C40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11A7FE08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651D18BF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68FF807B" w14:textId="77777777" w:rsidR="005C1651" w:rsidRDefault="005C1651" w:rsidP="00381B6B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01A0B3A3" w14:textId="77777777" w:rsidR="002A7242" w:rsidRDefault="002A7242" w:rsidP="00381B6B">
      <w:pPr>
        <w:jc w:val="both"/>
        <w:rPr>
          <w:rFonts w:ascii="Arial" w:hAnsi="Arial" w:cs="Arial"/>
          <w:b/>
          <w:bCs/>
          <w:sz w:val="24"/>
          <w:szCs w:val="28"/>
        </w:rPr>
      </w:pPr>
    </w:p>
    <w:p w14:paraId="72EE2084" w14:textId="77777777" w:rsidR="002A7242" w:rsidRDefault="002A7242" w:rsidP="00381B6B">
      <w:pPr>
        <w:jc w:val="both"/>
        <w:rPr>
          <w:rFonts w:ascii="Arial" w:hAnsi="Arial" w:cs="Arial"/>
          <w:b/>
          <w:bCs/>
          <w:sz w:val="24"/>
          <w:szCs w:val="28"/>
        </w:rPr>
      </w:pPr>
    </w:p>
    <w:p w14:paraId="39EE7A19" w14:textId="77777777" w:rsidR="002A7242" w:rsidRDefault="002A7242" w:rsidP="00381B6B">
      <w:pPr>
        <w:jc w:val="both"/>
        <w:rPr>
          <w:rFonts w:ascii="Arial" w:hAnsi="Arial" w:cs="Arial"/>
          <w:b/>
          <w:bCs/>
          <w:sz w:val="24"/>
          <w:szCs w:val="28"/>
        </w:rPr>
      </w:pPr>
    </w:p>
    <w:p w14:paraId="76DCF293" w14:textId="7B1D6227" w:rsidR="00DD0D95" w:rsidRPr="005C1651" w:rsidRDefault="002A7242" w:rsidP="00381B6B">
      <w:pPr>
        <w:jc w:val="both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8"/>
        </w:rPr>
        <w:br w:type="page"/>
      </w:r>
    </w:p>
    <w:p w14:paraId="052EAE77" w14:textId="00E8EB01" w:rsidR="00364270" w:rsidRPr="005C1651" w:rsidRDefault="00364270" w:rsidP="00364270">
      <w:pPr>
        <w:rPr>
          <w:rFonts w:ascii="Arial" w:hAnsi="Arial" w:cs="Arial"/>
          <w:b/>
          <w:bCs/>
          <w:sz w:val="28"/>
          <w:szCs w:val="28"/>
        </w:rPr>
      </w:pPr>
    </w:p>
    <w:p w14:paraId="12E70412" w14:textId="5EE79118" w:rsidR="00DB61EF" w:rsidRPr="005C1651" w:rsidRDefault="004572AF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DD6EE" w:themeFill="accent1" w:themeFillTint="66"/>
        <w:jc w:val="both"/>
        <w:rPr>
          <w:rFonts w:ascii="Arial" w:eastAsia="Calibri" w:hAnsi="Arial" w:cs="Arial"/>
          <w:bCs/>
          <w:i/>
          <w:iCs/>
          <w:sz w:val="24"/>
          <w:szCs w:val="24"/>
          <w:lang w:eastAsia="en-US"/>
        </w:rPr>
      </w:pPr>
      <w:bookmarkStart w:id="0" w:name="_Hlk121402928"/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Critère 1 – </w:t>
      </w:r>
      <w:r w:rsidR="005C1651" w:rsidRPr="005C1651">
        <w:rPr>
          <w:rFonts w:ascii="Arial" w:eastAsia="Calibri" w:hAnsi="Arial" w:cs="Arial"/>
          <w:b/>
          <w:sz w:val="24"/>
          <w:szCs w:val="24"/>
          <w:lang w:eastAsia="en-US"/>
        </w:rPr>
        <w:t>Méthodologie, compréhension des enjeux et capacités techniques</w:t>
      </w:r>
      <w:r w:rsid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94245A"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: </w:t>
      </w:r>
      <w:r w:rsidR="005C1651">
        <w:rPr>
          <w:rFonts w:ascii="Arial" w:eastAsia="Calibri" w:hAnsi="Arial" w:cs="Arial"/>
          <w:b/>
          <w:sz w:val="24"/>
          <w:szCs w:val="24"/>
          <w:lang w:eastAsia="en-US"/>
        </w:rPr>
        <w:t>5</w:t>
      </w:r>
      <w:r w:rsidR="00D6096E" w:rsidRPr="005C1651">
        <w:rPr>
          <w:rFonts w:ascii="Arial" w:eastAsia="Calibri" w:hAnsi="Arial" w:cs="Arial"/>
          <w:b/>
          <w:sz w:val="24"/>
          <w:szCs w:val="24"/>
          <w:lang w:eastAsia="en-US"/>
        </w:rPr>
        <w:t>0</w:t>
      </w:r>
      <w:r w:rsidR="00AC2C0A"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F1404B">
        <w:rPr>
          <w:rFonts w:ascii="Arial" w:eastAsia="Calibri" w:hAnsi="Arial" w:cs="Arial"/>
          <w:b/>
          <w:sz w:val="24"/>
          <w:szCs w:val="24"/>
          <w:lang w:eastAsia="en-US"/>
        </w:rPr>
        <w:t>points</w:t>
      </w:r>
    </w:p>
    <w:bookmarkEnd w:id="0"/>
    <w:p w14:paraId="7AAB178E" w14:textId="1E70EDC3" w:rsidR="00BB3F4D" w:rsidRDefault="00BB3F4D" w:rsidP="00381B6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D5E0F6E" w14:textId="0895F592" w:rsidR="001504FE" w:rsidRPr="001504FE" w:rsidRDefault="001504FE" w:rsidP="001504FE">
      <w:pPr>
        <w:spacing w:before="120" w:after="120"/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  <w:r w:rsidRPr="005C1651">
        <w:rPr>
          <w:rFonts w:ascii="Arial" w:eastAsia="Calibri" w:hAnsi="Arial" w:cs="Arial"/>
          <w:b/>
          <w:color w:val="FF0000"/>
          <w:sz w:val="22"/>
          <w:szCs w:val="24"/>
        </w:rPr>
        <w:t xml:space="preserve">Les renvois à un potentiel mémoire technique sont autorisés. </w:t>
      </w:r>
    </w:p>
    <w:p w14:paraId="52245DC9" w14:textId="77777777" w:rsidR="001504FE" w:rsidRPr="005C1651" w:rsidRDefault="001504FE" w:rsidP="00381B6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EA61154" w14:textId="6A2071BD" w:rsidR="005C1651" w:rsidRDefault="00EA4690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</w:pPr>
      <w:r w:rsidRPr="005C1651">
        <w:rPr>
          <w:rFonts w:ascii="Arial" w:hAnsi="Arial" w:cs="Arial"/>
          <w:b/>
          <w:bCs/>
          <w:sz w:val="24"/>
          <w:szCs w:val="24"/>
        </w:rPr>
        <w:t>Sous-</w:t>
      </w:r>
      <w:r w:rsidRPr="005C1651">
        <w:rPr>
          <w:rFonts w:ascii="Arial" w:hAnsi="Arial" w:cs="Arial"/>
          <w:b/>
          <w:bCs/>
          <w:sz w:val="24"/>
          <w:szCs w:val="24"/>
          <w:shd w:val="clear" w:color="auto" w:fill="DEEAF6" w:themeFill="accent1" w:themeFillTint="33"/>
        </w:rPr>
        <w:t>c</w:t>
      </w:r>
      <w:r w:rsidR="004572AF" w:rsidRPr="005C1651">
        <w:rPr>
          <w:rFonts w:ascii="Arial" w:hAnsi="Arial" w:cs="Arial"/>
          <w:b/>
          <w:bCs/>
          <w:sz w:val="24"/>
          <w:szCs w:val="24"/>
          <w:shd w:val="clear" w:color="auto" w:fill="DEEAF6" w:themeFill="accent1" w:themeFillTint="33"/>
        </w:rPr>
        <w:t xml:space="preserve">ritère 1.1 – </w:t>
      </w:r>
      <w:r w:rsidR="005C1651" w:rsidRPr="005C1651"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>Engagements en termes de méthodologie déployée et organisation des prestations</w:t>
      </w:r>
      <w:r w:rsidR="005C1651"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 xml:space="preserve"> (20</w:t>
      </w:r>
      <w:r w:rsidR="00F1404B"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 xml:space="preserve"> points</w:t>
      </w:r>
      <w:r w:rsidR="005C1651"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 xml:space="preserve">). </w:t>
      </w:r>
    </w:p>
    <w:p w14:paraId="1B894419" w14:textId="7DC9B808" w:rsidR="005C1651" w:rsidRDefault="005C1651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5C1651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Apprécié sur la base de la réponse du soumissionna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ire sur les éléments suivants :</w:t>
      </w:r>
    </w:p>
    <w:p w14:paraId="26A4E515" w14:textId="77777777" w:rsidR="005C1651" w:rsidRPr="005C1651" w:rsidRDefault="005C1651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5C1651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Pertinence du découpage du projet et des étapes proposées</w:t>
      </w:r>
    </w:p>
    <w:p w14:paraId="5A60D8BD" w14:textId="77777777" w:rsidR="005C1651" w:rsidRPr="005C1651" w:rsidRDefault="005C1651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5C1651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Adéquation de la méthode avec les attentes exprimées par le CNRS</w:t>
      </w:r>
    </w:p>
    <w:p w14:paraId="257F8313" w14:textId="5318193A" w:rsidR="0011294D" w:rsidRPr="005C1651" w:rsidRDefault="007A2624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Présentation</w:t>
      </w:r>
      <w:r w:rsidRPr="005C1651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 xml:space="preserve"> </w:t>
      </w:r>
      <w:r w:rsidR="005C1651" w:rsidRPr="005C1651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de l’organisation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 xml:space="preserve"> </w:t>
      </w:r>
      <w:r w:rsidRPr="00CE1A69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interne du soumissionnaire</w:t>
      </w:r>
      <w:r w:rsidR="005C1651" w:rsidRPr="005C1651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, des rôles et responsabilités</w:t>
      </w:r>
    </w:p>
    <w:p w14:paraId="35A0F6C1" w14:textId="776404BB" w:rsidR="00F832E4" w:rsidRPr="005C1651" w:rsidRDefault="00F832E4" w:rsidP="00DD0D95">
      <w:pPr>
        <w:jc w:val="both"/>
        <w:rPr>
          <w:rFonts w:ascii="Arial" w:eastAsia="Calibri" w:hAnsi="Arial" w:cs="Arial"/>
          <w:bCs/>
          <w:sz w:val="24"/>
          <w:lang w:eastAsia="en-US"/>
        </w:rPr>
      </w:pPr>
      <w:bookmarkStart w:id="1" w:name="_Hlk121394601"/>
    </w:p>
    <w:p w14:paraId="494C081C" w14:textId="5340CA1F" w:rsidR="0005747C" w:rsidRDefault="0005747C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bCs/>
          <w:sz w:val="24"/>
          <w:szCs w:val="24"/>
          <w:lang w:eastAsia="en-US"/>
        </w:rPr>
        <w:t>Le soumissionnaire devra fournir</w:t>
      </w:r>
      <w:r w:rsidRPr="0005747C">
        <w:rPr>
          <w:rFonts w:ascii="Arial" w:eastAsia="Calibri" w:hAnsi="Arial" w:cs="Arial"/>
          <w:sz w:val="24"/>
          <w:szCs w:val="24"/>
          <w:lang w:eastAsia="en-US"/>
        </w:rPr>
        <w:t xml:space="preserve"> :</w:t>
      </w:r>
    </w:p>
    <w:p w14:paraId="7796FB8C" w14:textId="77777777" w:rsidR="0005747C" w:rsidRPr="0005747C" w:rsidRDefault="0005747C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25D7B3E" w14:textId="59DB334D" w:rsidR="005C1651" w:rsidRDefault="0005747C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Une présentation détaillée de la méthodologie proposée (découpage du projet en étapes, articulation des différentes phases, jalons)</w:t>
      </w:r>
    </w:p>
    <w:p w14:paraId="4F570EAF" w14:textId="77777777" w:rsidR="0005747C" w:rsidRPr="005C1651" w:rsidRDefault="0005747C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E73FDEA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Une justification de l’adéquation de la méthode avec les attentes du CNRS.</w:t>
      </w:r>
    </w:p>
    <w:p w14:paraId="52E0E561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8CC9F3F" w14:textId="18D0CCCE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Une description de l’organisation</w:t>
      </w:r>
      <w:r w:rsidR="00CE1A69">
        <w:rPr>
          <w:rFonts w:ascii="Arial" w:eastAsia="Calibri" w:hAnsi="Arial" w:cs="Arial"/>
          <w:sz w:val="24"/>
          <w:szCs w:val="24"/>
          <w:lang w:eastAsia="en-US"/>
        </w:rPr>
        <w:t xml:space="preserve"> interne</w:t>
      </w:r>
      <w:r w:rsidRPr="0005747C">
        <w:rPr>
          <w:rFonts w:ascii="Arial" w:eastAsia="Calibri" w:hAnsi="Arial" w:cs="Arial"/>
          <w:sz w:val="24"/>
          <w:szCs w:val="24"/>
          <w:lang w:eastAsia="en-US"/>
        </w:rPr>
        <w:t xml:space="preserve"> mise en place pour la prestation </w:t>
      </w:r>
      <w:r w:rsidR="00CE1A69" w:rsidRPr="00CE1A69">
        <w:rPr>
          <w:rFonts w:ascii="Arial" w:eastAsia="Calibri" w:hAnsi="Arial" w:cs="Arial"/>
          <w:sz w:val="24"/>
          <w:szCs w:val="24"/>
          <w:lang w:eastAsia="en-US"/>
        </w:rPr>
        <w:t>(et non celle de la relation client-fournisseur, déjà décrite dans le CCTP)</w:t>
      </w:r>
      <w:r w:rsidR="00CE1A6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5747C">
        <w:rPr>
          <w:rFonts w:ascii="Arial" w:eastAsia="Calibri" w:hAnsi="Arial" w:cs="Arial"/>
          <w:sz w:val="24"/>
          <w:szCs w:val="24"/>
          <w:lang w:eastAsia="en-US"/>
        </w:rPr>
        <w:t>: répartition des rôles et responsabilités</w:t>
      </w:r>
      <w:r w:rsidR="00D676AC">
        <w:rPr>
          <w:rFonts w:ascii="Arial" w:eastAsia="Calibri" w:hAnsi="Arial" w:cs="Arial"/>
          <w:sz w:val="24"/>
          <w:szCs w:val="24"/>
          <w:lang w:eastAsia="en-US"/>
        </w:rPr>
        <w:t xml:space="preserve"> internes</w:t>
      </w:r>
      <w:r w:rsidRPr="0005747C">
        <w:rPr>
          <w:rFonts w:ascii="Arial" w:eastAsia="Calibri" w:hAnsi="Arial" w:cs="Arial"/>
          <w:sz w:val="24"/>
          <w:szCs w:val="24"/>
          <w:lang w:eastAsia="en-US"/>
        </w:rPr>
        <w:t>, dispositifs de coordination</w:t>
      </w:r>
      <w:r w:rsidR="007A262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676AC">
        <w:rPr>
          <w:rFonts w:ascii="Arial" w:eastAsia="Calibri" w:hAnsi="Arial" w:cs="Arial"/>
          <w:sz w:val="24"/>
          <w:szCs w:val="24"/>
          <w:lang w:eastAsia="en-US"/>
        </w:rPr>
        <w:t>interne</w:t>
      </w:r>
      <w:r w:rsidR="00D676AC" w:rsidRPr="0005747C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="00D676AC">
        <w:rPr>
          <w:rFonts w:ascii="Arial" w:eastAsia="Calibri" w:hAnsi="Arial" w:cs="Arial"/>
          <w:sz w:val="24"/>
          <w:szCs w:val="24"/>
          <w:lang w:eastAsia="en-US"/>
        </w:rPr>
        <w:t xml:space="preserve">ses propres </w:t>
      </w:r>
      <w:r w:rsidRPr="0005747C">
        <w:rPr>
          <w:rFonts w:ascii="Arial" w:eastAsia="Calibri" w:hAnsi="Arial" w:cs="Arial"/>
          <w:sz w:val="24"/>
          <w:szCs w:val="24"/>
          <w:lang w:eastAsia="en-US"/>
        </w:rPr>
        <w:t>instances de pilotage.</w:t>
      </w:r>
    </w:p>
    <w:p w14:paraId="7D05E1AA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082E370" w14:textId="0B85A50D" w:rsidR="00502E3A" w:rsidRPr="005C1651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Les outils ou méthodes d’animation et de suivi projet utilisés (compte-rendu, outils collaboratifs…).</w:t>
      </w:r>
    </w:p>
    <w:p w14:paraId="6DF35CBE" w14:textId="2C39CFB9" w:rsidR="00502E3A" w:rsidRPr="005C1651" w:rsidRDefault="00502E3A" w:rsidP="00502E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4D23963" w14:textId="77777777" w:rsidR="00F832E4" w:rsidRPr="005C1651" w:rsidRDefault="00F832E4" w:rsidP="00DD0D95">
      <w:pPr>
        <w:jc w:val="both"/>
        <w:rPr>
          <w:rFonts w:ascii="Arial" w:eastAsia="Calibri" w:hAnsi="Arial" w:cs="Arial"/>
          <w:bCs/>
          <w:sz w:val="24"/>
          <w:lang w:eastAsia="en-US"/>
        </w:rPr>
      </w:pPr>
    </w:p>
    <w:p w14:paraId="61B047BB" w14:textId="4C68195C" w:rsidR="00F34FA5" w:rsidRDefault="005C1651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>Sous-critère n°2 : Garanties apportées en termes de compréhension et gestion des livrables</w:t>
      </w:r>
      <w:r w:rsidR="00F34FA5">
        <w:rPr>
          <w:rFonts w:ascii="Arial" w:eastAsia="Calibri" w:hAnsi="Arial" w:cs="Arial"/>
          <w:b/>
          <w:sz w:val="24"/>
          <w:szCs w:val="24"/>
          <w:lang w:eastAsia="en-US"/>
        </w:rPr>
        <w:t xml:space="preserve"> (10</w:t>
      </w:r>
      <w:r w:rsidR="00F1404B">
        <w:rPr>
          <w:rFonts w:ascii="Arial" w:eastAsia="Calibri" w:hAnsi="Arial" w:cs="Arial"/>
          <w:b/>
          <w:sz w:val="24"/>
          <w:szCs w:val="24"/>
          <w:lang w:eastAsia="en-US"/>
        </w:rPr>
        <w:t xml:space="preserve"> points</w:t>
      </w:r>
      <w:r w:rsidR="00F34FA5">
        <w:rPr>
          <w:rFonts w:ascii="Arial" w:eastAsia="Calibri" w:hAnsi="Arial" w:cs="Arial"/>
          <w:b/>
          <w:sz w:val="24"/>
          <w:szCs w:val="24"/>
          <w:lang w:eastAsia="en-US"/>
        </w:rPr>
        <w:t>).</w:t>
      </w:r>
    </w:p>
    <w:p w14:paraId="203A0E12" w14:textId="586DE205" w:rsidR="005C1651" w:rsidRPr="00F34FA5" w:rsidRDefault="005C1651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Apprécié sur la base de la réponse du soumissionnaire sur les éléments suivants :</w:t>
      </w:r>
    </w:p>
    <w:p w14:paraId="6E3A85AE" w14:textId="79541455" w:rsidR="005C1651" w:rsidRPr="00F34FA5" w:rsidRDefault="005C1651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Compréhension des livrables attendus</w:t>
      </w:r>
    </w:p>
    <w:p w14:paraId="56274671" w14:textId="1BF936FB" w:rsidR="005C1651" w:rsidRPr="00F34FA5" w:rsidRDefault="005C1651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Classement des livrables par priorité</w:t>
      </w:r>
    </w:p>
    <w:p w14:paraId="20B52576" w14:textId="0EE2964A" w:rsidR="00F34FA5" w:rsidRDefault="005C1651" w:rsidP="005C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Dispositif de suivi, coordination, et validation avec le CNRS</w:t>
      </w:r>
    </w:p>
    <w:p w14:paraId="7F1423F3" w14:textId="185FC162" w:rsidR="00BB3F4D" w:rsidRPr="005C1651" w:rsidRDefault="00BB3F4D" w:rsidP="00DD0D95">
      <w:pPr>
        <w:jc w:val="both"/>
        <w:rPr>
          <w:rFonts w:ascii="Arial" w:eastAsia="Calibri" w:hAnsi="Arial" w:cs="Arial"/>
          <w:bCs/>
          <w:sz w:val="24"/>
          <w:lang w:eastAsia="en-US"/>
        </w:rPr>
      </w:pPr>
    </w:p>
    <w:p w14:paraId="4C6284A0" w14:textId="77777777" w:rsidR="0048686C" w:rsidRPr="005C1651" w:rsidRDefault="0048686C" w:rsidP="00486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F041491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 soumissionnaire devra fournir :</w:t>
      </w:r>
    </w:p>
    <w:p w14:paraId="4A95BF31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DD48BB9" w14:textId="5588EC2D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1A69">
        <w:rPr>
          <w:rFonts w:ascii="Arial" w:eastAsia="Calibri" w:hAnsi="Arial" w:cs="Arial"/>
          <w:sz w:val="24"/>
          <w:szCs w:val="24"/>
          <w:lang w:eastAsia="en-US"/>
        </w:rPr>
        <w:t xml:space="preserve">Une </w:t>
      </w:r>
      <w:r w:rsidR="00CE1A69" w:rsidRPr="004B67EC">
        <w:rPr>
          <w:rFonts w:ascii="Arial" w:eastAsia="Calibri" w:hAnsi="Arial" w:cs="Arial"/>
          <w:sz w:val="24"/>
          <w:szCs w:val="24"/>
          <w:lang w:eastAsia="en-US"/>
        </w:rPr>
        <w:t>description démontrant la compréhension du soumissionnaire et mettant en avant</w:t>
      </w:r>
      <w:r w:rsidR="00CE1A69" w:rsidRPr="00CE1A69">
        <w:rPr>
          <w:rFonts w:ascii="Arial" w:eastAsia="Calibri" w:hAnsi="Arial" w:cs="Arial"/>
          <w:sz w:val="24"/>
          <w:szCs w:val="24"/>
          <w:lang w:eastAsia="en-US"/>
        </w:rPr>
        <w:t xml:space="preserve"> la priorisation et l’enchaînement</w:t>
      </w:r>
      <w:r w:rsidR="00CE1A69" w:rsidRPr="004B67EC" w:rsidDel="00CE1A6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E1A69" w:rsidRPr="004B67EC">
        <w:rPr>
          <w:rFonts w:ascii="Arial" w:eastAsia="Calibri" w:hAnsi="Arial" w:cs="Arial"/>
          <w:sz w:val="24"/>
          <w:szCs w:val="24"/>
          <w:lang w:eastAsia="en-US"/>
        </w:rPr>
        <w:t xml:space="preserve">des livrables. </w:t>
      </w:r>
    </w:p>
    <w:p w14:paraId="0E0118A5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B1B1CB9" w14:textId="5F77D55D" w:rsidR="0005747C" w:rsidRPr="0005747C" w:rsidRDefault="001F5270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Une</w:t>
      </w:r>
      <w:r w:rsidRPr="001F5270">
        <w:rPr>
          <w:rFonts w:ascii="Arial" w:eastAsia="Calibri" w:hAnsi="Arial" w:cs="Arial"/>
          <w:sz w:val="24"/>
          <w:szCs w:val="24"/>
          <w:lang w:eastAsia="en-US"/>
        </w:rPr>
        <w:t xml:space="preserve"> description des dispositifs internes de validation chez le soumissionnaire (ex. : revue interne qualité avant remise) et la manière dont il se coordonnera avec le CNRS pour la remise et le suivi des livrabl</w:t>
      </w:r>
      <w:r>
        <w:rPr>
          <w:rFonts w:ascii="Arial" w:eastAsia="Calibri" w:hAnsi="Arial" w:cs="Arial"/>
          <w:sz w:val="24"/>
          <w:szCs w:val="24"/>
          <w:lang w:eastAsia="en-US"/>
        </w:rPr>
        <w:t>es, mais sans empiéter sur le</w:t>
      </w:r>
      <w:r w:rsidRPr="001F5270">
        <w:rPr>
          <w:rFonts w:ascii="Arial" w:eastAsia="Calibri" w:hAnsi="Arial" w:cs="Arial"/>
          <w:sz w:val="24"/>
          <w:szCs w:val="24"/>
          <w:lang w:eastAsia="en-US"/>
        </w:rPr>
        <w:t xml:space="preserve"> pouvoir de validation final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du CNRS</w:t>
      </w:r>
      <w:r w:rsidRPr="001F5270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3A29DA8C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1A36A08" w14:textId="77F3913B" w:rsidR="0048686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Une modalité de transmission et d’archivage des livrables.</w:t>
      </w:r>
    </w:p>
    <w:p w14:paraId="56177F9D" w14:textId="77777777" w:rsidR="002A7242" w:rsidRPr="005C1651" w:rsidRDefault="002A7242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bookmarkEnd w:id="1"/>
    <w:p w14:paraId="570B9C64" w14:textId="7BFA8960" w:rsidR="00F77BD0" w:rsidRDefault="00F77BD0" w:rsidP="00DD0D95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55750F93" w14:textId="06E3633B" w:rsidR="001504FE" w:rsidRDefault="001504FE" w:rsidP="00DD0D95">
      <w:pP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7D26F95C" w14:textId="51ACCF0C" w:rsidR="001504FE" w:rsidRPr="005C1651" w:rsidRDefault="001504FE" w:rsidP="00DD0D95">
      <w:pPr>
        <w:jc w:val="both"/>
        <w:rPr>
          <w:rFonts w:ascii="Arial" w:eastAsia="Calibri" w:hAnsi="Arial" w:cs="Arial"/>
          <w:sz w:val="24"/>
          <w:szCs w:val="24"/>
        </w:rPr>
      </w:pPr>
    </w:p>
    <w:p w14:paraId="32D43D7F" w14:textId="50A1CC1E" w:rsid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Sous-critère n°3</w:t>
      </w: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 : </w:t>
      </w:r>
      <w:r w:rsidRPr="00F34FA5">
        <w:rPr>
          <w:rFonts w:ascii="Arial" w:eastAsia="Calibri" w:hAnsi="Arial" w:cs="Arial"/>
          <w:b/>
          <w:sz w:val="24"/>
          <w:szCs w:val="24"/>
          <w:lang w:eastAsia="en-US"/>
        </w:rPr>
        <w:t xml:space="preserve">Garanties apportées en termes de Confidentialité, circuits décisionnels et engagement qualité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(10</w:t>
      </w:r>
      <w:r w:rsidR="00F1404B">
        <w:rPr>
          <w:rFonts w:ascii="Arial" w:eastAsia="Calibri" w:hAnsi="Arial" w:cs="Arial"/>
          <w:b/>
          <w:sz w:val="24"/>
          <w:szCs w:val="24"/>
          <w:lang w:eastAsia="en-US"/>
        </w:rPr>
        <w:t xml:space="preserve"> points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).</w:t>
      </w:r>
    </w:p>
    <w:p w14:paraId="13481099" w14:textId="152BC6D8" w:rsid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Apprécié sur la base de la réponse du soumissionnaire sur les éléments suivants :</w:t>
      </w:r>
    </w:p>
    <w:p w14:paraId="1FF7D2C0" w14:textId="523FBB58" w:rsidR="00F34FA5" w:rsidRP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Démonstration de la capacité à garantir la confidentialité des données et des échanges</w:t>
      </w:r>
    </w:p>
    <w:p w14:paraId="4DE91013" w14:textId="735EFC22" w:rsidR="00F34FA5" w:rsidRP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Modalités de gestion des modifications en cours de prestation</w:t>
      </w:r>
    </w:p>
    <w:p w14:paraId="0C07754D" w14:textId="1DFBAC6C" w:rsidR="00F34FA5" w:rsidRPr="005C1651" w:rsidRDefault="00F34FA5" w:rsidP="00F34FA5">
      <w:pPr>
        <w:jc w:val="both"/>
        <w:rPr>
          <w:rFonts w:ascii="Arial" w:eastAsia="Calibri" w:hAnsi="Arial" w:cs="Arial"/>
          <w:bCs/>
          <w:sz w:val="24"/>
          <w:lang w:eastAsia="en-US"/>
        </w:rPr>
      </w:pPr>
    </w:p>
    <w:p w14:paraId="539D7255" w14:textId="77777777" w:rsid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9C7457D" w14:textId="153B96AC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 soumissionnaire devra fournir :</w:t>
      </w:r>
    </w:p>
    <w:p w14:paraId="162D2A49" w14:textId="77777777" w:rsid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B503FB8" w14:textId="4876F1F5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Une description des mesures de confidentialité mises en œuvre (sécurisation des données, confidentialité des échanges, respect RGPD).</w:t>
      </w:r>
    </w:p>
    <w:p w14:paraId="399793DB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310241D" w14:textId="77777777" w:rsid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 dispositif de gestion des modifications ou évolutions en cours de mission.</w:t>
      </w:r>
    </w:p>
    <w:p w14:paraId="35750E34" w14:textId="77777777" w:rsid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3D601F2" w14:textId="24159BB9" w:rsidR="00F77BD0" w:rsidRPr="005C1651" w:rsidRDefault="00F77BD0" w:rsidP="00DD0D95">
      <w:pPr>
        <w:jc w:val="both"/>
        <w:rPr>
          <w:rFonts w:ascii="Arial" w:eastAsia="Calibri" w:hAnsi="Arial" w:cs="Arial"/>
          <w:sz w:val="24"/>
          <w:szCs w:val="24"/>
        </w:rPr>
      </w:pPr>
    </w:p>
    <w:p w14:paraId="6C03D6E1" w14:textId="6A576B4C" w:rsidR="00F77BD0" w:rsidRPr="005C1651" w:rsidRDefault="00F77BD0" w:rsidP="00DD0D95">
      <w:pPr>
        <w:jc w:val="both"/>
        <w:rPr>
          <w:rFonts w:ascii="Arial" w:eastAsia="Calibri" w:hAnsi="Arial" w:cs="Arial"/>
          <w:sz w:val="24"/>
          <w:szCs w:val="24"/>
        </w:rPr>
      </w:pPr>
    </w:p>
    <w:p w14:paraId="3E730867" w14:textId="5454986B" w:rsid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Sous-critère n°4</w:t>
      </w: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 : </w:t>
      </w:r>
      <w:r w:rsidRPr="00F34FA5">
        <w:rPr>
          <w:rFonts w:ascii="Arial" w:eastAsia="Calibri" w:hAnsi="Arial" w:cs="Arial"/>
          <w:b/>
          <w:sz w:val="24"/>
          <w:szCs w:val="24"/>
          <w:lang w:eastAsia="en-US"/>
        </w:rPr>
        <w:t xml:space="preserve">Garanties apportées en termes de délais et planification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(10</w:t>
      </w:r>
      <w:r w:rsidR="00F1404B">
        <w:rPr>
          <w:rFonts w:ascii="Arial" w:eastAsia="Calibri" w:hAnsi="Arial" w:cs="Arial"/>
          <w:b/>
          <w:sz w:val="24"/>
          <w:szCs w:val="24"/>
          <w:lang w:eastAsia="en-US"/>
        </w:rPr>
        <w:t xml:space="preserve"> points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).</w:t>
      </w:r>
    </w:p>
    <w:p w14:paraId="7C36688C" w14:textId="77777777" w:rsid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Apprécié sur la base de la réponse du soumissionnaire sur les élément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s suivants :</w:t>
      </w:r>
    </w:p>
    <w:p w14:paraId="07894E87" w14:textId="77777777" w:rsid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Pertinence de la méthodologie pour étab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 xml:space="preserve">lir un calendrier prévisionnel </w:t>
      </w:r>
    </w:p>
    <w:p w14:paraId="19F2EC1E" w14:textId="77777777" w:rsid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 xml:space="preserve">Capacité à anticiper les jalons critiques et les périodes de 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validation</w:t>
      </w:r>
    </w:p>
    <w:p w14:paraId="5158BB5B" w14:textId="484B43EC" w:rsid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Degré d’engagement sur les délais et modalités de révision du planning en concertation avec le CNRS</w:t>
      </w:r>
    </w:p>
    <w:p w14:paraId="0A7993F9" w14:textId="752E65C3" w:rsidR="00F34FA5" w:rsidRP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34FA5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Modalités de mise à jour du calendrier au fil du projet</w:t>
      </w:r>
    </w:p>
    <w:p w14:paraId="7B448703" w14:textId="77777777" w:rsidR="00F34FA5" w:rsidRDefault="00F34FA5" w:rsidP="00F34FA5">
      <w:pPr>
        <w:spacing w:before="120" w:after="120"/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3136253D" w14:textId="3088A266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 soumissionnaire devra fournir :</w:t>
      </w:r>
    </w:p>
    <w:p w14:paraId="053F724D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E109EFB" w14:textId="297B2DF4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 calendrier prévisionnel du projet, identifiant les jalons critiques et les livrables.</w:t>
      </w:r>
    </w:p>
    <w:p w14:paraId="0EAFE711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D402F9A" w14:textId="4633B6A4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Les engagements en termes de délais, ainsi que la méthode de mise à jour du planning (périodicité, outils, concertation).</w:t>
      </w:r>
    </w:p>
    <w:p w14:paraId="726ED1CD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4B73554" w14:textId="6D8FF12C" w:rsidR="00F34FA5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Une description de la gestion des aléas (marges de sécurité, modalités de révision en accord avec le CNRS).</w:t>
      </w:r>
    </w:p>
    <w:p w14:paraId="462421D1" w14:textId="77777777" w:rsidR="002A7242" w:rsidRDefault="002A7242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36BC42AA" w14:textId="69D54F69" w:rsidR="00F77BD0" w:rsidRPr="0005747C" w:rsidRDefault="0005747C" w:rsidP="0005747C">
      <w:pPr>
        <w:rPr>
          <w:rFonts w:ascii="Arial" w:eastAsia="Calibri" w:hAnsi="Arial" w:cs="Arial"/>
          <w:b/>
          <w:color w:val="FF0000"/>
          <w:sz w:val="22"/>
          <w:szCs w:val="24"/>
        </w:rPr>
      </w:pPr>
      <w:r>
        <w:rPr>
          <w:rFonts w:ascii="Arial" w:eastAsia="Calibri" w:hAnsi="Arial" w:cs="Arial"/>
          <w:b/>
          <w:color w:val="FF0000"/>
          <w:sz w:val="22"/>
          <w:szCs w:val="24"/>
        </w:rPr>
        <w:br w:type="page"/>
      </w:r>
    </w:p>
    <w:p w14:paraId="60D228E4" w14:textId="7CA725F4" w:rsidR="00F34FA5" w:rsidRPr="005C1651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DD6EE" w:themeFill="accent1" w:themeFillTint="66"/>
        <w:jc w:val="both"/>
        <w:rPr>
          <w:rFonts w:ascii="Arial" w:eastAsia="Calibri" w:hAnsi="Arial" w:cs="Arial"/>
          <w:bCs/>
          <w:i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Critère 2</w:t>
      </w: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 –</w:t>
      </w:r>
      <w:r w:rsidR="00F1404B" w:rsidRPr="00F1404B">
        <w:t xml:space="preserve"> </w:t>
      </w:r>
      <w:r w:rsidR="00F1404B" w:rsidRPr="00F1404B">
        <w:rPr>
          <w:rFonts w:ascii="Arial" w:eastAsia="Calibri" w:hAnsi="Arial" w:cs="Arial"/>
          <w:b/>
          <w:sz w:val="24"/>
          <w:szCs w:val="24"/>
          <w:lang w:eastAsia="en-US"/>
        </w:rPr>
        <w:t>Compétences et expériences de l’équipe dédié à l’exécution des prestations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: </w:t>
      </w:r>
      <w:r w:rsidR="00F1404B">
        <w:rPr>
          <w:rFonts w:ascii="Arial" w:eastAsia="Calibri" w:hAnsi="Arial" w:cs="Arial"/>
          <w:b/>
          <w:sz w:val="24"/>
          <w:szCs w:val="24"/>
          <w:lang w:eastAsia="en-US"/>
        </w:rPr>
        <w:t>2</w:t>
      </w: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0 </w:t>
      </w:r>
      <w:r w:rsidR="00F1404B">
        <w:rPr>
          <w:rFonts w:ascii="Arial" w:eastAsia="Calibri" w:hAnsi="Arial" w:cs="Arial"/>
          <w:b/>
          <w:sz w:val="24"/>
          <w:szCs w:val="24"/>
          <w:lang w:eastAsia="en-US"/>
        </w:rPr>
        <w:t>points</w:t>
      </w:r>
    </w:p>
    <w:p w14:paraId="7977943B" w14:textId="3AB907C3" w:rsidR="00F34FA5" w:rsidRDefault="00F34FA5" w:rsidP="00F34FA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76B8A32" w14:textId="7630C36A" w:rsidR="001504FE" w:rsidRPr="001504FE" w:rsidRDefault="001504FE" w:rsidP="001504FE">
      <w:pPr>
        <w:spacing w:before="120" w:after="120"/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  <w:r w:rsidRPr="005C1651">
        <w:rPr>
          <w:rFonts w:ascii="Arial" w:eastAsia="Calibri" w:hAnsi="Arial" w:cs="Arial"/>
          <w:b/>
          <w:color w:val="FF0000"/>
          <w:sz w:val="22"/>
          <w:szCs w:val="24"/>
        </w:rPr>
        <w:t xml:space="preserve">Les renvois à un potentiel mémoire technique sont autorisés. </w:t>
      </w:r>
    </w:p>
    <w:p w14:paraId="080B44EC" w14:textId="77777777" w:rsidR="001504FE" w:rsidRPr="005C1651" w:rsidRDefault="001504FE" w:rsidP="00F34FA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B7EA0BA" w14:textId="3D2BCC97" w:rsidR="00F34FA5" w:rsidRDefault="00F34FA5" w:rsidP="00F34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</w:pPr>
      <w:r w:rsidRPr="005C1651">
        <w:rPr>
          <w:rFonts w:ascii="Arial" w:hAnsi="Arial" w:cs="Arial"/>
          <w:b/>
          <w:bCs/>
          <w:sz w:val="24"/>
          <w:szCs w:val="24"/>
        </w:rPr>
        <w:t>Sous-</w:t>
      </w:r>
      <w:r w:rsidRPr="005C1651">
        <w:rPr>
          <w:rFonts w:ascii="Arial" w:hAnsi="Arial" w:cs="Arial"/>
          <w:b/>
          <w:bCs/>
          <w:sz w:val="24"/>
          <w:szCs w:val="24"/>
          <w:shd w:val="clear" w:color="auto" w:fill="DEEAF6" w:themeFill="accent1" w:themeFillTint="33"/>
        </w:rPr>
        <w:t>c</w:t>
      </w:r>
      <w:r w:rsidR="00F1404B">
        <w:rPr>
          <w:rFonts w:ascii="Arial" w:hAnsi="Arial" w:cs="Arial"/>
          <w:b/>
          <w:bCs/>
          <w:sz w:val="24"/>
          <w:szCs w:val="24"/>
          <w:shd w:val="clear" w:color="auto" w:fill="DEEAF6" w:themeFill="accent1" w:themeFillTint="33"/>
        </w:rPr>
        <w:t>ritère n°1</w:t>
      </w:r>
      <w:r w:rsidRPr="005C1651">
        <w:rPr>
          <w:rFonts w:ascii="Arial" w:hAnsi="Arial" w:cs="Arial"/>
          <w:b/>
          <w:bCs/>
          <w:sz w:val="24"/>
          <w:szCs w:val="24"/>
          <w:shd w:val="clear" w:color="auto" w:fill="DEEAF6" w:themeFill="accent1" w:themeFillTint="33"/>
        </w:rPr>
        <w:t xml:space="preserve"> – </w:t>
      </w:r>
      <w:r w:rsidR="00F1404B"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>G</w:t>
      </w:r>
      <w:r w:rsidR="00F1404B" w:rsidRPr="00F1404B"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 xml:space="preserve">aranties apportées en termes de compétences individuelles et collectives </w:t>
      </w:r>
      <w:r w:rsidR="00F1404B"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>(1</w:t>
      </w:r>
      <w:r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>0</w:t>
      </w:r>
      <w:r w:rsidR="00F1404B"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 xml:space="preserve"> points</w:t>
      </w:r>
      <w:r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 xml:space="preserve">). </w:t>
      </w:r>
    </w:p>
    <w:p w14:paraId="1D1AEAD5" w14:textId="77777777" w:rsidR="00F1404B" w:rsidRDefault="00F34FA5" w:rsidP="00F1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5C1651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Apprécié sur la base de la réponse du soumissionna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ire sur les éléments suivants :</w:t>
      </w:r>
    </w:p>
    <w:p w14:paraId="12CC8D6B" w14:textId="77777777" w:rsidR="00F1404B" w:rsidRDefault="00F1404B" w:rsidP="00F1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1404B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Qualité des CV : profils, exp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ériences, expertises techniques</w:t>
      </w:r>
    </w:p>
    <w:p w14:paraId="1CBEAC1F" w14:textId="2FD3A2B9" w:rsidR="00F34FA5" w:rsidRPr="00F1404B" w:rsidRDefault="00F1404B" w:rsidP="00F1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1404B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Adéquation des compétences avec les besoins du projet (stratégie numérique, gouvernance, pilotage)</w:t>
      </w:r>
    </w:p>
    <w:p w14:paraId="22BACBB9" w14:textId="4C59ED2E" w:rsidR="00F1404B" w:rsidRPr="005C1651" w:rsidRDefault="00F1404B" w:rsidP="00F34FA5">
      <w:pPr>
        <w:jc w:val="both"/>
        <w:rPr>
          <w:rFonts w:ascii="Arial" w:eastAsia="Calibri" w:hAnsi="Arial" w:cs="Arial"/>
          <w:bCs/>
          <w:sz w:val="24"/>
          <w:lang w:eastAsia="en-US"/>
        </w:rPr>
      </w:pPr>
    </w:p>
    <w:p w14:paraId="5C4A8B1D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 soumissionnaire devra fournir :</w:t>
      </w:r>
    </w:p>
    <w:p w14:paraId="32C7CD40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619D170" w14:textId="32C8303C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Les CV détaillés de chaque membre de l’équipe dédiée au projet (formation, parcours, expériences, expertises).</w:t>
      </w:r>
    </w:p>
    <w:p w14:paraId="17849094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3AB3DE7" w14:textId="302EB506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Une présentation synthétique de l’équipe : complémentarité, rôles de chacun, coordination interne.</w:t>
      </w:r>
    </w:p>
    <w:p w14:paraId="6B72B356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F8B7418" w14:textId="10C87F92" w:rsidR="00F34FA5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Une justification de l’adéquation des profils avec les enjeux du projet, notamment en matière de stratégie numérique, gouvernance, pilotage.</w:t>
      </w:r>
    </w:p>
    <w:p w14:paraId="641F5239" w14:textId="77777777" w:rsidR="002A7242" w:rsidRPr="005C1651" w:rsidRDefault="002A7242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4E274DD" w14:textId="47FD22DE" w:rsidR="00F1404B" w:rsidRPr="005C1651" w:rsidRDefault="00F1404B" w:rsidP="00DD0D95">
      <w:pPr>
        <w:jc w:val="both"/>
        <w:rPr>
          <w:rFonts w:ascii="Arial" w:eastAsia="Calibri" w:hAnsi="Arial" w:cs="Arial"/>
          <w:sz w:val="24"/>
          <w:szCs w:val="24"/>
        </w:rPr>
      </w:pPr>
    </w:p>
    <w:p w14:paraId="5B556A01" w14:textId="1B8E4CFA" w:rsidR="00F1404B" w:rsidRDefault="00F1404B" w:rsidP="00F1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</w:pPr>
      <w:r w:rsidRPr="005C1651">
        <w:rPr>
          <w:rFonts w:ascii="Arial" w:hAnsi="Arial" w:cs="Arial"/>
          <w:b/>
          <w:bCs/>
          <w:sz w:val="24"/>
          <w:szCs w:val="24"/>
        </w:rPr>
        <w:t>Sous-</w:t>
      </w:r>
      <w:r w:rsidRPr="005C1651">
        <w:rPr>
          <w:rFonts w:ascii="Arial" w:hAnsi="Arial" w:cs="Arial"/>
          <w:b/>
          <w:bCs/>
          <w:sz w:val="24"/>
          <w:szCs w:val="24"/>
          <w:shd w:val="clear" w:color="auto" w:fill="DEEAF6" w:themeFill="accent1" w:themeFillTint="33"/>
        </w:rPr>
        <w:t>c</w:t>
      </w:r>
      <w:r>
        <w:rPr>
          <w:rFonts w:ascii="Arial" w:hAnsi="Arial" w:cs="Arial"/>
          <w:b/>
          <w:bCs/>
          <w:sz w:val="24"/>
          <w:szCs w:val="24"/>
          <w:shd w:val="clear" w:color="auto" w:fill="DEEAF6" w:themeFill="accent1" w:themeFillTint="33"/>
        </w:rPr>
        <w:t>ritère n°2</w:t>
      </w:r>
      <w:r w:rsidRPr="005C1651">
        <w:rPr>
          <w:rFonts w:ascii="Arial" w:hAnsi="Arial" w:cs="Arial"/>
          <w:b/>
          <w:bCs/>
          <w:sz w:val="24"/>
          <w:szCs w:val="24"/>
          <w:shd w:val="clear" w:color="auto" w:fill="DEEAF6" w:themeFill="accent1" w:themeFillTint="33"/>
        </w:rPr>
        <w:t xml:space="preserve"> – </w:t>
      </w:r>
      <w:r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>G</w:t>
      </w:r>
      <w:r w:rsidRPr="00F1404B"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 xml:space="preserve">aranties apportées en termes de capacité d’intégration et posture collaborative </w:t>
      </w:r>
      <w:r>
        <w:rPr>
          <w:rFonts w:ascii="Arial" w:eastAsia="Calibri" w:hAnsi="Arial" w:cs="Arial"/>
          <w:b/>
          <w:sz w:val="24"/>
          <w:szCs w:val="24"/>
          <w:shd w:val="clear" w:color="auto" w:fill="DEEAF6" w:themeFill="accent1" w:themeFillTint="33"/>
          <w:lang w:eastAsia="en-US"/>
        </w:rPr>
        <w:t xml:space="preserve">(10 points). </w:t>
      </w:r>
    </w:p>
    <w:p w14:paraId="5C060D1F" w14:textId="77777777" w:rsidR="00F1404B" w:rsidRDefault="00F1404B" w:rsidP="00F1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5C1651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Apprécié sur la base de la réponse du soumissionna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ire sur les éléments suivants :</w:t>
      </w:r>
    </w:p>
    <w:p w14:paraId="2D91A37D" w14:textId="77777777" w:rsidR="00F1404B" w:rsidRDefault="00F1404B" w:rsidP="00F1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1404B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Approche collaborative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 xml:space="preserve"> proposée avec les équipes CNRS</w:t>
      </w:r>
    </w:p>
    <w:p w14:paraId="2914DEB2" w14:textId="77777777" w:rsidR="00F1404B" w:rsidRDefault="00F1404B" w:rsidP="00F1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 w:rsidRPr="00F1404B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Disponibilité et réactivité de l’équip</w:t>
      </w: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e</w:t>
      </w:r>
    </w:p>
    <w:p w14:paraId="27B8834D" w14:textId="3ACBF454" w:rsidR="00F1404B" w:rsidRDefault="00C205B1" w:rsidP="00F1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</w:pPr>
      <w:r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Les ressources proposées pour favoriser l</w:t>
      </w:r>
      <w:r w:rsidR="00F1404B" w:rsidRPr="00F1404B">
        <w:rPr>
          <w:rFonts w:ascii="Arial" w:eastAsia="Calibri" w:hAnsi="Arial" w:cs="Arial"/>
          <w:sz w:val="24"/>
          <w:szCs w:val="24"/>
          <w:shd w:val="clear" w:color="auto" w:fill="DEEAF6" w:themeFill="accent1" w:themeFillTint="33"/>
          <w:lang w:eastAsia="en-US"/>
        </w:rPr>
        <w:t>’intégration dans des équipes pluridisciplinaires ou publiques</w:t>
      </w:r>
    </w:p>
    <w:p w14:paraId="74D4B930" w14:textId="77777777" w:rsidR="00F1404B" w:rsidRPr="005C1651" w:rsidRDefault="00F1404B" w:rsidP="00F1404B">
      <w:pPr>
        <w:jc w:val="both"/>
        <w:rPr>
          <w:rFonts w:ascii="Arial" w:eastAsia="Calibri" w:hAnsi="Arial" w:cs="Arial"/>
          <w:bCs/>
          <w:sz w:val="24"/>
          <w:lang w:eastAsia="en-US"/>
        </w:rPr>
      </w:pPr>
    </w:p>
    <w:p w14:paraId="5A5FF115" w14:textId="193E11A8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 soumissionnaire devra fournir :</w:t>
      </w:r>
    </w:p>
    <w:p w14:paraId="2DB08C65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FDC70AF" w14:textId="77777777" w:rsidR="00C205B1" w:rsidRPr="00C205B1" w:rsidRDefault="00C205B1" w:rsidP="00C205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205B1">
        <w:rPr>
          <w:rFonts w:ascii="Arial" w:eastAsia="Calibri" w:hAnsi="Arial" w:cs="Arial"/>
          <w:sz w:val="24"/>
          <w:szCs w:val="24"/>
          <w:lang w:eastAsia="en-US"/>
        </w:rPr>
        <w:t>Une description détaillée de l’approche collaborative proposée pour travailler efficacement avec les équipes CNRS (organisation, modalités de communication, outils collaboratifs).</w:t>
      </w:r>
    </w:p>
    <w:p w14:paraId="46DBE37C" w14:textId="77777777" w:rsidR="00C205B1" w:rsidRPr="00C205B1" w:rsidRDefault="00C205B1" w:rsidP="00C205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35D5D7E" w14:textId="77777777" w:rsidR="00C205B1" w:rsidRDefault="00C205B1" w:rsidP="00C205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205B1">
        <w:rPr>
          <w:rFonts w:ascii="Arial" w:eastAsia="Calibri" w:hAnsi="Arial" w:cs="Arial"/>
          <w:sz w:val="24"/>
          <w:szCs w:val="24"/>
          <w:lang w:eastAsia="en-US"/>
        </w:rPr>
        <w:t>Des précisions sur la disponibilité et la réactivité de l’équipe dédiée, incluant les interlocuteurs principaux et les délais d’escalade en cas de problème.</w:t>
      </w:r>
    </w:p>
    <w:p w14:paraId="04861D1E" w14:textId="77777777" w:rsidR="00C205B1" w:rsidRDefault="00C205B1" w:rsidP="00C205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41CC549" w14:textId="6994AC23" w:rsidR="00C205B1" w:rsidRDefault="00C205B1" w:rsidP="00C205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205B1">
        <w:rPr>
          <w:rFonts w:ascii="Arial" w:eastAsia="Calibri" w:hAnsi="Arial" w:cs="Arial"/>
          <w:sz w:val="24"/>
          <w:szCs w:val="24"/>
          <w:lang w:eastAsia="en-US"/>
        </w:rPr>
        <w:t>Des précisions sur les ressources proposées pour favoriser l’intégration dans un environnement public et pluridisciplinaire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bookmarkStart w:id="2" w:name="_GoBack"/>
      <w:bookmarkEnd w:id="2"/>
    </w:p>
    <w:p w14:paraId="7A5A6D4B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E3F2717" w14:textId="77CB6895" w:rsidR="00BA1AA3" w:rsidRDefault="00BA1AA3" w:rsidP="00AE60FA">
      <w:pPr>
        <w:jc w:val="both"/>
        <w:rPr>
          <w:rFonts w:ascii="Arial" w:eastAsia="Calibri" w:hAnsi="Arial" w:cs="Arial"/>
          <w:bCs/>
          <w:sz w:val="24"/>
          <w:lang w:eastAsia="en-US"/>
        </w:rPr>
      </w:pPr>
    </w:p>
    <w:p w14:paraId="5B681974" w14:textId="2C64EA9A" w:rsidR="00BA1AA3" w:rsidRDefault="00BA1AA3" w:rsidP="00BA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AC2C0A">
        <w:rPr>
          <w:rFonts w:ascii="Calibri" w:eastAsia="Calibri" w:hAnsi="Calibri"/>
          <w:b/>
          <w:sz w:val="24"/>
          <w:szCs w:val="24"/>
          <w:lang w:eastAsia="en-US"/>
        </w:rPr>
        <w:t>Pour rappel, le critère 2 porte sur le prix des prestations et est apprécié sur la base d</w:t>
      </w:r>
      <w:r>
        <w:rPr>
          <w:rFonts w:ascii="Calibri" w:eastAsia="Calibri" w:hAnsi="Calibri"/>
          <w:b/>
          <w:sz w:val="24"/>
          <w:szCs w:val="24"/>
          <w:lang w:eastAsia="en-US"/>
        </w:rPr>
        <w:t>es prix indiqués dans la DPGF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>.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Il est noté sur 20 points.</w:t>
      </w:r>
    </w:p>
    <w:p w14:paraId="32DE50CB" w14:textId="4F125DF1" w:rsidR="0005747C" w:rsidRPr="005C1651" w:rsidRDefault="0005747C" w:rsidP="0005747C">
      <w:pPr>
        <w:rPr>
          <w:rFonts w:ascii="Arial" w:eastAsia="Calibri" w:hAnsi="Arial" w:cs="Arial"/>
          <w:bCs/>
          <w:sz w:val="24"/>
          <w:lang w:eastAsia="en-US"/>
        </w:rPr>
      </w:pPr>
      <w:r>
        <w:rPr>
          <w:rFonts w:ascii="Arial" w:eastAsia="Calibri" w:hAnsi="Arial" w:cs="Arial"/>
          <w:bCs/>
          <w:sz w:val="24"/>
          <w:lang w:eastAsia="en-US"/>
        </w:rPr>
        <w:br w:type="page"/>
      </w:r>
    </w:p>
    <w:p w14:paraId="43AD9642" w14:textId="25F17F69" w:rsidR="008C66D9" w:rsidRPr="005C1651" w:rsidRDefault="00BF401D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jc w:val="both"/>
        <w:rPr>
          <w:rFonts w:ascii="Arial" w:eastAsia="Calibri" w:hAnsi="Arial" w:cs="Arial"/>
          <w:b/>
          <w:color w:val="FF0000"/>
          <w:sz w:val="24"/>
          <w:szCs w:val="24"/>
          <w:lang w:eastAsia="en-US"/>
        </w:rPr>
      </w:pP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Critère 3 - </w:t>
      </w:r>
      <w:r w:rsidR="00F1404B" w:rsidRPr="00F1404B">
        <w:rPr>
          <w:rFonts w:ascii="Arial" w:eastAsia="Calibri" w:hAnsi="Arial" w:cs="Arial"/>
          <w:b/>
          <w:sz w:val="24"/>
          <w:szCs w:val="24"/>
          <w:lang w:eastAsia="en-US"/>
        </w:rPr>
        <w:t>Critère environnemental – Démarche d’éco-conception et sobriété numérique</w:t>
      </w:r>
      <w:r w:rsidR="00F1404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8327D5" w:rsidRPr="005C1651">
        <w:rPr>
          <w:rFonts w:ascii="Arial" w:eastAsia="Calibri" w:hAnsi="Arial" w:cs="Arial"/>
          <w:b/>
          <w:sz w:val="24"/>
          <w:szCs w:val="24"/>
          <w:lang w:eastAsia="en-US"/>
        </w:rPr>
        <w:t>: 10 points</w:t>
      </w:r>
      <w:r w:rsidR="006552C7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6552C7" w:rsidRPr="006552C7">
        <w:rPr>
          <w:rFonts w:ascii="Arial" w:eastAsia="Calibri" w:hAnsi="Arial" w:cs="Arial"/>
          <w:b/>
          <w:sz w:val="24"/>
          <w:szCs w:val="24"/>
          <w:lang w:eastAsia="en-US"/>
        </w:rPr>
        <w:t>(La non réponse à ce critère n’entraine pas l’irrégularité de l’offre).</w:t>
      </w:r>
    </w:p>
    <w:p w14:paraId="4B76625F" w14:textId="3FB6BFC4" w:rsidR="00A34B5A" w:rsidRDefault="00A34B5A" w:rsidP="00A34B5A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2AA5DD67" w14:textId="77777777" w:rsidR="001504FE" w:rsidRPr="005C1651" w:rsidRDefault="001504FE" w:rsidP="001504FE">
      <w:pPr>
        <w:spacing w:before="120" w:after="120"/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  <w:r w:rsidRPr="005C1651">
        <w:rPr>
          <w:rFonts w:ascii="Arial" w:eastAsia="Calibri" w:hAnsi="Arial" w:cs="Arial"/>
          <w:b/>
          <w:color w:val="FF0000"/>
          <w:sz w:val="22"/>
          <w:szCs w:val="24"/>
        </w:rPr>
        <w:t xml:space="preserve">Les renvois à un potentiel mémoire technique sont autorisés. </w:t>
      </w:r>
    </w:p>
    <w:p w14:paraId="6984E72F" w14:textId="382B7E67" w:rsidR="001504FE" w:rsidRPr="005C1651" w:rsidRDefault="001504FE" w:rsidP="00A34B5A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3F25EB7C" w14:textId="20803AF5" w:rsidR="00A34B5A" w:rsidRDefault="00A34B5A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Sous-critère 3.1 – </w:t>
      </w:r>
      <w:r w:rsidR="00A73311" w:rsidRPr="00A73311">
        <w:rPr>
          <w:rFonts w:ascii="Arial" w:eastAsia="Calibri" w:hAnsi="Arial" w:cs="Arial"/>
          <w:b/>
          <w:sz w:val="24"/>
          <w:szCs w:val="24"/>
          <w:lang w:eastAsia="en-US"/>
        </w:rPr>
        <w:t>Méthodes et outils proposés pour réduire l’empreinte environnementale des solutions numériques</w:t>
      </w:r>
      <w:r w:rsidR="00D36788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D36788" w:rsidRPr="00D36788">
        <w:rPr>
          <w:rFonts w:ascii="Arial" w:eastAsia="Calibri" w:hAnsi="Arial" w:cs="Arial"/>
          <w:b/>
          <w:sz w:val="24"/>
          <w:szCs w:val="24"/>
          <w:lang w:eastAsia="en-US"/>
        </w:rPr>
        <w:t>de la refonte</w:t>
      </w:r>
      <w:r w:rsidR="00A7331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A73311" w:rsidRPr="005C1651">
        <w:rPr>
          <w:rFonts w:ascii="Arial" w:eastAsia="Calibri" w:hAnsi="Arial" w:cs="Arial"/>
          <w:b/>
          <w:sz w:val="24"/>
          <w:szCs w:val="24"/>
          <w:lang w:eastAsia="en-US"/>
        </w:rPr>
        <w:t>:</w:t>
      </w:r>
      <w:r w:rsidR="00A73311">
        <w:rPr>
          <w:rFonts w:ascii="Arial" w:eastAsia="Calibri" w:hAnsi="Arial" w:cs="Arial"/>
          <w:b/>
          <w:sz w:val="24"/>
          <w:szCs w:val="24"/>
          <w:lang w:eastAsia="en-US"/>
        </w:rPr>
        <w:t xml:space="preserve"> 3</w:t>
      </w: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 points</w:t>
      </w:r>
    </w:p>
    <w:p w14:paraId="574DD48C" w14:textId="77777777" w:rsid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032D79EC" w14:textId="47E9F987" w:rsid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73311">
        <w:rPr>
          <w:rFonts w:ascii="Arial" w:eastAsia="Calibri" w:hAnsi="Arial" w:cs="Arial"/>
          <w:sz w:val="24"/>
          <w:szCs w:val="24"/>
          <w:lang w:eastAsia="en-US"/>
        </w:rPr>
        <w:t>Apprécié sur la base de la réponse du soumissionnaire sur les éléments suivants</w:t>
      </w:r>
      <w:r>
        <w:rPr>
          <w:rFonts w:ascii="Arial" w:eastAsia="Calibri" w:hAnsi="Arial" w:cs="Arial"/>
          <w:sz w:val="24"/>
          <w:szCs w:val="24"/>
          <w:lang w:eastAsia="en-US"/>
        </w:rPr>
        <w:t> :</w:t>
      </w:r>
    </w:p>
    <w:p w14:paraId="76168349" w14:textId="77777777" w:rsidR="00A73311" w:rsidRP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92C6A5B" w14:textId="77777777" w:rsidR="00A73311" w:rsidRP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73311">
        <w:rPr>
          <w:rFonts w:ascii="Arial" w:eastAsia="Calibri" w:hAnsi="Arial" w:cs="Arial"/>
          <w:sz w:val="24"/>
          <w:szCs w:val="24"/>
          <w:lang w:eastAsia="en-US"/>
        </w:rPr>
        <w:t>Présence d’une démarche structurée d’éco-conception (normes, référentiels utilisés : RGESN, GreenIT, Ecodesign IT, etc.)</w:t>
      </w:r>
    </w:p>
    <w:p w14:paraId="498BCCF7" w14:textId="76D2C167" w:rsidR="00A73311" w:rsidRP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3430C01" w14:textId="77777777" w:rsidR="00A73311" w:rsidRP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73311">
        <w:rPr>
          <w:rFonts w:ascii="Arial" w:eastAsia="Calibri" w:hAnsi="Arial" w:cs="Arial"/>
          <w:sz w:val="24"/>
          <w:szCs w:val="24"/>
          <w:lang w:eastAsia="en-US"/>
        </w:rPr>
        <w:t>Outils ou grilles d’évaluation intégrés dans les phases d’audit ou de conception</w:t>
      </w:r>
    </w:p>
    <w:p w14:paraId="0E3047E6" w14:textId="77777777" w:rsidR="00A73311" w:rsidRP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8C358A3" w14:textId="3E8E8437" w:rsidR="00A73311" w:rsidRP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73311">
        <w:rPr>
          <w:rFonts w:ascii="Arial" w:eastAsia="Calibri" w:hAnsi="Arial" w:cs="Arial"/>
          <w:sz w:val="24"/>
          <w:szCs w:val="24"/>
          <w:lang w:eastAsia="en-US"/>
        </w:rPr>
        <w:t>Choix techniques limitant les impacts : sobriété des interfaces, limitation des requêtes serveurs, poids des pages, hébergement écoresponsable, etc.</w:t>
      </w:r>
    </w:p>
    <w:p w14:paraId="35083E72" w14:textId="1850654C" w:rsidR="00A34B5A" w:rsidRPr="005C1651" w:rsidRDefault="00A34B5A" w:rsidP="00A34B5A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4EA32374" w14:textId="1A18E853" w:rsid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 soumissionnaire devra fournir :</w:t>
      </w:r>
    </w:p>
    <w:p w14:paraId="48957B96" w14:textId="77777777" w:rsidR="002A7242" w:rsidRPr="0005747C" w:rsidRDefault="002A7242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DB51AAB" w14:textId="29B3159E" w:rsid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La présentation d’une démarche structurée d’éco-conception (référentiels ou normes utilisés : RGESN, GreenIT, Ecodesign IT…).</w:t>
      </w:r>
    </w:p>
    <w:p w14:paraId="611225BC" w14:textId="0E52838F" w:rsidR="002A7242" w:rsidRPr="0005747C" w:rsidRDefault="002A7242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4C1977A" w14:textId="103E8021" w:rsidR="00A34B5A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Les outils ou grilles intégrés dans la conception/audit (EcoIndex, grilles internes…).</w:t>
      </w:r>
    </w:p>
    <w:p w14:paraId="48C63BDE" w14:textId="77777777" w:rsidR="002A7242" w:rsidRPr="005C1651" w:rsidRDefault="002A7242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F4ACBD4" w14:textId="5B39491D" w:rsidR="00A34B5A" w:rsidRPr="005C1651" w:rsidRDefault="00A34B5A" w:rsidP="006663B4">
      <w:pPr>
        <w:spacing w:before="120" w:after="120"/>
        <w:jc w:val="both"/>
        <w:rPr>
          <w:rFonts w:ascii="Arial" w:eastAsia="Calibri" w:hAnsi="Arial" w:cs="Arial"/>
          <w:b/>
          <w:color w:val="FF0000"/>
          <w:sz w:val="22"/>
          <w:szCs w:val="24"/>
        </w:rPr>
      </w:pPr>
    </w:p>
    <w:p w14:paraId="37C9D53A" w14:textId="4A0F39C0" w:rsid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Sous-critère 3.2</w:t>
      </w: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 – </w:t>
      </w:r>
      <w:r w:rsidR="00D36788" w:rsidRPr="00D36788">
        <w:rPr>
          <w:rFonts w:ascii="Arial" w:eastAsia="Calibri" w:hAnsi="Arial" w:cs="Arial"/>
          <w:b/>
          <w:sz w:val="24"/>
          <w:szCs w:val="24"/>
          <w:lang w:eastAsia="en-US"/>
        </w:rPr>
        <w:t>Approche globale d’écoconception intégrée à la refonte numérique du CNRS</w:t>
      </w: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>:</w:t>
      </w:r>
      <w:r w:rsidR="006552C7">
        <w:rPr>
          <w:rFonts w:ascii="Arial" w:eastAsia="Calibri" w:hAnsi="Arial" w:cs="Arial"/>
          <w:b/>
          <w:sz w:val="24"/>
          <w:szCs w:val="24"/>
          <w:lang w:eastAsia="en-US"/>
        </w:rPr>
        <w:t xml:space="preserve"> 07</w:t>
      </w:r>
      <w:r w:rsidRPr="005C1651">
        <w:rPr>
          <w:rFonts w:ascii="Arial" w:eastAsia="Calibri" w:hAnsi="Arial" w:cs="Arial"/>
          <w:b/>
          <w:sz w:val="24"/>
          <w:szCs w:val="24"/>
          <w:lang w:eastAsia="en-US"/>
        </w:rPr>
        <w:t xml:space="preserve"> points</w:t>
      </w:r>
    </w:p>
    <w:p w14:paraId="5505F340" w14:textId="77777777" w:rsid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6051CEA4" w14:textId="77777777" w:rsid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73311">
        <w:rPr>
          <w:rFonts w:ascii="Arial" w:eastAsia="Calibri" w:hAnsi="Arial" w:cs="Arial"/>
          <w:sz w:val="24"/>
          <w:szCs w:val="24"/>
          <w:lang w:eastAsia="en-US"/>
        </w:rPr>
        <w:t>Apprécié sur la base de la réponse du soumissionnaire sur les éléments suivants</w:t>
      </w:r>
      <w:r>
        <w:rPr>
          <w:rFonts w:ascii="Arial" w:eastAsia="Calibri" w:hAnsi="Arial" w:cs="Arial"/>
          <w:sz w:val="24"/>
          <w:szCs w:val="24"/>
          <w:lang w:eastAsia="en-US"/>
        </w:rPr>
        <w:t> :</w:t>
      </w:r>
    </w:p>
    <w:p w14:paraId="3D71551A" w14:textId="77777777" w:rsidR="00A73311" w:rsidRP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8A8CEFB" w14:textId="77777777" w:rsidR="006552C7" w:rsidRDefault="006552C7" w:rsidP="006552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3BFD80F" w14:textId="558B3623" w:rsidR="006552C7" w:rsidRPr="006552C7" w:rsidRDefault="006552C7" w:rsidP="006552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552C7">
        <w:rPr>
          <w:rFonts w:ascii="Arial" w:eastAsia="Calibri" w:hAnsi="Arial" w:cs="Arial"/>
          <w:sz w:val="24"/>
          <w:szCs w:val="24"/>
          <w:lang w:eastAsia="en-US"/>
        </w:rPr>
        <w:t>Gains en performance et durabilité des systèmes</w:t>
      </w:r>
    </w:p>
    <w:p w14:paraId="13AC56D0" w14:textId="77777777" w:rsidR="006552C7" w:rsidRDefault="006552C7" w:rsidP="006552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1D08CDF" w14:textId="5A3A8FD2" w:rsidR="006552C7" w:rsidRPr="006552C7" w:rsidRDefault="006552C7" w:rsidP="006552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552C7">
        <w:rPr>
          <w:rFonts w:ascii="Arial" w:eastAsia="Calibri" w:hAnsi="Arial" w:cs="Arial"/>
          <w:sz w:val="24"/>
          <w:szCs w:val="24"/>
          <w:lang w:eastAsia="en-US"/>
        </w:rPr>
        <w:t>Intégration de cette approche dans les recommandations stratégiques</w:t>
      </w:r>
    </w:p>
    <w:p w14:paraId="22F98A47" w14:textId="77777777" w:rsidR="006552C7" w:rsidRDefault="006552C7" w:rsidP="006552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8B8FD30" w14:textId="498F8BF8" w:rsidR="006552C7" w:rsidRPr="006552C7" w:rsidRDefault="006552C7" w:rsidP="006552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552C7">
        <w:rPr>
          <w:rFonts w:ascii="Arial" w:eastAsia="Calibri" w:hAnsi="Arial" w:cs="Arial"/>
          <w:sz w:val="24"/>
          <w:szCs w:val="24"/>
          <w:lang w:eastAsia="en-US"/>
        </w:rPr>
        <w:t>Prise en compte de la sobriété numérique dans les livrables attendus</w:t>
      </w:r>
    </w:p>
    <w:p w14:paraId="07C5C7D3" w14:textId="77777777" w:rsidR="006552C7" w:rsidRDefault="006552C7" w:rsidP="006552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2FC2409" w14:textId="415F8032" w:rsidR="00A73311" w:rsidRPr="00A73311" w:rsidRDefault="006552C7" w:rsidP="006552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552C7">
        <w:rPr>
          <w:rFonts w:ascii="Arial" w:eastAsia="Calibri" w:hAnsi="Arial" w:cs="Arial"/>
          <w:sz w:val="24"/>
          <w:szCs w:val="24"/>
          <w:lang w:eastAsia="en-US"/>
        </w:rPr>
        <w:t>Déploiement de bonnes pratiques (mutualisation des services, approche low-tech, rationalisation de l’architecture applicative)</w:t>
      </w:r>
      <w:r w:rsidR="00A73311" w:rsidRPr="00A73311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7DFF4B00" w14:textId="77777777" w:rsidR="00A73311" w:rsidRPr="005C1651" w:rsidRDefault="00A73311" w:rsidP="00A73311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45ED481E" w14:textId="77777777" w:rsidR="00A73311" w:rsidRDefault="00A73311" w:rsidP="00A73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1C3504EE" w14:textId="3B80A638" w:rsid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L</w:t>
      </w:r>
      <w:r w:rsidRPr="0005747C">
        <w:rPr>
          <w:rFonts w:ascii="Arial" w:eastAsia="Calibri" w:hAnsi="Arial" w:cs="Arial"/>
          <w:sz w:val="24"/>
          <w:szCs w:val="24"/>
          <w:lang w:eastAsia="en-US"/>
        </w:rPr>
        <w:t>e soumissionnaire devra fournir :</w:t>
      </w:r>
    </w:p>
    <w:p w14:paraId="5175928D" w14:textId="77777777" w:rsidR="00B93857" w:rsidRDefault="00B93857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54ED060" w14:textId="2C7EEC1E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Les bonnes pratiques mises en œuvre : mutualisation des ressources, sobriété fonctionnelle, rationalisation technique.</w:t>
      </w:r>
    </w:p>
    <w:p w14:paraId="3B9CA381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3396149" w14:textId="5EEAAE96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Une présentation de l’intégration de l’éco-conception dans la gouvernance du projet (rôles, responsabilités partagées, suivi).</w:t>
      </w:r>
    </w:p>
    <w:p w14:paraId="4B55E3B1" w14:textId="77777777" w:rsidR="0005747C" w:rsidRPr="0005747C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0CE4C84" w14:textId="161B91E7" w:rsidR="00A73311" w:rsidRPr="005C1651" w:rsidRDefault="0005747C" w:rsidP="00057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5747C">
        <w:rPr>
          <w:rFonts w:ascii="Arial" w:eastAsia="Calibri" w:hAnsi="Arial" w:cs="Arial"/>
          <w:sz w:val="24"/>
          <w:szCs w:val="24"/>
          <w:lang w:eastAsia="en-US"/>
        </w:rPr>
        <w:t>L’intégration des principes de sobriété numérique dans les livrables et les recommandations stratégiques.</w:t>
      </w:r>
    </w:p>
    <w:p w14:paraId="1D6E92AF" w14:textId="35FDFE2B" w:rsidR="00A34B5A" w:rsidRPr="005C1651" w:rsidRDefault="00A34B5A" w:rsidP="00A34B5A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1C1C72A9" w14:textId="77777777" w:rsidR="00A34B5A" w:rsidRPr="005C1651" w:rsidRDefault="00A34B5A" w:rsidP="00A34B5A">
      <w:pPr>
        <w:jc w:val="both"/>
        <w:rPr>
          <w:rFonts w:ascii="Arial" w:eastAsia="Calibri" w:hAnsi="Arial" w:cs="Arial"/>
          <w:bCs/>
          <w:lang w:eastAsia="en-US"/>
        </w:rPr>
      </w:pPr>
    </w:p>
    <w:sectPr w:rsidR="00A34B5A" w:rsidRPr="005C1651" w:rsidSect="00A373B7">
      <w:headerReference w:type="default" r:id="rId9"/>
      <w:footerReference w:type="default" r:id="rId10"/>
      <w:pgSz w:w="11910" w:h="16840" w:code="9"/>
      <w:pgMar w:top="1417" w:right="1259" w:bottom="1162" w:left="1100" w:header="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89C9F" w14:textId="77777777" w:rsidR="00006942" w:rsidRDefault="00006942" w:rsidP="00572659">
      <w:r>
        <w:separator/>
      </w:r>
    </w:p>
  </w:endnote>
  <w:endnote w:type="continuationSeparator" w:id="0">
    <w:p w14:paraId="35B7D1D7" w14:textId="77777777" w:rsidR="00006942" w:rsidRDefault="00006942" w:rsidP="00572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7A2E9" w14:textId="4E2BD1A6" w:rsidR="00FE7705" w:rsidRPr="00FE7705" w:rsidRDefault="00FE7705" w:rsidP="00FE7705">
    <w:pPr>
      <w:pStyle w:val="Pieddepage"/>
      <w:jc w:val="right"/>
      <w:rPr>
        <w:rFonts w:ascii="Arial" w:hAnsi="Arial" w:cs="Arial"/>
        <w:sz w:val="18"/>
      </w:rPr>
    </w:pPr>
    <w:r w:rsidRPr="00FE7705">
      <w:rPr>
        <w:rFonts w:ascii="Arial" w:eastAsiaTheme="minorHAnsi" w:hAnsi="Arial" w:cs="Arial"/>
        <w:b/>
        <w:color w:val="000000" w:themeColor="text1"/>
        <w:szCs w:val="21"/>
        <w:lang w:eastAsia="en-US"/>
      </w:rPr>
      <w:t xml:space="preserve">Délégation Paris-Normandie |DIRCOM | CNRS | CRT : </w:t>
    </w:r>
    <w:r w:rsidRPr="00FE7705">
      <w:rPr>
        <w:rFonts w:ascii="Arial" w:eastAsiaTheme="minorHAnsi" w:hAnsi="Arial" w:cs="Arial"/>
        <w:b/>
        <w:color w:val="C00000"/>
        <w:szCs w:val="21"/>
        <w:lang w:eastAsia="en-US"/>
      </w:rPr>
      <w:t>2025APA010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404CC" w14:textId="77777777" w:rsidR="00006942" w:rsidRDefault="00006942" w:rsidP="00572659">
      <w:r>
        <w:separator/>
      </w:r>
    </w:p>
  </w:footnote>
  <w:footnote w:type="continuationSeparator" w:id="0">
    <w:p w14:paraId="3A2F37A7" w14:textId="77777777" w:rsidR="00006942" w:rsidRDefault="00006942" w:rsidP="00572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27BF1" w14:textId="77777777" w:rsidR="00CF7B5D" w:rsidRDefault="00CF7B5D" w:rsidP="00CF7B5D">
    <w:pPr>
      <w:widowControl w:val="0"/>
      <w:tabs>
        <w:tab w:val="center" w:pos="4819"/>
        <w:tab w:val="right" w:pos="9071"/>
      </w:tabs>
      <w:suppressAutoHyphens/>
      <w:spacing w:line="360" w:lineRule="atLeast"/>
      <w:jc w:val="center"/>
      <w:textAlignment w:val="baseline"/>
      <w:rPr>
        <w:rFonts w:ascii="Arial Narrow" w:hAnsi="Arial Narrow" w:cs="CG Times"/>
        <w:b/>
        <w:sz w:val="24"/>
        <w:szCs w:val="24"/>
        <w:lang w:eastAsia="zh-CN"/>
      </w:rPr>
    </w:pPr>
  </w:p>
  <w:p w14:paraId="789B53C8" w14:textId="5FFCD489" w:rsidR="00CF7B5D" w:rsidRPr="00CF7B5D" w:rsidRDefault="00CF7B5D" w:rsidP="00CF7B5D">
    <w:pPr>
      <w:widowControl w:val="0"/>
      <w:tabs>
        <w:tab w:val="center" w:pos="4819"/>
        <w:tab w:val="right" w:pos="9071"/>
      </w:tabs>
      <w:suppressAutoHyphens/>
      <w:spacing w:line="360" w:lineRule="atLeast"/>
      <w:jc w:val="center"/>
      <w:textAlignment w:val="baseline"/>
      <w:rPr>
        <w:rFonts w:ascii="Arial Narrow" w:hAnsi="Arial Narrow" w:cs="CG Times"/>
        <w:b/>
        <w:sz w:val="24"/>
        <w:szCs w:val="24"/>
        <w:lang w:eastAsia="zh-CN"/>
      </w:rPr>
    </w:pPr>
    <w:r w:rsidRPr="00CF7B5D">
      <w:rPr>
        <w:rFonts w:ascii="Arial Narrow" w:hAnsi="Arial Narrow" w:cs="CG Times"/>
        <w:b/>
        <w:sz w:val="24"/>
        <w:szCs w:val="24"/>
        <w:lang w:eastAsia="zh-CN"/>
      </w:rPr>
      <w:t>CNRS – Délégation Paris-Normandie du CNRS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196A"/>
    <w:multiLevelType w:val="hybridMultilevel"/>
    <w:tmpl w:val="DDF809E8"/>
    <w:lvl w:ilvl="0" w:tplc="D3C6D7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C6646"/>
    <w:multiLevelType w:val="hybridMultilevel"/>
    <w:tmpl w:val="D2EC2A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F50A2"/>
    <w:multiLevelType w:val="hybridMultilevel"/>
    <w:tmpl w:val="48B471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B29E1"/>
    <w:multiLevelType w:val="hybridMultilevel"/>
    <w:tmpl w:val="C4129A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31947"/>
    <w:multiLevelType w:val="hybridMultilevel"/>
    <w:tmpl w:val="DA8A5D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93341"/>
    <w:multiLevelType w:val="hybridMultilevel"/>
    <w:tmpl w:val="0D3647E4"/>
    <w:lvl w:ilvl="0" w:tplc="7B10999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0472D"/>
    <w:multiLevelType w:val="hybridMultilevel"/>
    <w:tmpl w:val="C96A72B4"/>
    <w:lvl w:ilvl="0" w:tplc="023E7BE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051FC"/>
    <w:multiLevelType w:val="hybridMultilevel"/>
    <w:tmpl w:val="8C1694D2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6B"/>
    <w:rsid w:val="00004F0C"/>
    <w:rsid w:val="00006942"/>
    <w:rsid w:val="0003218D"/>
    <w:rsid w:val="00047B81"/>
    <w:rsid w:val="0005747C"/>
    <w:rsid w:val="00064295"/>
    <w:rsid w:val="00073957"/>
    <w:rsid w:val="000D01B8"/>
    <w:rsid w:val="000E270A"/>
    <w:rsid w:val="0011294D"/>
    <w:rsid w:val="001504FE"/>
    <w:rsid w:val="001673A8"/>
    <w:rsid w:val="001B0804"/>
    <w:rsid w:val="001F5270"/>
    <w:rsid w:val="0020084A"/>
    <w:rsid w:val="002018CA"/>
    <w:rsid w:val="00220B12"/>
    <w:rsid w:val="0024174F"/>
    <w:rsid w:val="00243D8B"/>
    <w:rsid w:val="0025223A"/>
    <w:rsid w:val="0026355D"/>
    <w:rsid w:val="002873D4"/>
    <w:rsid w:val="002A4C66"/>
    <w:rsid w:val="002A7242"/>
    <w:rsid w:val="002B0313"/>
    <w:rsid w:val="002E37A8"/>
    <w:rsid w:val="002F2E78"/>
    <w:rsid w:val="0031383A"/>
    <w:rsid w:val="003420F9"/>
    <w:rsid w:val="00350BF4"/>
    <w:rsid w:val="00364270"/>
    <w:rsid w:val="00381B6B"/>
    <w:rsid w:val="00390CBD"/>
    <w:rsid w:val="003A26C7"/>
    <w:rsid w:val="003B015E"/>
    <w:rsid w:val="003D79DE"/>
    <w:rsid w:val="003E0269"/>
    <w:rsid w:val="003E7028"/>
    <w:rsid w:val="003F2F19"/>
    <w:rsid w:val="004278BC"/>
    <w:rsid w:val="004527B9"/>
    <w:rsid w:val="004572AF"/>
    <w:rsid w:val="00464F1D"/>
    <w:rsid w:val="004760CD"/>
    <w:rsid w:val="0048686C"/>
    <w:rsid w:val="00486FE4"/>
    <w:rsid w:val="004B4101"/>
    <w:rsid w:val="004B67EC"/>
    <w:rsid w:val="004C1B18"/>
    <w:rsid w:val="004C4E79"/>
    <w:rsid w:val="004C5480"/>
    <w:rsid w:val="004D3A3D"/>
    <w:rsid w:val="004E4CE2"/>
    <w:rsid w:val="004F1676"/>
    <w:rsid w:val="00502E3A"/>
    <w:rsid w:val="0056735A"/>
    <w:rsid w:val="00572659"/>
    <w:rsid w:val="005A337F"/>
    <w:rsid w:val="005B0B6C"/>
    <w:rsid w:val="005C1651"/>
    <w:rsid w:val="005F3DD6"/>
    <w:rsid w:val="006552C7"/>
    <w:rsid w:val="006663B4"/>
    <w:rsid w:val="00666B10"/>
    <w:rsid w:val="00667DC4"/>
    <w:rsid w:val="0067425E"/>
    <w:rsid w:val="00680AAF"/>
    <w:rsid w:val="007147AD"/>
    <w:rsid w:val="00737C5D"/>
    <w:rsid w:val="00752352"/>
    <w:rsid w:val="00774694"/>
    <w:rsid w:val="007803B3"/>
    <w:rsid w:val="007940B1"/>
    <w:rsid w:val="007A2624"/>
    <w:rsid w:val="007B5131"/>
    <w:rsid w:val="007B5F4A"/>
    <w:rsid w:val="008156FE"/>
    <w:rsid w:val="0083095B"/>
    <w:rsid w:val="00832326"/>
    <w:rsid w:val="008327D5"/>
    <w:rsid w:val="008607B6"/>
    <w:rsid w:val="00860BCB"/>
    <w:rsid w:val="008774C1"/>
    <w:rsid w:val="008956CF"/>
    <w:rsid w:val="0089577F"/>
    <w:rsid w:val="008970C1"/>
    <w:rsid w:val="00897725"/>
    <w:rsid w:val="008B4EE7"/>
    <w:rsid w:val="008B60CE"/>
    <w:rsid w:val="008C66D9"/>
    <w:rsid w:val="008E7DE9"/>
    <w:rsid w:val="008F2113"/>
    <w:rsid w:val="009013AD"/>
    <w:rsid w:val="0092630F"/>
    <w:rsid w:val="009341C4"/>
    <w:rsid w:val="0094245A"/>
    <w:rsid w:val="00945702"/>
    <w:rsid w:val="00974637"/>
    <w:rsid w:val="0098180F"/>
    <w:rsid w:val="0099091F"/>
    <w:rsid w:val="009B29DD"/>
    <w:rsid w:val="009E149C"/>
    <w:rsid w:val="009F6FBC"/>
    <w:rsid w:val="00A036B0"/>
    <w:rsid w:val="00A27E07"/>
    <w:rsid w:val="00A34B5A"/>
    <w:rsid w:val="00A373B7"/>
    <w:rsid w:val="00A502AA"/>
    <w:rsid w:val="00A55DE6"/>
    <w:rsid w:val="00A73311"/>
    <w:rsid w:val="00A808F9"/>
    <w:rsid w:val="00AA5302"/>
    <w:rsid w:val="00AC13DE"/>
    <w:rsid w:val="00AC2C0A"/>
    <w:rsid w:val="00AD0716"/>
    <w:rsid w:val="00AE60FA"/>
    <w:rsid w:val="00B01E1A"/>
    <w:rsid w:val="00B45A3B"/>
    <w:rsid w:val="00B46B37"/>
    <w:rsid w:val="00B5045A"/>
    <w:rsid w:val="00B54689"/>
    <w:rsid w:val="00B62FEC"/>
    <w:rsid w:val="00B85695"/>
    <w:rsid w:val="00B93857"/>
    <w:rsid w:val="00BA1AA3"/>
    <w:rsid w:val="00BB3F4D"/>
    <w:rsid w:val="00BB402E"/>
    <w:rsid w:val="00BC72A2"/>
    <w:rsid w:val="00BE31D1"/>
    <w:rsid w:val="00BE4BBF"/>
    <w:rsid w:val="00BF401D"/>
    <w:rsid w:val="00C205B1"/>
    <w:rsid w:val="00C42279"/>
    <w:rsid w:val="00C8157E"/>
    <w:rsid w:val="00C9160E"/>
    <w:rsid w:val="00CA45F4"/>
    <w:rsid w:val="00CA6F0D"/>
    <w:rsid w:val="00CB1A31"/>
    <w:rsid w:val="00CB6138"/>
    <w:rsid w:val="00CC1A56"/>
    <w:rsid w:val="00CC6647"/>
    <w:rsid w:val="00CD414D"/>
    <w:rsid w:val="00CD4E67"/>
    <w:rsid w:val="00CD6ED4"/>
    <w:rsid w:val="00CE1A69"/>
    <w:rsid w:val="00CF7B5D"/>
    <w:rsid w:val="00D0744D"/>
    <w:rsid w:val="00D07B43"/>
    <w:rsid w:val="00D151DC"/>
    <w:rsid w:val="00D15B1F"/>
    <w:rsid w:val="00D17C74"/>
    <w:rsid w:val="00D24BC0"/>
    <w:rsid w:val="00D36788"/>
    <w:rsid w:val="00D3734C"/>
    <w:rsid w:val="00D41F06"/>
    <w:rsid w:val="00D5441D"/>
    <w:rsid w:val="00D6096E"/>
    <w:rsid w:val="00D676AC"/>
    <w:rsid w:val="00D80530"/>
    <w:rsid w:val="00DA50E9"/>
    <w:rsid w:val="00DB61EF"/>
    <w:rsid w:val="00DD0D95"/>
    <w:rsid w:val="00E14C4F"/>
    <w:rsid w:val="00E33E06"/>
    <w:rsid w:val="00E530E9"/>
    <w:rsid w:val="00E5353C"/>
    <w:rsid w:val="00E65FA0"/>
    <w:rsid w:val="00E76306"/>
    <w:rsid w:val="00E84EC0"/>
    <w:rsid w:val="00E94887"/>
    <w:rsid w:val="00E965E8"/>
    <w:rsid w:val="00EA4690"/>
    <w:rsid w:val="00EA6A29"/>
    <w:rsid w:val="00EB3BFB"/>
    <w:rsid w:val="00ED1707"/>
    <w:rsid w:val="00F1404B"/>
    <w:rsid w:val="00F34FA5"/>
    <w:rsid w:val="00F369D5"/>
    <w:rsid w:val="00F422C5"/>
    <w:rsid w:val="00F43369"/>
    <w:rsid w:val="00F52090"/>
    <w:rsid w:val="00F661B7"/>
    <w:rsid w:val="00F77BD0"/>
    <w:rsid w:val="00F82746"/>
    <w:rsid w:val="00F832E4"/>
    <w:rsid w:val="00F96479"/>
    <w:rsid w:val="00FE474B"/>
    <w:rsid w:val="00FE7705"/>
    <w:rsid w:val="00FF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337BAC9"/>
  <w15:chartTrackingRefBased/>
  <w15:docId w15:val="{5A13C818-2F12-47B1-A81E-7D492BF4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676"/>
    <w:rPr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F1676"/>
    <w:pPr>
      <w:keepNext/>
      <w:ind w:right="-28"/>
      <w:outlineLvl w:val="0"/>
    </w:pPr>
    <w:rPr>
      <w:rFonts w:ascii="Arial Narrow" w:hAnsi="Arial Narrow" w:cs="Arial"/>
      <w:b/>
      <w:bCs/>
      <w:color w:val="000080"/>
    </w:rPr>
  </w:style>
  <w:style w:type="paragraph" w:styleId="Titre2">
    <w:name w:val="heading 2"/>
    <w:basedOn w:val="Normal"/>
    <w:next w:val="Normal"/>
    <w:link w:val="Titre2Car"/>
    <w:autoRedefine/>
    <w:qFormat/>
    <w:rsid w:val="004F1676"/>
    <w:pPr>
      <w:keepNext/>
      <w:jc w:val="both"/>
      <w:outlineLvl w:val="1"/>
    </w:pPr>
    <w:rPr>
      <w:rFonts w:ascii="Arial" w:hAnsi="Arial" w:cs="Arial"/>
      <w:bCs/>
      <w:sz w:val="22"/>
      <w:szCs w:val="22"/>
    </w:rPr>
  </w:style>
  <w:style w:type="paragraph" w:styleId="Titre3">
    <w:name w:val="heading 3"/>
    <w:basedOn w:val="Normal"/>
    <w:next w:val="Normal"/>
    <w:link w:val="Titre3Car"/>
    <w:qFormat/>
    <w:rsid w:val="004F1676"/>
    <w:pPr>
      <w:keepNext/>
      <w:jc w:val="both"/>
      <w:outlineLvl w:val="2"/>
    </w:pPr>
    <w:rPr>
      <w:b/>
      <w:bCs/>
      <w:color w:val="0000FF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4F1676"/>
    <w:pPr>
      <w:keepNext/>
      <w:jc w:val="both"/>
      <w:outlineLvl w:val="3"/>
    </w:pPr>
    <w:rPr>
      <w:color w:val="FF0000"/>
      <w:sz w:val="24"/>
      <w:szCs w:val="24"/>
    </w:rPr>
  </w:style>
  <w:style w:type="paragraph" w:styleId="Titre5">
    <w:name w:val="heading 5"/>
    <w:basedOn w:val="Normal"/>
    <w:next w:val="Normal"/>
    <w:link w:val="Titre5Car"/>
    <w:qFormat/>
    <w:rsid w:val="004F1676"/>
    <w:pPr>
      <w:keepNext/>
      <w:spacing w:line="240" w:lineRule="atLeast"/>
      <w:ind w:right="-28"/>
      <w:jc w:val="center"/>
      <w:outlineLvl w:val="4"/>
    </w:pPr>
    <w:rPr>
      <w:rFonts w:ascii="Comic Sans MS" w:hAnsi="Comic Sans MS"/>
      <w:b/>
      <w:bCs/>
      <w:color w:val="800000"/>
      <w:sz w:val="28"/>
      <w:szCs w:val="28"/>
    </w:rPr>
  </w:style>
  <w:style w:type="paragraph" w:styleId="Titre7">
    <w:name w:val="heading 7"/>
    <w:basedOn w:val="Normal"/>
    <w:next w:val="Normal"/>
    <w:link w:val="Titre7Car"/>
    <w:qFormat/>
    <w:rsid w:val="004F1676"/>
    <w:pPr>
      <w:spacing w:before="240" w:after="60"/>
      <w:outlineLvl w:val="6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F1676"/>
    <w:rPr>
      <w:rFonts w:ascii="Arial Narrow" w:hAnsi="Arial Narrow" w:cs="Arial"/>
      <w:b/>
      <w:bCs/>
      <w:color w:val="000080"/>
      <w:lang w:eastAsia="fr-FR"/>
    </w:rPr>
  </w:style>
  <w:style w:type="character" w:customStyle="1" w:styleId="Titre2Car">
    <w:name w:val="Titre 2 Car"/>
    <w:basedOn w:val="Policepardfaut"/>
    <w:link w:val="Titre2"/>
    <w:rsid w:val="004F1676"/>
    <w:rPr>
      <w:rFonts w:ascii="Arial" w:hAnsi="Arial" w:cs="Arial"/>
      <w:bCs/>
      <w:sz w:val="22"/>
      <w:szCs w:val="22"/>
      <w:lang w:eastAsia="fr-FR"/>
    </w:rPr>
  </w:style>
  <w:style w:type="character" w:customStyle="1" w:styleId="Titre3Car">
    <w:name w:val="Titre 3 Car"/>
    <w:basedOn w:val="Policepardfaut"/>
    <w:link w:val="Titre3"/>
    <w:rsid w:val="004F1676"/>
    <w:rPr>
      <w:b/>
      <w:bCs/>
      <w:color w:val="0000F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F1676"/>
    <w:rPr>
      <w:color w:val="FF0000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4F1676"/>
    <w:rPr>
      <w:rFonts w:ascii="Comic Sans MS" w:hAnsi="Comic Sans MS"/>
      <w:b/>
      <w:bCs/>
      <w:color w:val="800000"/>
      <w:sz w:val="28"/>
      <w:szCs w:val="28"/>
      <w:lang w:eastAsia="fr-FR"/>
    </w:rPr>
  </w:style>
  <w:style w:type="character" w:customStyle="1" w:styleId="Titre7Car">
    <w:name w:val="Titre 7 Car"/>
    <w:basedOn w:val="Policepardfaut"/>
    <w:link w:val="Titre7"/>
    <w:rsid w:val="004F1676"/>
    <w:rPr>
      <w:sz w:val="24"/>
      <w:szCs w:val="24"/>
      <w:lang w:eastAsia="fr-FR"/>
    </w:rPr>
  </w:style>
  <w:style w:type="character" w:styleId="lev">
    <w:name w:val="Strong"/>
    <w:uiPriority w:val="22"/>
    <w:qFormat/>
    <w:rsid w:val="004F1676"/>
    <w:rPr>
      <w:b/>
      <w:bCs/>
    </w:rPr>
  </w:style>
  <w:style w:type="paragraph" w:styleId="Paragraphedeliste">
    <w:name w:val="List Paragraph"/>
    <w:basedOn w:val="Normal"/>
    <w:uiPriority w:val="34"/>
    <w:qFormat/>
    <w:rsid w:val="004F1676"/>
    <w:pPr>
      <w:ind w:left="70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4F1676"/>
    <w:pPr>
      <w:keepLines/>
      <w:spacing w:before="240" w:line="259" w:lineRule="auto"/>
      <w:ind w:right="0"/>
      <w:outlineLvl w:val="9"/>
    </w:pPr>
    <w:rPr>
      <w:rFonts w:ascii="Calibri Light" w:hAnsi="Calibri Light" w:cs="Times New Roman"/>
      <w:bCs w:val="0"/>
      <w:color w:val="2E74B5"/>
      <w:sz w:val="32"/>
      <w:szCs w:val="32"/>
    </w:rPr>
  </w:style>
  <w:style w:type="paragraph" w:styleId="Commentaire">
    <w:name w:val="annotation text"/>
    <w:basedOn w:val="Normal"/>
    <w:link w:val="CommentaireCar"/>
    <w:unhideWhenUsed/>
    <w:rsid w:val="00B85695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B85695"/>
    <w:rPr>
      <w:rFonts w:asciiTheme="minorHAnsi" w:eastAsiaTheme="minorHAnsi" w:hAnsiTheme="minorHAnsi" w:cstheme="minorBidi"/>
    </w:rPr>
  </w:style>
  <w:style w:type="character" w:styleId="Accentuation">
    <w:name w:val="Emphasis"/>
    <w:basedOn w:val="Policepardfaut"/>
    <w:uiPriority w:val="20"/>
    <w:qFormat/>
    <w:rsid w:val="00EA6A29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6A2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6A29"/>
    <w:rPr>
      <w:rFonts w:ascii="Segoe UI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CD414D"/>
    <w:rPr>
      <w:color w:val="808080"/>
    </w:rPr>
  </w:style>
  <w:style w:type="character" w:styleId="Marquedecommentaire">
    <w:name w:val="annotation reference"/>
    <w:basedOn w:val="Policepardfaut"/>
    <w:unhideWhenUsed/>
    <w:rsid w:val="00A036B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36B0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36B0"/>
    <w:rPr>
      <w:rFonts w:asciiTheme="minorHAnsi" w:eastAsiaTheme="minorHAnsi" w:hAnsiTheme="minorHAnsi" w:cstheme="minorBidi"/>
      <w:b/>
      <w:bCs/>
      <w:lang w:eastAsia="fr-FR"/>
    </w:rPr>
  </w:style>
  <w:style w:type="table" w:styleId="Grilledutableau">
    <w:name w:val="Table Grid"/>
    <w:basedOn w:val="TableauNormal"/>
    <w:uiPriority w:val="39"/>
    <w:rsid w:val="00E94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26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2659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726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2659"/>
    <w:rPr>
      <w:lang w:eastAsia="fr-FR"/>
    </w:rPr>
  </w:style>
  <w:style w:type="paragraph" w:styleId="Rvision">
    <w:name w:val="Revision"/>
    <w:hidden/>
    <w:uiPriority w:val="99"/>
    <w:semiHidden/>
    <w:rsid w:val="008327D5"/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8F211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F21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C7CEB-4C47-453D-96BE-101768B8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1303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CNRS-DR16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ICARRE Anthony</dc:creator>
  <cp:keywords/>
  <dc:description/>
  <cp:lastModifiedBy>ICARRE Anthony</cp:lastModifiedBy>
  <cp:revision>2</cp:revision>
  <dcterms:created xsi:type="dcterms:W3CDTF">2025-06-06T11:33:00Z</dcterms:created>
  <dcterms:modified xsi:type="dcterms:W3CDTF">2025-06-06T11:33:00Z</dcterms:modified>
</cp:coreProperties>
</file>