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51732A" w:rsidRPr="0051732A"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4"/>
          <w:lang w:eastAsia="fr-FR"/>
        </w:rPr>
      </w:pPr>
      <w:bookmarkStart w:id="0" w:name="_Hlk187239728"/>
      <w:bookmarkStart w:id="1" w:name="_Hlk141278761"/>
    </w:p>
    <w:p w:rsidR="005F4214" w:rsidRDefault="00CE55A5"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r w:rsidRPr="00B26802">
        <w:rPr>
          <w:rFonts w:ascii="Arial" w:hAnsi="Arial" w:cs="Arial"/>
          <w:b/>
          <w:i/>
          <w:sz w:val="28"/>
        </w:rPr>
        <w:t>Maintenance préventive et corrective des climatisations et VMC de l’EPSM de Caen</w:t>
      </w:r>
    </w:p>
    <w:bookmarkEnd w:id="0"/>
    <w:bookmarkEnd w:id="1"/>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CE55A5" w:rsidRDefault="00CE55A5"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CE55A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42DB6">
        <w:fldChar w:fldCharType="separate"/>
      </w:r>
      <w:r>
        <w:fldChar w:fldCharType="end"/>
      </w:r>
      <w:r w:rsidR="003C72A6">
        <w:tab/>
      </w:r>
      <w:proofErr w:type="gramStart"/>
      <w:r w:rsidR="003C72A6">
        <w:t>à</w:t>
      </w:r>
      <w:proofErr w:type="gramEnd"/>
      <w:r w:rsidR="003C72A6">
        <w:t xml:space="preserve"> l’ensemble du marché public </w:t>
      </w:r>
      <w:r w:rsidR="003C72A6">
        <w:rPr>
          <w:i/>
          <w:iCs/>
          <w:sz w:val="18"/>
          <w:szCs w:val="18"/>
        </w:rPr>
        <w:t>(en cas de non allotissement) </w:t>
      </w:r>
      <w:r w:rsidR="003C72A6">
        <w:rPr>
          <w:iCs/>
        </w:rPr>
        <w:t>;</w:t>
      </w:r>
    </w:p>
    <w:p w:rsidR="003C72A6" w:rsidRDefault="003C72A6" w:rsidP="009B45B9">
      <w:pPr>
        <w:tabs>
          <w:tab w:val="left" w:pos="426"/>
          <w:tab w:val="left" w:pos="851"/>
        </w:tabs>
        <w:jc w:val="both"/>
        <w:rPr>
          <w:rFonts w:ascii="Arial" w:hAnsi="Arial" w:cs="Arial"/>
        </w:rPr>
      </w:pPr>
    </w:p>
    <w:p w:rsidR="003C72A6" w:rsidRDefault="00CE55A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sidR="003C72A6">
        <w:rPr>
          <w:rFonts w:ascii="Arial" w:hAnsi="Arial" w:cs="Arial"/>
        </w:rPr>
        <w:tab/>
        <w:t>au lot n°…</w:t>
      </w:r>
      <w:bookmarkStart w:id="2" w:name="_GoBack"/>
      <w:bookmarkEnd w:id="2"/>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342DB6">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110CFD">
        <w:rPr>
          <w:rFonts w:ascii="Arial" w:hAnsi="Arial" w:cs="Arial"/>
        </w:rPr>
        <w:t>7</w:t>
      </w:r>
      <w:r w:rsidR="00CE55A5">
        <w:rPr>
          <w:rFonts w:ascii="Arial" w:hAnsi="Arial" w:cs="Arial"/>
        </w:rPr>
        <w:t>9</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342DB6">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342DB6">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42DB6">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w:t>
      </w:r>
      <w:r w:rsidR="00CE55A5">
        <w:rPr>
          <w:rFonts w:ascii="Arial" w:hAnsi="Arial" w:cs="Arial"/>
          <w:lang w:eastAsia="fr-FR"/>
        </w:rPr>
        <w:t>s</w:t>
      </w:r>
      <w:r>
        <w:rPr>
          <w:rFonts w:ascii="Arial" w:hAnsi="Arial" w:cs="Arial"/>
          <w:lang w:eastAsia="fr-FR"/>
        </w:rPr>
        <w:t xml:space="preserve"> montant</w:t>
      </w:r>
      <w:r w:rsidR="00CE55A5">
        <w:rPr>
          <w:rFonts w:ascii="Arial" w:hAnsi="Arial" w:cs="Arial"/>
          <w:lang w:eastAsia="fr-FR"/>
        </w:rPr>
        <w:t>s</w:t>
      </w:r>
      <w:r>
        <w:rPr>
          <w:rFonts w:ascii="Arial" w:hAnsi="Arial" w:cs="Arial"/>
          <w:lang w:eastAsia="fr-FR"/>
        </w:rPr>
        <w:t xml:space="preserve">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w:t>
      </w:r>
      <w:r w:rsidR="00CE55A5">
        <w:rPr>
          <w:rFonts w:ascii="Arial" w:hAnsi="Arial" w:cs="Arial"/>
          <w:lang w:eastAsia="fr-FR"/>
        </w:rPr>
        <w:t>s</w:t>
      </w:r>
      <w:r>
        <w:rPr>
          <w:rFonts w:ascii="Arial" w:hAnsi="Arial" w:cs="Arial"/>
          <w:lang w:eastAsia="fr-FR"/>
        </w:rPr>
        <w:t>sent 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2126"/>
        <w:gridCol w:w="2552"/>
      </w:tblGrid>
      <w:tr w:rsidR="00110CFD" w:rsidRPr="0067605A" w:rsidTr="00CE55A5">
        <w:trPr>
          <w:trHeight w:val="455"/>
        </w:trPr>
        <w:tc>
          <w:tcPr>
            <w:tcW w:w="2126" w:type="dxa"/>
            <w:vAlign w:val="center"/>
          </w:tcPr>
          <w:p w:rsidR="00110CFD" w:rsidRPr="0067605A" w:rsidRDefault="00CE55A5" w:rsidP="00F270A9">
            <w:pPr>
              <w:jc w:val="center"/>
              <w:rPr>
                <w:rFonts w:ascii="Arial" w:eastAsiaTheme="minorHAnsi" w:hAnsi="Arial" w:cs="Arial"/>
                <w:sz w:val="18"/>
                <w:szCs w:val="18"/>
                <w:lang w:eastAsia="en-US"/>
              </w:rPr>
            </w:pPr>
            <w:r>
              <w:rPr>
                <w:rFonts w:ascii="Arial" w:hAnsi="Arial" w:cs="Arial"/>
                <w:sz w:val="18"/>
                <w:szCs w:val="18"/>
              </w:rPr>
              <w:lastRenderedPageBreak/>
              <w:t>Montant minimum annuel HT</w:t>
            </w:r>
          </w:p>
        </w:tc>
        <w:tc>
          <w:tcPr>
            <w:tcW w:w="2552" w:type="dxa"/>
            <w:vAlign w:val="center"/>
          </w:tcPr>
          <w:p w:rsidR="00110CFD" w:rsidRPr="0067605A" w:rsidRDefault="00110CFD" w:rsidP="00F270A9">
            <w:pPr>
              <w:jc w:val="center"/>
              <w:rPr>
                <w:rFonts w:ascii="Arial" w:hAnsi="Arial" w:cs="Arial"/>
                <w:sz w:val="18"/>
                <w:szCs w:val="18"/>
              </w:rPr>
            </w:pPr>
            <w:r>
              <w:rPr>
                <w:rFonts w:ascii="Arial" w:hAnsi="Arial" w:cs="Arial"/>
                <w:sz w:val="18"/>
                <w:szCs w:val="18"/>
              </w:rPr>
              <w:t>Montant maximum annuel HT</w:t>
            </w:r>
          </w:p>
        </w:tc>
      </w:tr>
      <w:tr w:rsidR="00167A0B" w:rsidRPr="0067605A" w:rsidTr="00CE55A5">
        <w:trPr>
          <w:trHeight w:val="404"/>
        </w:trPr>
        <w:tc>
          <w:tcPr>
            <w:tcW w:w="2126" w:type="dxa"/>
            <w:vAlign w:val="center"/>
          </w:tcPr>
          <w:p w:rsidR="00167A0B" w:rsidRPr="0067605A" w:rsidRDefault="00CE55A5" w:rsidP="00F270A9">
            <w:pPr>
              <w:jc w:val="center"/>
              <w:rPr>
                <w:rFonts w:ascii="Arial" w:eastAsiaTheme="minorHAnsi" w:hAnsi="Arial" w:cs="Arial"/>
                <w:sz w:val="18"/>
                <w:szCs w:val="18"/>
                <w:lang w:eastAsia="en-US"/>
              </w:rPr>
            </w:pPr>
            <w:r>
              <w:rPr>
                <w:rFonts w:ascii="Arial" w:eastAsiaTheme="minorHAnsi" w:hAnsi="Arial" w:cs="Arial"/>
                <w:sz w:val="18"/>
                <w:szCs w:val="18"/>
                <w:lang w:eastAsia="en-US"/>
              </w:rPr>
              <w:t>0 €</w:t>
            </w:r>
          </w:p>
        </w:tc>
        <w:tc>
          <w:tcPr>
            <w:tcW w:w="2552" w:type="dxa"/>
            <w:vAlign w:val="center"/>
          </w:tcPr>
          <w:p w:rsidR="00167A0B" w:rsidRPr="009A46FA" w:rsidRDefault="0082122A" w:rsidP="00167A0B">
            <w:pPr>
              <w:jc w:val="center"/>
              <w:rPr>
                <w:rFonts w:ascii="Arial" w:hAnsi="Arial" w:cs="Arial"/>
                <w:sz w:val="18"/>
                <w:szCs w:val="18"/>
              </w:rPr>
            </w:pPr>
            <w:r w:rsidRPr="0082122A">
              <w:rPr>
                <w:rFonts w:ascii="Arial" w:eastAsiaTheme="minorHAnsi" w:hAnsi="Arial" w:cs="Arial"/>
                <w:sz w:val="18"/>
                <w:szCs w:val="18"/>
                <w:lang w:eastAsia="en-US"/>
              </w:rPr>
              <w:t>100 000</w:t>
            </w:r>
            <w:r w:rsidR="00CE55A5" w:rsidRPr="0082122A">
              <w:rPr>
                <w:rFonts w:ascii="Arial" w:eastAsiaTheme="minorHAnsi" w:hAnsi="Arial" w:cs="Arial"/>
                <w:sz w:val="18"/>
                <w:szCs w:val="18"/>
                <w:lang w:eastAsia="en-US"/>
              </w:rPr>
              <w:t xml:space="preserve"> </w:t>
            </w:r>
            <w:r w:rsidR="00167A0B" w:rsidRPr="0082122A">
              <w:rPr>
                <w:rFonts w:ascii="Arial" w:eastAsiaTheme="minorHAnsi" w:hAnsi="Arial" w:cs="Arial"/>
                <w:sz w:val="18"/>
                <w:szCs w:val="18"/>
                <w:lang w:eastAsia="en-US"/>
              </w:rPr>
              <w:t>€</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196FD5">
        <w:rPr>
          <w:rFonts w:ascii="Arial" w:hAnsi="Arial" w:cs="Arial"/>
          <w:lang w:eastAsia="fr-FR"/>
        </w:rPr>
        <w:t xml:space="preserve">L’accord-cadre prend effet à </w:t>
      </w:r>
      <w:r w:rsidR="00196FD5" w:rsidRPr="00196FD5">
        <w:rPr>
          <w:rFonts w:ascii="Arial" w:hAnsi="Arial" w:cs="Arial"/>
          <w:lang w:eastAsia="fr-FR"/>
        </w:rPr>
        <w:t>la notification du marché pour 2 ans</w:t>
      </w:r>
      <w:r w:rsidR="00C450E7" w:rsidRPr="00196FD5">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Pr="00067053" w:rsidRDefault="003C72A6" w:rsidP="005824AE">
      <w:pPr>
        <w:pStyle w:val="Default"/>
        <w:jc w:val="both"/>
        <w:rPr>
          <w:sz w:val="16"/>
          <w:szCs w:val="16"/>
        </w:rPr>
      </w:pPr>
      <w:r w:rsidRPr="00067053">
        <w:rPr>
          <w:b/>
          <w:sz w:val="16"/>
          <w:szCs w:val="16"/>
        </w:rPr>
        <w:t>Attention</w:t>
      </w:r>
      <w:r w:rsidRPr="00067053">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067053">
        <w:rPr>
          <w:sz w:val="16"/>
          <w:szCs w:val="16"/>
          <w:u w:val="single"/>
        </w:rPr>
        <w:t>et</w:t>
      </w:r>
      <w:r w:rsidRPr="00067053">
        <w:rPr>
          <w:sz w:val="16"/>
          <w:szCs w:val="16"/>
        </w:rPr>
        <w:t xml:space="preserve"> le sous-traitant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067053" w:rsidTr="00067053">
        <w:trPr>
          <w:trHeight w:val="721"/>
        </w:trPr>
        <w:tc>
          <w:tcPr>
            <w:tcW w:w="4644" w:type="dxa"/>
            <w:tcBorders>
              <w:top w:val="single" w:sz="4" w:space="0" w:color="000000"/>
              <w:left w:val="single" w:sz="4" w:space="0" w:color="000000"/>
              <w:bottom w:val="single" w:sz="4" w:space="0" w:color="000000"/>
            </w:tcBorders>
            <w:shd w:val="clear" w:color="auto" w:fill="auto"/>
            <w:vAlign w:val="center"/>
          </w:tcPr>
          <w:p w:rsidR="00067053" w:rsidRDefault="00067053"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067053" w:rsidRDefault="00067053"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053" w:rsidRDefault="00067053"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540CAD">
        <w:fldChar w:fldCharType="begin">
          <w:ffData>
            <w:name w:val=""/>
            <w:enabled/>
            <w:calcOnExit w:val="0"/>
            <w:checkBox>
              <w:size w:val="20"/>
              <w:default w:val="1"/>
            </w:checkBox>
          </w:ffData>
        </w:fldChar>
      </w:r>
      <w:r w:rsidR="00540CAD">
        <w:instrText xml:space="preserve"> FORMCHECKBOX </w:instrText>
      </w:r>
      <w:r w:rsidR="00342DB6">
        <w:fldChar w:fldCharType="separate"/>
      </w:r>
      <w:r w:rsidR="00540CAD">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42DB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9676D8">
      <w:pPr>
        <w:jc w:val="both"/>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w:t>
      </w:r>
      <w:r w:rsidR="00E6724D">
        <w:rPr>
          <w:rFonts w:ascii="Arial" w:eastAsia="Arial" w:hAnsi="Arial" w:cs="Arial"/>
          <w:b/>
        </w:rPr>
        <w:t>e l’établissement partie</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FA22FD" w:rsidRDefault="008B076F" w:rsidP="004362ED">
            <w:pPr>
              <w:jc w:val="center"/>
              <w:rPr>
                <w:color w:val="000000"/>
              </w:rPr>
            </w:pPr>
            <w:r w:rsidRPr="009F3FB5">
              <w:rPr>
                <w:color w:val="000000"/>
              </w:rPr>
              <w:t>15 ter rue Saint-Ouen</w:t>
            </w:r>
            <w:r w:rsidRPr="009F3FB5">
              <w:rPr>
                <w:color w:val="000000"/>
              </w:rPr>
              <w:br/>
            </w:r>
            <w:r w:rsidR="00FA22FD">
              <w:rPr>
                <w:color w:val="000000"/>
              </w:rPr>
              <w:t>CS 45373</w:t>
            </w:r>
          </w:p>
          <w:p w:rsidR="008B076F" w:rsidRDefault="008B076F" w:rsidP="004362ED">
            <w:pPr>
              <w:jc w:val="center"/>
              <w:rPr>
                <w:color w:val="000000"/>
              </w:rPr>
            </w:pPr>
            <w:r w:rsidRPr="009F3FB5">
              <w:rPr>
                <w:color w:val="000000"/>
              </w:rPr>
              <w:t>140</w:t>
            </w:r>
            <w:r w:rsidR="00FA22FD">
              <w:rPr>
                <w:color w:val="000000"/>
              </w:rPr>
              <w:t>53</w:t>
            </w:r>
            <w:r w:rsidRPr="009F3FB5">
              <w:rPr>
                <w:color w:val="000000"/>
              </w:rPr>
              <w:t xml:space="preserve"> CAEN Cedex</w:t>
            </w:r>
            <w:r w:rsidR="00FA22FD">
              <w:rPr>
                <w:color w:val="000000"/>
              </w:rPr>
              <w:t xml:space="preserve"> 4</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342DB6" w:rsidP="00273F36">
            <w:hyperlink r:id="rId27"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342DB6"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28"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Pr>
          <w:rFonts w:ascii="Arial" w:hAnsi="Arial" w:cs="Arial"/>
          <w:lang w:eastAsia="fr-FR"/>
        </w:rPr>
        <w:fldChar w:fldCharType="end"/>
      </w:r>
      <w:bookmarkEnd w:id="3"/>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196199" w:rsidP="008922F4">
      <w:pPr>
        <w:suppressAutoHyphens w:val="0"/>
        <w:spacing w:before="240"/>
        <w:ind w:left="284"/>
        <w:jc w:val="both"/>
        <w:rPr>
          <w:rFonts w:ascii="Arial" w:hAnsi="Arial" w:cs="Arial"/>
          <w:color w:val="FF0000"/>
          <w:lang w:eastAsia="fr-FR"/>
        </w:rPr>
      </w:pPr>
      <w:r>
        <w:rPr>
          <w:rFonts w:ascii="Arial" w:hAnsi="Arial" w:cs="Arial"/>
          <w:lang w:eastAsia="fr-FR"/>
        </w:rPr>
        <w:lastRenderedPageBreak/>
        <w:fldChar w:fldCharType="begin">
          <w:ffData>
            <w:name w:val=""/>
            <w:enabled/>
            <w:calcOnExit w:val="0"/>
            <w:checkBox>
              <w:sizeAuto/>
              <w:default w:val="0"/>
            </w:checkBox>
          </w:ffData>
        </w:fldChar>
      </w:r>
      <w:r>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Pr>
          <w:rFonts w:ascii="Arial" w:hAnsi="Arial" w:cs="Arial"/>
          <w:lang w:eastAsia="fr-FR"/>
        </w:rPr>
        <w:fldChar w:fldCharType="end"/>
      </w:r>
      <w:r w:rsidR="008922F4" w:rsidRPr="003C72A6">
        <w:rPr>
          <w:rFonts w:ascii="Arial" w:hAnsi="Arial" w:cs="Arial"/>
          <w:lang w:eastAsia="fr-FR"/>
        </w:rPr>
        <w:t xml:space="preserve"> Annexe n°</w:t>
      </w:r>
      <w:r>
        <w:rPr>
          <w:rFonts w:ascii="Arial" w:hAnsi="Arial" w:cs="Arial"/>
          <w:lang w:eastAsia="fr-FR"/>
        </w:rPr>
        <w:t xml:space="preserve">4  </w:t>
      </w:r>
      <w:r w:rsidR="008922F4" w:rsidRPr="003C72A6">
        <w:rPr>
          <w:rFonts w:ascii="Arial" w:hAnsi="Arial" w:cs="Arial"/>
          <w:lang w:eastAsia="fr-FR"/>
        </w:rPr>
        <w:t xml:space="preserve"> </w:t>
      </w:r>
      <w:proofErr w:type="gramStart"/>
      <w:r w:rsidR="008922F4" w:rsidRPr="003C72A6">
        <w:rPr>
          <w:rFonts w:ascii="Arial" w:hAnsi="Arial" w:cs="Arial"/>
          <w:lang w:eastAsia="fr-FR"/>
        </w:rPr>
        <w:t>relative</w:t>
      </w:r>
      <w:proofErr w:type="gramEnd"/>
      <w:r w:rsidR="008922F4"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342DB6">
        <w:rPr>
          <w:rFonts w:ascii="Arial" w:hAnsi="Arial" w:cs="Arial"/>
          <w:lang w:eastAsia="fr-FR"/>
        </w:rPr>
      </w:r>
      <w:r w:rsidR="00342DB6">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w:t>
          </w:r>
          <w:r w:rsidR="001260C8">
            <w:rPr>
              <w:rFonts w:ascii="Arial" w:hAnsi="Arial" w:cs="Arial"/>
              <w:b/>
            </w:rPr>
            <w:t>7</w:t>
          </w:r>
          <w:r w:rsidR="00CE55A5">
            <w:rPr>
              <w:rFonts w:ascii="Arial" w:hAnsi="Arial" w:cs="Arial"/>
              <w:b/>
            </w:rPr>
            <w:t>9</w:t>
          </w:r>
          <w:r>
            <w:rPr>
              <w:rFonts w:ascii="Arial" w:hAnsi="Arial" w:cs="Arial"/>
              <w:b/>
            </w:rPr>
            <w:t>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8"/>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67053"/>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42251"/>
    <w:rsid w:val="00144AA7"/>
    <w:rsid w:val="0015164B"/>
    <w:rsid w:val="00157FB5"/>
    <w:rsid w:val="00163B05"/>
    <w:rsid w:val="00166B56"/>
    <w:rsid w:val="00167A0B"/>
    <w:rsid w:val="00167C4F"/>
    <w:rsid w:val="00174505"/>
    <w:rsid w:val="00175EFE"/>
    <w:rsid w:val="00180BFF"/>
    <w:rsid w:val="00191933"/>
    <w:rsid w:val="00193F04"/>
    <w:rsid w:val="00196199"/>
    <w:rsid w:val="00196FD5"/>
    <w:rsid w:val="001A0ACF"/>
    <w:rsid w:val="001B3DF0"/>
    <w:rsid w:val="001C40C0"/>
    <w:rsid w:val="001C733C"/>
    <w:rsid w:val="001F05AD"/>
    <w:rsid w:val="0021527A"/>
    <w:rsid w:val="0021797C"/>
    <w:rsid w:val="00221808"/>
    <w:rsid w:val="00225A1A"/>
    <w:rsid w:val="00271497"/>
    <w:rsid w:val="00273F36"/>
    <w:rsid w:val="00286179"/>
    <w:rsid w:val="002904AF"/>
    <w:rsid w:val="00297972"/>
    <w:rsid w:val="002B080F"/>
    <w:rsid w:val="002B1FE2"/>
    <w:rsid w:val="002C2CA3"/>
    <w:rsid w:val="002C3ADB"/>
    <w:rsid w:val="002C4B3E"/>
    <w:rsid w:val="002C79D6"/>
    <w:rsid w:val="002C7D4F"/>
    <w:rsid w:val="002E56C1"/>
    <w:rsid w:val="00332B12"/>
    <w:rsid w:val="00342DB6"/>
    <w:rsid w:val="00354C04"/>
    <w:rsid w:val="00361359"/>
    <w:rsid w:val="003757D0"/>
    <w:rsid w:val="00385E76"/>
    <w:rsid w:val="00391199"/>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4B1E"/>
    <w:rsid w:val="004C5755"/>
    <w:rsid w:val="004E75A6"/>
    <w:rsid w:val="004F2FD6"/>
    <w:rsid w:val="00506B7B"/>
    <w:rsid w:val="00514DAF"/>
    <w:rsid w:val="0051732A"/>
    <w:rsid w:val="00526C50"/>
    <w:rsid w:val="00532EC7"/>
    <w:rsid w:val="00535A59"/>
    <w:rsid w:val="00540CAD"/>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0E6B"/>
    <w:rsid w:val="006C2C97"/>
    <w:rsid w:val="006C2F97"/>
    <w:rsid w:val="006C4338"/>
    <w:rsid w:val="006D0E63"/>
    <w:rsid w:val="006F3DF9"/>
    <w:rsid w:val="007052AF"/>
    <w:rsid w:val="007060E5"/>
    <w:rsid w:val="00710FD6"/>
    <w:rsid w:val="007174A9"/>
    <w:rsid w:val="0072077A"/>
    <w:rsid w:val="00730A78"/>
    <w:rsid w:val="00757151"/>
    <w:rsid w:val="007745FB"/>
    <w:rsid w:val="007777A5"/>
    <w:rsid w:val="0078321A"/>
    <w:rsid w:val="0078361D"/>
    <w:rsid w:val="007909E0"/>
    <w:rsid w:val="007947CB"/>
    <w:rsid w:val="00796321"/>
    <w:rsid w:val="0079785C"/>
    <w:rsid w:val="007A06D2"/>
    <w:rsid w:val="007A199C"/>
    <w:rsid w:val="007D4001"/>
    <w:rsid w:val="007D7A65"/>
    <w:rsid w:val="007F68A6"/>
    <w:rsid w:val="00806A7A"/>
    <w:rsid w:val="0082122A"/>
    <w:rsid w:val="00830730"/>
    <w:rsid w:val="0083205E"/>
    <w:rsid w:val="00834F5F"/>
    <w:rsid w:val="00840934"/>
    <w:rsid w:val="00844DAA"/>
    <w:rsid w:val="008450C7"/>
    <w:rsid w:val="00864129"/>
    <w:rsid w:val="00864B0F"/>
    <w:rsid w:val="00876A73"/>
    <w:rsid w:val="008922F4"/>
    <w:rsid w:val="00893E1E"/>
    <w:rsid w:val="008A7C6D"/>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676D8"/>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E57"/>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55A5"/>
    <w:rsid w:val="00CE67FD"/>
    <w:rsid w:val="00CF6215"/>
    <w:rsid w:val="00D20B3D"/>
    <w:rsid w:val="00D26AD2"/>
    <w:rsid w:val="00D337D7"/>
    <w:rsid w:val="00D412FD"/>
    <w:rsid w:val="00D455FF"/>
    <w:rsid w:val="00D46BC7"/>
    <w:rsid w:val="00D7054E"/>
    <w:rsid w:val="00D773B5"/>
    <w:rsid w:val="00D90A00"/>
    <w:rsid w:val="00D94634"/>
    <w:rsid w:val="00DC5F35"/>
    <w:rsid w:val="00DE12E8"/>
    <w:rsid w:val="00E20DB0"/>
    <w:rsid w:val="00E47798"/>
    <w:rsid w:val="00E53E03"/>
    <w:rsid w:val="00E62BB3"/>
    <w:rsid w:val="00E66633"/>
    <w:rsid w:val="00E6724D"/>
    <w:rsid w:val="00E74C76"/>
    <w:rsid w:val="00E96FF6"/>
    <w:rsid w:val="00EA1E1F"/>
    <w:rsid w:val="00EC2218"/>
    <w:rsid w:val="00ED0391"/>
    <w:rsid w:val="00ED1CD4"/>
    <w:rsid w:val="00EE026E"/>
    <w:rsid w:val="00EE0D78"/>
    <w:rsid w:val="00F1504B"/>
    <w:rsid w:val="00F476AB"/>
    <w:rsid w:val="00F77CDF"/>
    <w:rsid w:val="00F9037F"/>
    <w:rsid w:val="00F92811"/>
    <w:rsid w:val="00FA22FD"/>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t014014@dgfip.finances.gouv.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vincent.dupre@epsm-caen.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43472-A4D2-43DA-9999-C7870205B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112</TotalTime>
  <Pages>6</Pages>
  <Words>2414</Words>
  <Characters>13277</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15660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114</cp:revision>
  <cp:lastPrinted>2024-10-03T11:07:00Z</cp:lastPrinted>
  <dcterms:created xsi:type="dcterms:W3CDTF">2022-10-12T06:50:00Z</dcterms:created>
  <dcterms:modified xsi:type="dcterms:W3CDTF">2025-06-17T15:06:00Z</dcterms:modified>
</cp:coreProperties>
</file>