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4F4554" w:rsidRPr="00836249"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836249">
        <w:rPr>
          <w:rFonts w:ascii="Arial" w:hAnsi="Arial" w:cs="Arial"/>
          <w:u w:val="single"/>
        </w:rPr>
        <w:t> </w:t>
      </w:r>
      <w:r w:rsidR="00836249">
        <w:rPr>
          <w:rFonts w:ascii="Arial" w:hAnsi="Arial" w:cs="Arial"/>
        </w:rPr>
        <w:t xml:space="preserve">: </w:t>
      </w:r>
      <w:r w:rsidR="00836249" w:rsidRPr="00262013">
        <w:rPr>
          <w:rFonts w:ascii="Arial" w:hAnsi="Arial" w:cs="Arial"/>
        </w:rPr>
        <w:t>35200000-6 Equipement de police</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DF4F32">
      <w:pPr>
        <w:tabs>
          <w:tab w:val="left" w:pos="426"/>
          <w:tab w:val="left" w:pos="851"/>
        </w:tabs>
        <w:rPr>
          <w:rFonts w:ascii="Arial" w:hAnsi="Arial" w:cs="Arial"/>
        </w:rPr>
      </w:pPr>
    </w:p>
    <w:p w:rsidR="00F95862" w:rsidRPr="004F1C58" w:rsidRDefault="00F95862" w:rsidP="00F95862">
      <w:pPr>
        <w:numPr>
          <w:ilvl w:val="0"/>
          <w:numId w:val="3"/>
        </w:numPr>
        <w:tabs>
          <w:tab w:val="left" w:pos="426"/>
          <w:tab w:val="left" w:pos="851"/>
        </w:tabs>
        <w:spacing w:before="120"/>
        <w:ind w:left="782" w:hanging="357"/>
        <w:jc w:val="both"/>
        <w:rPr>
          <w:rFonts w:ascii="Arial" w:hAnsi="Arial" w:cs="Arial"/>
        </w:rPr>
      </w:pPr>
      <w:r w:rsidRPr="004F1C58">
        <w:rPr>
          <w:rFonts w:ascii="Arial" w:eastAsia="Wingdings" w:hAnsi="Arial" w:cs="Arial"/>
        </w:rPr>
        <w:tab/>
      </w:r>
    </w:p>
    <w:p w:rsidR="00F95862" w:rsidRPr="004D40BD" w:rsidRDefault="00F95862" w:rsidP="00F95862">
      <w:pPr>
        <w:tabs>
          <w:tab w:val="left" w:pos="426"/>
          <w:tab w:val="left" w:pos="851"/>
        </w:tabs>
        <w:ind w:left="851"/>
        <w:jc w:val="both"/>
        <w:rPr>
          <w:rFonts w:ascii="Arial" w:hAnsi="Arial" w:cs="Arial"/>
          <w:b/>
        </w:rPr>
      </w:pPr>
      <w:r w:rsidRPr="004F1C58">
        <w:rPr>
          <w:rFonts w:ascii="Arial" w:eastAsia="Arial" w:hAnsi="Arial" w:cs="Arial"/>
        </w:rPr>
        <w:t xml:space="preserve"> </w:t>
      </w:r>
      <w:bookmarkStart w:id="0" w:name="__Fieldmark__5966_505859147"/>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236F7B">
        <w:rPr>
          <w:rFonts w:ascii="Arial" w:hAnsi="Arial" w:cs="Arial"/>
        </w:rPr>
      </w:r>
      <w:r w:rsidR="00236F7B">
        <w:rPr>
          <w:rFonts w:ascii="Arial" w:hAnsi="Arial" w:cs="Arial"/>
        </w:rPr>
        <w:fldChar w:fldCharType="separate"/>
      </w:r>
      <w:r w:rsidRPr="004F1C58">
        <w:rPr>
          <w:rFonts w:ascii="Arial" w:hAnsi="Arial" w:cs="Arial"/>
        </w:rPr>
        <w:fldChar w:fldCharType="end"/>
      </w:r>
      <w:bookmarkEnd w:id="0"/>
      <w:r w:rsidRPr="004F1C58">
        <w:rPr>
          <w:rFonts w:ascii="Arial" w:eastAsia="Wingdings" w:hAnsi="Arial" w:cs="Arial"/>
        </w:rPr>
        <w:t xml:space="preserve"> </w:t>
      </w:r>
      <w:r>
        <w:rPr>
          <w:rFonts w:ascii="Arial" w:eastAsia="Wingdings" w:hAnsi="Arial" w:cs="Arial"/>
        </w:rPr>
        <w:t xml:space="preserve">Au </w:t>
      </w:r>
      <w:r w:rsidRPr="004D40BD">
        <w:rPr>
          <w:rFonts w:ascii="Arial" w:eastAsia="Wingdings" w:hAnsi="Arial" w:cs="Arial"/>
          <w:b/>
        </w:rPr>
        <w:t>lot n°</w:t>
      </w:r>
      <w:r w:rsidR="00CE5387" w:rsidRPr="004D40BD">
        <w:rPr>
          <w:rFonts w:ascii="Arial" w:eastAsia="Wingdings" w:hAnsi="Arial" w:cs="Arial"/>
          <w:b/>
        </w:rPr>
        <w:t>3</w:t>
      </w:r>
      <w:r w:rsidRPr="004D40BD">
        <w:rPr>
          <w:rFonts w:ascii="Arial" w:eastAsia="Wingdings" w:hAnsi="Arial" w:cs="Arial"/>
          <w:b/>
        </w:rPr>
        <w:t xml:space="preserve"> : </w:t>
      </w:r>
      <w:r w:rsidR="005809DC" w:rsidRPr="004D40BD">
        <w:rPr>
          <w:rFonts w:ascii="Arial" w:eastAsia="Wingdings" w:hAnsi="Arial" w:cs="Arial"/>
          <w:b/>
        </w:rPr>
        <w:t>Fourniture de h</w:t>
      </w:r>
      <w:r w:rsidR="00CE5387" w:rsidRPr="004D40BD">
        <w:rPr>
          <w:rFonts w:ascii="Arial" w:eastAsia="Wingdings" w:hAnsi="Arial" w:cs="Arial"/>
          <w:b/>
        </w:rPr>
        <w:t>ousses, sacs et accessoires</w:t>
      </w:r>
    </w:p>
    <w:p w:rsidR="00F95862" w:rsidRPr="004F1C58" w:rsidRDefault="00F95862" w:rsidP="00F95862">
      <w:pPr>
        <w:tabs>
          <w:tab w:val="left" w:pos="426"/>
          <w:tab w:val="left" w:pos="851"/>
        </w:tabs>
        <w:ind w:left="851"/>
        <w:jc w:val="both"/>
        <w:rPr>
          <w:rFonts w:ascii="Arial" w:hAnsi="Arial" w:cs="Arial"/>
        </w:rPr>
      </w:pPr>
    </w:p>
    <w:p w:rsidR="00F95862" w:rsidRPr="004F1C58" w:rsidRDefault="00F95862" w:rsidP="00F95862">
      <w:pPr>
        <w:numPr>
          <w:ilvl w:val="0"/>
          <w:numId w:val="3"/>
        </w:numPr>
        <w:tabs>
          <w:tab w:val="left" w:pos="426"/>
          <w:tab w:val="left" w:pos="851"/>
        </w:tabs>
        <w:ind w:left="782" w:hanging="357"/>
        <w:jc w:val="both"/>
        <w:rPr>
          <w:rFonts w:ascii="Arial" w:hAnsi="Arial" w:cs="Arial"/>
        </w:rPr>
      </w:pPr>
      <w:r w:rsidRPr="004F1C58">
        <w:rPr>
          <w:rFonts w:ascii="Arial" w:eastAsia="Wingdings" w:hAnsi="Arial" w:cs="Arial"/>
        </w:rPr>
        <w:tab/>
      </w:r>
    </w:p>
    <w:bookmarkStart w:id="1" w:name="__Fieldmark__5967_505859147"/>
    <w:p w:rsidR="00F95862" w:rsidRPr="004F1C58" w:rsidRDefault="00F95862" w:rsidP="00F95862">
      <w:pPr>
        <w:pStyle w:val="fcasegauche"/>
        <w:tabs>
          <w:tab w:val="left" w:pos="851"/>
        </w:tabs>
        <w:spacing w:after="0"/>
        <w:ind w:left="851" w:firstLine="0"/>
        <w:rPr>
          <w:rFonts w:ascii="Arial" w:hAnsi="Arial" w:cs="Arial"/>
        </w:rPr>
      </w:pPr>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236F7B">
        <w:rPr>
          <w:rFonts w:ascii="Arial" w:hAnsi="Arial" w:cs="Arial"/>
        </w:rPr>
      </w:r>
      <w:r w:rsidR="00236F7B">
        <w:rPr>
          <w:rFonts w:ascii="Arial" w:hAnsi="Arial" w:cs="Arial"/>
        </w:rPr>
        <w:fldChar w:fldCharType="separate"/>
      </w:r>
      <w:r w:rsidRPr="004F1C58">
        <w:rPr>
          <w:rFonts w:ascii="Arial" w:hAnsi="Arial" w:cs="Arial"/>
        </w:rPr>
        <w:fldChar w:fldCharType="end"/>
      </w:r>
      <w:bookmarkEnd w:id="1"/>
      <w:r w:rsidRPr="004F1C58">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236F7B">
        <w:rPr>
          <w:rFonts w:ascii="Arial" w:hAnsi="Arial" w:cs="Arial"/>
          <w:lang w:eastAsia="fr-FR"/>
        </w:rPr>
      </w:r>
      <w:r w:rsidR="00236F7B">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CC</w:t>
      </w:r>
      <w:r w:rsidR="00F95862">
        <w:rPr>
          <w:rFonts w:ascii="Arial" w:hAnsi="Arial" w:cs="Arial"/>
          <w:lang w:eastAsia="fr-FR"/>
        </w:rPr>
        <w:t>A</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-BCPA-0</w:t>
      </w:r>
      <w:r w:rsidR="00F95862">
        <w:rPr>
          <w:rFonts w:ascii="Arial" w:hAnsi="Arial" w:cs="Arial"/>
          <w:lang w:eastAsia="fr-FR"/>
        </w:rPr>
        <w:t>31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2C14D5" w:rsidP="0057714B">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0C0C77" w:rsidRDefault="000C0C77"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236F7B">
        <w:rPr>
          <w:rFonts w:ascii="Arial" w:hAnsi="Arial" w:cs="Arial"/>
        </w:rPr>
      </w:r>
      <w:r w:rsidR="00236F7B">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proofErr w:type="gramStart"/>
      <w:r w:rsidRPr="00655BB9">
        <w:rPr>
          <w:rFonts w:ascii="Arial" w:hAnsi="Arial" w:cs="Arial"/>
        </w:rPr>
        <w:t>aux</w:t>
      </w:r>
      <w:proofErr w:type="gramEnd"/>
      <w:r w:rsidR="00BA07EE">
        <w:rPr>
          <w:rFonts w:ascii="Arial" w:hAnsi="Arial" w:cs="Arial"/>
        </w:rPr>
        <w:t xml:space="preserve"> prix indiqués </w:t>
      </w:r>
      <w:r w:rsidR="00AD2E12">
        <w:rPr>
          <w:rFonts w:ascii="Arial" w:hAnsi="Arial" w:cs="Arial"/>
        </w:rPr>
        <w:t>à l’annexe</w:t>
      </w:r>
      <w:r w:rsidR="007867D6">
        <w:rPr>
          <w:rFonts w:ascii="Arial" w:hAnsi="Arial" w:cs="Arial"/>
        </w:rPr>
        <w:t xml:space="preserve"> </w:t>
      </w:r>
      <w:r w:rsidR="00F95862">
        <w:rPr>
          <w:rFonts w:ascii="Arial" w:hAnsi="Arial" w:cs="Arial"/>
        </w:rPr>
        <w:t>n°1</w:t>
      </w:r>
      <w:r w:rsidR="0005606B">
        <w:rPr>
          <w:rFonts w:ascii="Arial" w:hAnsi="Arial" w:cs="Arial"/>
        </w:rPr>
        <w:t xml:space="preserve"> </w:t>
      </w:r>
      <w:r w:rsidR="007867D6" w:rsidRPr="00655BB9">
        <w:rPr>
          <w:rFonts w:ascii="Arial" w:hAnsi="Arial" w:cs="Arial"/>
        </w:rPr>
        <w:t>jointe au présent document</w:t>
      </w:r>
      <w:r w:rsidR="007867D6">
        <w:rPr>
          <w:rFonts w:ascii="Arial" w:hAnsi="Arial" w:cs="Arial"/>
        </w:rPr>
        <w:t>.</w:t>
      </w:r>
    </w:p>
    <w:p w:rsidR="000F5F26" w:rsidRDefault="000F5F26" w:rsidP="000F5F26">
      <w:pPr>
        <w:pStyle w:val="fcase1ertab"/>
        <w:tabs>
          <w:tab w:val="left" w:pos="851"/>
        </w:tabs>
        <w:ind w:left="0" w:firstLine="0"/>
        <w:rPr>
          <w:rFonts w:ascii="Arial" w:hAnsi="Arial" w:cs="Arial"/>
        </w:rPr>
      </w:pPr>
    </w:p>
    <w:p w:rsidR="00AD2E12" w:rsidRDefault="000F5F26" w:rsidP="00EA7432">
      <w:pPr>
        <w:pStyle w:val="fcasegauche"/>
        <w:tabs>
          <w:tab w:val="left" w:pos="851"/>
        </w:tabs>
        <w:spacing w:after="0"/>
        <w:ind w:left="0" w:firstLine="0"/>
        <w:rPr>
          <w:rFonts w:ascii="Arial" w:hAnsi="Arial" w:cs="Arial"/>
        </w:rPr>
      </w:pPr>
      <w:r w:rsidRPr="00655BB9">
        <w:rPr>
          <w:rFonts w:ascii="Arial" w:hAnsi="Arial" w:cs="Arial"/>
        </w:rPr>
        <w:t>Conf</w:t>
      </w:r>
      <w:r w:rsidR="00AD2E12">
        <w:rPr>
          <w:rFonts w:ascii="Arial" w:hAnsi="Arial" w:cs="Arial"/>
        </w:rPr>
        <w:t>ormément à l’article 1.5 du CC</w:t>
      </w:r>
      <w:r w:rsidR="00A87BEC">
        <w:rPr>
          <w:rFonts w:ascii="Arial" w:hAnsi="Arial" w:cs="Arial"/>
        </w:rPr>
        <w:t>A</w:t>
      </w:r>
      <w:r w:rsidR="00AD2E12">
        <w:rPr>
          <w:rFonts w:ascii="Arial" w:hAnsi="Arial" w:cs="Arial"/>
        </w:rPr>
        <w:t>P :</w:t>
      </w:r>
    </w:p>
    <w:p w:rsidR="000F5F26" w:rsidRPr="001E1CB0" w:rsidRDefault="0005606B" w:rsidP="00236F7B">
      <w:pPr>
        <w:pStyle w:val="fcasegauche"/>
        <w:numPr>
          <w:ilvl w:val="0"/>
          <w:numId w:val="14"/>
        </w:numPr>
        <w:tabs>
          <w:tab w:val="left" w:pos="851"/>
        </w:tabs>
        <w:spacing w:after="0"/>
        <w:rPr>
          <w:rFonts w:ascii="Arial" w:hAnsi="Arial" w:cs="Arial"/>
        </w:rPr>
      </w:pPr>
      <w:r>
        <w:rPr>
          <w:rFonts w:ascii="Arial" w:hAnsi="Arial" w:cs="Arial"/>
        </w:rPr>
        <w:t>l</w:t>
      </w:r>
      <w:r w:rsidR="000F5F26" w:rsidRPr="00791457">
        <w:rPr>
          <w:rFonts w:ascii="Arial" w:hAnsi="Arial" w:cs="Arial"/>
        </w:rPr>
        <w:t xml:space="preserve">’accord-cadre est conclu sans montant minimum et </w:t>
      </w:r>
      <w:r w:rsidR="00E15087" w:rsidRPr="00791457">
        <w:rPr>
          <w:rFonts w:ascii="Arial" w:hAnsi="Arial" w:cs="Arial"/>
        </w:rPr>
        <w:t>avec un</w:t>
      </w:r>
      <w:r w:rsidR="000F5F26" w:rsidRPr="00791457">
        <w:rPr>
          <w:rFonts w:ascii="Arial" w:hAnsi="Arial" w:cs="Arial"/>
        </w:rPr>
        <w:t xml:space="preserve"> montant maxi</w:t>
      </w:r>
      <w:r w:rsidR="000F5F26" w:rsidRPr="00504785">
        <w:rPr>
          <w:rFonts w:ascii="Arial" w:hAnsi="Arial" w:cs="Arial"/>
        </w:rPr>
        <w:t>mum</w:t>
      </w:r>
      <w:r w:rsidR="00E15087" w:rsidRPr="00504785">
        <w:rPr>
          <w:rFonts w:ascii="Arial" w:hAnsi="Arial" w:cs="Arial"/>
        </w:rPr>
        <w:t xml:space="preserve"> de </w:t>
      </w:r>
      <w:r w:rsidR="00971977">
        <w:rPr>
          <w:rFonts w:ascii="Arial" w:hAnsi="Arial" w:cs="Arial"/>
        </w:rPr>
        <w:t xml:space="preserve">46 000 </w:t>
      </w:r>
      <w:r w:rsidR="00E15087" w:rsidRPr="00504785">
        <w:rPr>
          <w:rFonts w:ascii="Arial" w:hAnsi="Arial" w:cs="Arial"/>
        </w:rPr>
        <w:t>€ HT</w:t>
      </w:r>
      <w:r w:rsidR="00EA7432">
        <w:rPr>
          <w:rFonts w:ascii="Arial" w:hAnsi="Arial" w:cs="Arial"/>
        </w:rPr>
        <w:t xml:space="preserve"> </w:t>
      </w:r>
      <w:r w:rsidR="00AD2E12">
        <w:rPr>
          <w:rFonts w:ascii="Arial" w:hAnsi="Arial" w:cs="Arial"/>
        </w:rPr>
        <w:t>sur</w:t>
      </w:r>
      <w:r w:rsidR="00EA7432">
        <w:rPr>
          <w:rFonts w:ascii="Arial" w:hAnsi="Arial" w:cs="Arial"/>
        </w:rPr>
        <w:t xml:space="preserve"> </w:t>
      </w:r>
      <w:r w:rsidR="00F95862">
        <w:rPr>
          <w:rFonts w:ascii="Arial" w:hAnsi="Arial" w:cs="Arial"/>
        </w:rPr>
        <w:t>deux ans</w:t>
      </w:r>
      <w:r w:rsidR="00236F7B">
        <w:rPr>
          <w:rFonts w:ascii="Arial" w:hAnsi="Arial" w:cs="Arial"/>
        </w:rPr>
        <w:t xml:space="preserve">, </w:t>
      </w:r>
      <w:r w:rsidR="00236F7B" w:rsidRPr="00236F7B">
        <w:rPr>
          <w:rFonts w:ascii="Arial" w:hAnsi="Arial" w:cs="Arial"/>
        </w:rPr>
        <w:t xml:space="preserve">incluant un montant de </w:t>
      </w:r>
      <w:r w:rsidR="00236F7B">
        <w:rPr>
          <w:rFonts w:ascii="Arial" w:hAnsi="Arial" w:cs="Arial"/>
        </w:rPr>
        <w:t>6 9</w:t>
      </w:r>
      <w:bookmarkStart w:id="3" w:name="_GoBack"/>
      <w:bookmarkEnd w:id="3"/>
      <w:r w:rsidR="00236F7B" w:rsidRPr="00236F7B">
        <w:rPr>
          <w:rFonts w:ascii="Arial" w:hAnsi="Arial" w:cs="Arial"/>
        </w:rPr>
        <w:t>00 € HT maximum pour les dépenses sur catalogue</w:t>
      </w:r>
      <w:r w:rsidR="00AD2E12">
        <w:rPr>
          <w:rFonts w:ascii="Arial" w:hAnsi="Arial" w:cs="Arial"/>
        </w:rPr>
        <w:t> ;</w:t>
      </w:r>
    </w:p>
    <w:p w:rsidR="000F5F26" w:rsidRDefault="000F5F26" w:rsidP="00AD2E12">
      <w:pPr>
        <w:pStyle w:val="Standard"/>
        <w:numPr>
          <w:ilvl w:val="0"/>
          <w:numId w:val="14"/>
        </w:numPr>
        <w:rPr>
          <w:rFonts w:ascii="Arial" w:hAnsi="Arial" w:cs="Arial"/>
          <w:sz w:val="20"/>
          <w:szCs w:val="20"/>
        </w:rPr>
      </w:pPr>
      <w:r w:rsidRPr="00C808B2">
        <w:rPr>
          <w:rFonts w:ascii="Arial" w:hAnsi="Arial" w:cs="Arial"/>
          <w:sz w:val="20"/>
          <w:szCs w:val="20"/>
        </w:rPr>
        <w:t xml:space="preserve">Le taux de TVA applicable est de </w:t>
      </w:r>
      <w:r w:rsidR="00EF14DC">
        <w:rPr>
          <w:rFonts w:ascii="Arial" w:hAnsi="Arial" w:cs="Arial"/>
          <w:sz w:val="20"/>
          <w:szCs w:val="20"/>
        </w:rPr>
        <w:t>20</w:t>
      </w:r>
      <w:r w:rsidRPr="00C808B2">
        <w:rPr>
          <w:rFonts w:ascii="Arial" w:hAnsi="Arial" w:cs="Arial"/>
          <w:sz w:val="20"/>
          <w:szCs w:val="20"/>
        </w:rPr>
        <w:t>%.</w:t>
      </w:r>
    </w:p>
    <w:p w:rsidR="004C5755" w:rsidRDefault="004C5755" w:rsidP="009B45B9">
      <w:pPr>
        <w:pStyle w:val="fcase1ertab"/>
        <w:tabs>
          <w:tab w:val="left" w:pos="851"/>
        </w:tabs>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Pr="00415F0A" w:rsidRDefault="0057714B" w:rsidP="0057714B">
      <w:pPr>
        <w:pStyle w:val="fcasegauche"/>
        <w:tabs>
          <w:tab w:val="left" w:pos="426"/>
          <w:tab w:val="left" w:pos="851"/>
        </w:tabs>
        <w:spacing w:after="0"/>
        <w:ind w:left="0" w:firstLine="0"/>
        <w:jc w:val="left"/>
        <w:rPr>
          <w:rFonts w:ascii="Arial" w:hAnsi="Arial" w:cs="Arial"/>
          <w:b/>
        </w:rPr>
      </w:pPr>
      <w:r w:rsidRPr="00415F0A">
        <w:rPr>
          <w:rFonts w:ascii="Arial" w:hAnsi="Arial" w:cs="Arial"/>
          <w:b/>
          <w:sz w:val="22"/>
          <w:szCs w:val="22"/>
        </w:rPr>
        <w:t>B4 - Avance</w:t>
      </w:r>
      <w:r w:rsidRPr="00415F0A">
        <w:rPr>
          <w:rFonts w:ascii="Arial" w:hAnsi="Arial" w:cs="Arial"/>
          <w:b/>
        </w:rPr>
        <w:t> </w:t>
      </w:r>
      <w:r w:rsidRPr="00415F0A">
        <w:rPr>
          <w:rFonts w:ascii="Arial" w:hAnsi="Arial" w:cs="Arial"/>
          <w:sz w:val="18"/>
          <w:szCs w:val="18"/>
        </w:rPr>
        <w:t>(</w:t>
      </w:r>
      <w:hyperlink r:id="rId10" w:history="1">
        <w:r w:rsidRPr="00415F0A">
          <w:rPr>
            <w:rStyle w:val="Lienhypertexte"/>
            <w:rFonts w:ascii="Arial" w:hAnsi="Arial" w:cs="Arial"/>
            <w:color w:val="auto"/>
            <w:sz w:val="18"/>
            <w:szCs w:val="18"/>
            <w:u w:val="none"/>
          </w:rPr>
          <w:t>article</w:t>
        </w:r>
        <w:r>
          <w:rPr>
            <w:rStyle w:val="Lienhypertexte"/>
            <w:rFonts w:ascii="Arial" w:hAnsi="Arial" w:cs="Arial"/>
            <w:color w:val="auto"/>
            <w:sz w:val="18"/>
            <w:szCs w:val="18"/>
            <w:u w:val="none"/>
          </w:rPr>
          <w:t>s</w:t>
        </w:r>
        <w:r w:rsidRPr="00415F0A">
          <w:rPr>
            <w:rStyle w:val="Lienhypertexte"/>
            <w:rFonts w:ascii="Arial" w:hAnsi="Arial" w:cs="Arial"/>
            <w:color w:val="auto"/>
            <w:sz w:val="18"/>
            <w:szCs w:val="18"/>
            <w:u w:val="none"/>
          </w:rPr>
          <w:t> R. 2191-3</w:t>
        </w:r>
      </w:hyperlink>
      <w:r w:rsidRPr="00415F0A">
        <w:rPr>
          <w:rFonts w:ascii="Arial" w:hAnsi="Arial" w:cs="Arial"/>
          <w:sz w:val="18"/>
          <w:szCs w:val="18"/>
        </w:rPr>
        <w:t xml:space="preserve"> </w:t>
      </w:r>
      <w:r>
        <w:rPr>
          <w:rFonts w:ascii="Arial" w:hAnsi="Arial" w:cs="Arial"/>
          <w:sz w:val="18"/>
          <w:szCs w:val="18"/>
        </w:rPr>
        <w:t xml:space="preserve">à </w:t>
      </w:r>
      <w:r w:rsidRPr="00381BA4">
        <w:rPr>
          <w:rFonts w:ascii="Arial" w:hAnsi="Arial" w:cs="Arial"/>
          <w:sz w:val="18"/>
          <w:szCs w:val="18"/>
        </w:rPr>
        <w:t>R. 2191-</w:t>
      </w:r>
      <w:r>
        <w:rPr>
          <w:rFonts w:ascii="Arial" w:hAnsi="Arial" w:cs="Arial"/>
          <w:sz w:val="18"/>
          <w:szCs w:val="18"/>
        </w:rPr>
        <w:t xml:space="preserve">5 et </w:t>
      </w:r>
      <w:r w:rsidRPr="00381BA4">
        <w:rPr>
          <w:rFonts w:ascii="Arial" w:hAnsi="Arial" w:cs="Arial"/>
          <w:sz w:val="18"/>
          <w:szCs w:val="18"/>
        </w:rPr>
        <w:t>R. 2191-</w:t>
      </w:r>
      <w:r>
        <w:rPr>
          <w:rFonts w:ascii="Arial" w:hAnsi="Arial" w:cs="Arial"/>
          <w:sz w:val="18"/>
          <w:szCs w:val="18"/>
        </w:rPr>
        <w:t xml:space="preserve">17 </w:t>
      </w:r>
      <w:r w:rsidRPr="00415F0A">
        <w:rPr>
          <w:rFonts w:ascii="Arial" w:hAnsi="Arial" w:cs="Arial"/>
          <w:sz w:val="18"/>
          <w:szCs w:val="18"/>
        </w:rPr>
        <w:t>du code de la commande publique)</w:t>
      </w:r>
    </w:p>
    <w:p w:rsidR="0057714B" w:rsidRDefault="0057714B" w:rsidP="0057714B">
      <w:pPr>
        <w:tabs>
          <w:tab w:val="left" w:pos="426"/>
          <w:tab w:val="left" w:pos="851"/>
        </w:tabs>
        <w:rPr>
          <w:rFonts w:ascii="Arial" w:hAnsi="Arial" w:cs="Arial"/>
          <w:b/>
        </w:rPr>
      </w:pPr>
    </w:p>
    <w:p w:rsidR="00F95862" w:rsidRPr="004F1C58" w:rsidRDefault="00AF588A" w:rsidP="00F95862">
      <w:pPr>
        <w:tabs>
          <w:tab w:val="left" w:pos="851"/>
        </w:tabs>
        <w:rPr>
          <w:rFonts w:ascii="Arial" w:hAnsi="Arial" w:cs="Arial"/>
        </w:rPr>
      </w:pPr>
      <w:r>
        <w:rPr>
          <w:rFonts w:ascii="Arial" w:hAnsi="Arial" w:cs="Arial"/>
        </w:rPr>
        <w:t>Sans objet.</w:t>
      </w:r>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r w:rsidRPr="00124104">
        <w:rPr>
          <w:color w:val="auto"/>
          <w:sz w:val="20"/>
          <w:szCs w:val="20"/>
          <w:lang w:eastAsia="zh-CN"/>
        </w:rPr>
        <w:t>L’accord-cadre est conclu pour une durée de deux (2) ans à compter de sa notification au titulaire.</w:t>
      </w: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236F7B">
        <w:rPr>
          <w:rFonts w:ascii="Arial" w:hAnsi="Arial" w:cs="Arial"/>
          <w:lang w:eastAsia="fr-FR"/>
        </w:rPr>
      </w:r>
      <w:r w:rsidR="00236F7B">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236F7B">
        <w:rPr>
          <w:rFonts w:ascii="Arial" w:hAnsi="Arial" w:cs="Arial"/>
          <w:lang w:eastAsia="fr-FR"/>
        </w:rPr>
      </w:r>
      <w:r w:rsidR="00236F7B">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124104" w:rsidRPr="000370E4" w:rsidRDefault="00124104" w:rsidP="00124104">
      <w:pPr>
        <w:pStyle w:val="Default"/>
        <w:jc w:val="both"/>
        <w:rPr>
          <w:sz w:val="20"/>
          <w:szCs w:val="20"/>
        </w:rPr>
      </w:pPr>
      <w:r w:rsidRPr="00124104">
        <w:rPr>
          <w:color w:val="auto"/>
          <w:sz w:val="20"/>
          <w:szCs w:val="20"/>
          <w:lang w:eastAsia="zh-CN"/>
        </w:rPr>
        <w:t>En l’absence de décision contraire du représentant du pouvoir adjudicateur notifiée au titulaire au moins deux (2) mois avant l’échéance de la période en cours, l’accord-cadre est reconduit tacitement une (1) fois pour la même durée, sans que sa durée totale ne puisse dépasser quatre (4) ans. Le titulaire ne peut s’opposer à la reconduction.</w:t>
      </w:r>
    </w:p>
    <w:p w:rsidR="00D00375" w:rsidRDefault="00D00375" w:rsidP="005C3050">
      <w:pPr>
        <w:tabs>
          <w:tab w:val="left" w:pos="576"/>
          <w:tab w:val="left" w:pos="851"/>
        </w:tabs>
        <w:jc w:val="both"/>
        <w:rPr>
          <w:rFonts w:ascii="Arial" w:hAnsi="Arial" w:cs="Arial"/>
        </w:rPr>
      </w:pP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6F7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36F7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3"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6"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2D6658">
      <w:pPr>
        <w:rPr>
          <w:lang w:val="x-none" w:eastAsia="x-none"/>
        </w:rPr>
      </w:pPr>
    </w:p>
    <w:p w:rsidR="00EE5336" w:rsidRPr="00EE5336" w:rsidRDefault="002E0E10" w:rsidP="00EE5336">
      <w:pPr>
        <w:suppressAutoHyphens w:val="0"/>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 xml:space="preserve">et suivants : </w:t>
      </w:r>
      <w:r w:rsidR="002E529F" w:rsidRPr="002E529F">
        <w:rPr>
          <w:rFonts w:ascii="Arial" w:hAnsi="Arial" w:cs="Arial"/>
          <w:sz w:val="20"/>
        </w:rPr>
        <w:t>Ministère de l’Intérieur - Mission Sécurité - Programme 176 « Police nationale »</w:t>
      </w:r>
      <w:r w:rsidRPr="00A36E00">
        <w:rPr>
          <w:rFonts w:ascii="Arial" w:hAnsi="Arial" w:cs="Arial"/>
          <w:sz w:val="20"/>
        </w:rPr>
        <w:t xml:space="preserve"> </w:t>
      </w:r>
    </w:p>
    <w:p w:rsidR="00A6177C" w:rsidRDefault="00A6177C" w:rsidP="00D41783">
      <w:pPr>
        <w:tabs>
          <w:tab w:val="left" w:pos="426"/>
        </w:tabs>
        <w:suppressAutoHyphens w:val="0"/>
        <w:jc w:val="both"/>
        <w:rPr>
          <w:rFonts w:ascii="Arial" w:hAnsi="Arial" w:cs="Arial"/>
          <w:b/>
          <w:lang w:val="x-none" w:eastAsia="x-none"/>
        </w:rPr>
      </w:pPr>
    </w:p>
    <w:p w:rsidR="00D41783" w:rsidRDefault="00D41783" w:rsidP="00D41783">
      <w:pPr>
        <w:rPr>
          <w:rFonts w:ascii="Arial" w:hAnsi="Arial"/>
        </w:rPr>
      </w:pPr>
      <w:r>
        <w:rPr>
          <w:rFonts w:ascii="Arial" w:hAnsi="Arial"/>
        </w:rPr>
        <w:t>L’acte d’engagement est complété par l</w:t>
      </w:r>
      <w:r w:rsidR="00D00375">
        <w:rPr>
          <w:rFonts w:ascii="Arial" w:hAnsi="Arial"/>
        </w:rPr>
        <w:t xml:space="preserve">es </w:t>
      </w:r>
      <w:r>
        <w:rPr>
          <w:rFonts w:ascii="Arial" w:hAnsi="Arial"/>
        </w:rPr>
        <w:t>annexe</w:t>
      </w:r>
      <w:r w:rsidR="00D00375">
        <w:rPr>
          <w:rFonts w:ascii="Arial" w:hAnsi="Arial"/>
        </w:rPr>
        <w:t>s</w:t>
      </w:r>
      <w:r>
        <w:rPr>
          <w:rFonts w:ascii="Arial" w:hAnsi="Arial"/>
        </w:rPr>
        <w:t xml:space="preserve"> suivante</w:t>
      </w:r>
      <w:r w:rsidR="00D00375">
        <w:rPr>
          <w:rFonts w:ascii="Arial" w:hAnsi="Arial"/>
        </w:rPr>
        <w:t>s</w:t>
      </w:r>
      <w:r>
        <w:rPr>
          <w:rFonts w:ascii="Arial" w:hAnsi="Arial"/>
        </w:rPr>
        <w:t> :</w:t>
      </w:r>
    </w:p>
    <w:p w:rsidR="00D41783" w:rsidRDefault="00D41783" w:rsidP="00D41783">
      <w:pPr>
        <w:rPr>
          <w:rFonts w:ascii="Arial" w:hAnsi="Arial"/>
        </w:rPr>
      </w:pPr>
    </w:p>
    <w:p w:rsidR="000F5F26" w:rsidRDefault="000F5F26" w:rsidP="000F5F26">
      <w:pPr>
        <w:ind w:left="284"/>
        <w:jc w:val="both"/>
        <w:rPr>
          <w:rFonts w:ascii="Arial" w:hAnsi="Arial" w:cs="Arial"/>
        </w:rPr>
      </w:pPr>
      <w:r w:rsidRPr="001A1A12">
        <w:rPr>
          <w:rFonts w:ascii="Arial" w:hAnsi="Arial" w:cs="Arial"/>
        </w:rPr>
        <w:fldChar w:fldCharType="begin">
          <w:ffData>
            <w:name w:val=""/>
            <w:enabled/>
            <w:calcOnExit w:val="0"/>
            <w:checkBox>
              <w:sizeAuto/>
              <w:default w:val="1"/>
            </w:checkBox>
          </w:ffData>
        </w:fldChar>
      </w:r>
      <w:r w:rsidRPr="001A1A12">
        <w:rPr>
          <w:rFonts w:ascii="Arial" w:hAnsi="Arial" w:cs="Arial"/>
        </w:rPr>
        <w:instrText xml:space="preserve"> FORMCHECKBOX </w:instrText>
      </w:r>
      <w:r w:rsidR="00236F7B">
        <w:rPr>
          <w:rFonts w:ascii="Arial" w:hAnsi="Arial" w:cs="Arial"/>
        </w:rPr>
      </w:r>
      <w:r w:rsidR="00236F7B">
        <w:rPr>
          <w:rFonts w:ascii="Arial" w:hAnsi="Arial" w:cs="Arial"/>
        </w:rPr>
        <w:fldChar w:fldCharType="separate"/>
      </w:r>
      <w:r w:rsidRPr="001A1A12">
        <w:rPr>
          <w:rFonts w:ascii="Arial" w:hAnsi="Arial" w:cs="Arial"/>
        </w:rPr>
        <w:fldChar w:fldCharType="end"/>
      </w:r>
      <w:r w:rsidRPr="001A1A12">
        <w:rPr>
          <w:rFonts w:ascii="Arial" w:hAnsi="Arial" w:cs="Arial"/>
        </w:rPr>
        <w:t xml:space="preserve"> Annexe n°</w:t>
      </w:r>
      <w:r w:rsidR="00DD5508">
        <w:rPr>
          <w:rFonts w:ascii="Arial" w:hAnsi="Arial" w:cs="Arial"/>
        </w:rPr>
        <w:t>1</w:t>
      </w:r>
      <w:r w:rsidRPr="001A1A12">
        <w:rPr>
          <w:rFonts w:ascii="Arial" w:hAnsi="Arial" w:cs="Arial"/>
        </w:rPr>
        <w:t> </w:t>
      </w:r>
      <w:r w:rsidR="00AD2E12" w:rsidRPr="001A1A12">
        <w:rPr>
          <w:rFonts w:ascii="Arial" w:hAnsi="Arial" w:cs="Arial"/>
        </w:rPr>
        <w:t xml:space="preserve">« </w:t>
      </w:r>
      <w:r w:rsidR="00944A10">
        <w:rPr>
          <w:rFonts w:ascii="Arial" w:hAnsi="Arial" w:cs="Arial"/>
        </w:rPr>
        <w:t xml:space="preserve">Bordereau des prix unitaires, taux de remise sur catalogue(s) et </w:t>
      </w:r>
      <w:r w:rsidR="00AD2E12" w:rsidRPr="00A00C26">
        <w:rPr>
          <w:rFonts w:ascii="Arial" w:hAnsi="Arial" w:cs="Arial"/>
        </w:rPr>
        <w:t>délai de livraison</w:t>
      </w:r>
      <w:r w:rsidR="00AD2E12">
        <w:rPr>
          <w:rFonts w:ascii="Arial" w:hAnsi="Arial" w:cs="Arial"/>
        </w:rPr>
        <w:t xml:space="preserve"> »</w:t>
      </w:r>
      <w:r w:rsidRPr="001A1A12">
        <w:rPr>
          <w:rFonts w:ascii="Arial" w:hAnsi="Arial" w:cs="Arial"/>
        </w:rPr>
        <w:t> ;</w:t>
      </w:r>
    </w:p>
    <w:p w:rsidR="004130E2" w:rsidRDefault="004130E2" w:rsidP="00D41783">
      <w:pPr>
        <w:ind w:left="284"/>
        <w:rPr>
          <w:rFonts w:ascii="Arial" w:hAnsi="Arial"/>
        </w:rPr>
      </w:pPr>
    </w:p>
    <w:p w:rsidR="00AD2E12" w:rsidRDefault="00AD2E12" w:rsidP="00D41783">
      <w:pPr>
        <w:ind w:left="284"/>
        <w:rPr>
          <w:rFonts w:ascii="Arial" w:hAnsi="Arial"/>
        </w:rPr>
      </w:pPr>
    </w:p>
    <w:p w:rsidR="004130E2" w:rsidRPr="00A232E2" w:rsidRDefault="004130E2" w:rsidP="00D41783">
      <w:pPr>
        <w:ind w:left="284"/>
        <w:rPr>
          <w:rFonts w:ascii="Arial" w:hAnsi="Arial"/>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944A10">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944A10">
            <w:rPr>
              <w:rFonts w:ascii="Arial" w:hAnsi="Arial" w:cs="Arial"/>
              <w:b/>
              <w:i/>
            </w:rPr>
            <w:t>25-BCPA-031</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36F7B">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6F7B">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1"/>
  </w:num>
  <w:num w:numId="5">
    <w:abstractNumId w:val="5"/>
  </w:num>
  <w:num w:numId="6">
    <w:abstractNumId w:val="13"/>
  </w:num>
  <w:num w:numId="7">
    <w:abstractNumId w:val="9"/>
  </w:num>
  <w:num w:numId="8">
    <w:abstractNumId w:val="8"/>
  </w:num>
  <w:num w:numId="9">
    <w:abstractNumId w:val="6"/>
  </w:num>
  <w:num w:numId="10">
    <w:abstractNumId w:val="12"/>
  </w:num>
  <w:num w:numId="11">
    <w:abstractNumId w:val="4"/>
  </w:num>
  <w:num w:numId="12">
    <w:abstractNumId w:val="10"/>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77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5606B"/>
    <w:rsid w:val="00067F94"/>
    <w:rsid w:val="00082763"/>
    <w:rsid w:val="000A2E05"/>
    <w:rsid w:val="000B5CD2"/>
    <w:rsid w:val="000C0C77"/>
    <w:rsid w:val="000E0020"/>
    <w:rsid w:val="000E78A5"/>
    <w:rsid w:val="000E7AE1"/>
    <w:rsid w:val="000F5F26"/>
    <w:rsid w:val="00114609"/>
    <w:rsid w:val="00124104"/>
    <w:rsid w:val="001264D5"/>
    <w:rsid w:val="001433B6"/>
    <w:rsid w:val="00166B56"/>
    <w:rsid w:val="00172CE2"/>
    <w:rsid w:val="00174092"/>
    <w:rsid w:val="00174505"/>
    <w:rsid w:val="001750BB"/>
    <w:rsid w:val="001832B2"/>
    <w:rsid w:val="0019638E"/>
    <w:rsid w:val="001A1A12"/>
    <w:rsid w:val="001A2AAD"/>
    <w:rsid w:val="001C19C4"/>
    <w:rsid w:val="001C40C0"/>
    <w:rsid w:val="001C733C"/>
    <w:rsid w:val="00212AB5"/>
    <w:rsid w:val="0021527A"/>
    <w:rsid w:val="0021797C"/>
    <w:rsid w:val="00225A1A"/>
    <w:rsid w:val="00232D43"/>
    <w:rsid w:val="00236F7B"/>
    <w:rsid w:val="002401B4"/>
    <w:rsid w:val="002417E9"/>
    <w:rsid w:val="00242D0E"/>
    <w:rsid w:val="00243807"/>
    <w:rsid w:val="00280B45"/>
    <w:rsid w:val="002904AF"/>
    <w:rsid w:val="002B7172"/>
    <w:rsid w:val="002C14D5"/>
    <w:rsid w:val="002C2CA3"/>
    <w:rsid w:val="002C4B3E"/>
    <w:rsid w:val="002C77E3"/>
    <w:rsid w:val="002C79D6"/>
    <w:rsid w:val="002D5142"/>
    <w:rsid w:val="002D6658"/>
    <w:rsid w:val="002E0E10"/>
    <w:rsid w:val="002E529F"/>
    <w:rsid w:val="002E5559"/>
    <w:rsid w:val="002E56C1"/>
    <w:rsid w:val="00332B12"/>
    <w:rsid w:val="0034392F"/>
    <w:rsid w:val="00344FC1"/>
    <w:rsid w:val="00354C04"/>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D40BD"/>
    <w:rsid w:val="004E22E6"/>
    <w:rsid w:val="004E527A"/>
    <w:rsid w:val="004E75A6"/>
    <w:rsid w:val="004F4554"/>
    <w:rsid w:val="00504785"/>
    <w:rsid w:val="00514DAF"/>
    <w:rsid w:val="00525DD7"/>
    <w:rsid w:val="00532EC7"/>
    <w:rsid w:val="00541CA3"/>
    <w:rsid w:val="005546A9"/>
    <w:rsid w:val="0057714B"/>
    <w:rsid w:val="005809DC"/>
    <w:rsid w:val="005824AE"/>
    <w:rsid w:val="005846FB"/>
    <w:rsid w:val="005A05C1"/>
    <w:rsid w:val="005A4A3B"/>
    <w:rsid w:val="005A4CB5"/>
    <w:rsid w:val="005B229B"/>
    <w:rsid w:val="005B2316"/>
    <w:rsid w:val="005C3050"/>
    <w:rsid w:val="005C33F2"/>
    <w:rsid w:val="005C5E82"/>
    <w:rsid w:val="005F0DCE"/>
    <w:rsid w:val="0061068C"/>
    <w:rsid w:val="00621591"/>
    <w:rsid w:val="0064560F"/>
    <w:rsid w:val="00660727"/>
    <w:rsid w:val="006768FF"/>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36249"/>
    <w:rsid w:val="00840934"/>
    <w:rsid w:val="00844DAA"/>
    <w:rsid w:val="008450C7"/>
    <w:rsid w:val="008515CB"/>
    <w:rsid w:val="00860217"/>
    <w:rsid w:val="00876A73"/>
    <w:rsid w:val="0087729F"/>
    <w:rsid w:val="00881EDF"/>
    <w:rsid w:val="008B1653"/>
    <w:rsid w:val="008B2A38"/>
    <w:rsid w:val="008C70D7"/>
    <w:rsid w:val="00905A71"/>
    <w:rsid w:val="0090697D"/>
    <w:rsid w:val="00914177"/>
    <w:rsid w:val="00930A5C"/>
    <w:rsid w:val="00934503"/>
    <w:rsid w:val="00944A10"/>
    <w:rsid w:val="00963F7A"/>
    <w:rsid w:val="00971977"/>
    <w:rsid w:val="00972598"/>
    <w:rsid w:val="00975537"/>
    <w:rsid w:val="00975B76"/>
    <w:rsid w:val="00983FF3"/>
    <w:rsid w:val="00987244"/>
    <w:rsid w:val="009B1CD0"/>
    <w:rsid w:val="009B45B9"/>
    <w:rsid w:val="009C4738"/>
    <w:rsid w:val="009D3C3A"/>
    <w:rsid w:val="009D661E"/>
    <w:rsid w:val="009E4396"/>
    <w:rsid w:val="009E5759"/>
    <w:rsid w:val="009F580C"/>
    <w:rsid w:val="00A00C26"/>
    <w:rsid w:val="00A1093C"/>
    <w:rsid w:val="00A14AE6"/>
    <w:rsid w:val="00A34D04"/>
    <w:rsid w:val="00A4498C"/>
    <w:rsid w:val="00A527B0"/>
    <w:rsid w:val="00A530EA"/>
    <w:rsid w:val="00A55CB2"/>
    <w:rsid w:val="00A6177C"/>
    <w:rsid w:val="00A87BEC"/>
    <w:rsid w:val="00A961EB"/>
    <w:rsid w:val="00AC730A"/>
    <w:rsid w:val="00AD1656"/>
    <w:rsid w:val="00AD2E12"/>
    <w:rsid w:val="00AE7831"/>
    <w:rsid w:val="00AF588A"/>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52899"/>
    <w:rsid w:val="00C548C9"/>
    <w:rsid w:val="00C630AD"/>
    <w:rsid w:val="00C83930"/>
    <w:rsid w:val="00C91060"/>
    <w:rsid w:val="00C911FE"/>
    <w:rsid w:val="00CB66C5"/>
    <w:rsid w:val="00CC4470"/>
    <w:rsid w:val="00CD14E6"/>
    <w:rsid w:val="00CD185D"/>
    <w:rsid w:val="00CD46CC"/>
    <w:rsid w:val="00CD4EAA"/>
    <w:rsid w:val="00CE5387"/>
    <w:rsid w:val="00CE67FD"/>
    <w:rsid w:val="00D00375"/>
    <w:rsid w:val="00D154DA"/>
    <w:rsid w:val="00D26AD2"/>
    <w:rsid w:val="00D337D7"/>
    <w:rsid w:val="00D412FD"/>
    <w:rsid w:val="00D41783"/>
    <w:rsid w:val="00D46BC7"/>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oNotEmbedSmartTags/>
  <w:decimalSymbol w:val=","/>
  <w:listSeparator w:val=";"/>
  <w14:docId w14:val="09A06712"/>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7FAE5-BBA2-4084-8221-167FDEFE9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112</TotalTime>
  <Pages>4</Pages>
  <Words>1539</Words>
  <Characters>8469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9989</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48</cp:revision>
  <cp:lastPrinted>2016-11-04T12:53:00Z</cp:lastPrinted>
  <dcterms:created xsi:type="dcterms:W3CDTF">2021-09-08T13:51:00Z</dcterms:created>
  <dcterms:modified xsi:type="dcterms:W3CDTF">2025-06-02T15:43:00Z</dcterms:modified>
</cp:coreProperties>
</file>