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B5605" w:rsidRDefault="00B70B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6089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3C48BEB5" w:rsidR="00C2145A" w:rsidRPr="001B5605" w:rsidRDefault="00C2145A" w:rsidP="00C974D9">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AF2F3F">
              <w:rPr>
                <w:rFonts w:asciiTheme="minorHAnsi" w:hAnsiTheme="minorHAnsi"/>
                <w:b/>
                <w:smallCaps/>
                <w:sz w:val="24"/>
              </w:rPr>
              <w:t>25-MR4619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569B2CD" w:rsidR="00741D2D" w:rsidRPr="001B5605" w:rsidRDefault="00C974D9" w:rsidP="00C974D9">
            <w:pPr>
              <w:jc w:val="both"/>
              <w:rPr>
                <w:rFonts w:asciiTheme="minorHAnsi" w:hAnsiTheme="minorHAnsi" w:cs="Arial"/>
                <w:sz w:val="24"/>
              </w:rPr>
            </w:pPr>
            <w:r w:rsidRPr="00C974D9">
              <w:rPr>
                <w:rFonts w:asciiTheme="minorHAnsi" w:hAnsiTheme="minorHAnsi" w:cs="Arial"/>
                <w:sz w:val="24"/>
              </w:rPr>
              <w:t>Assistance technique à l’attention des acteurs de l’écosystème de l’investissement tunisien, pour les accompagner dans le verdissement de leurs investissements et favoriser la création d’un environnement propice à l’investissement dans l’économie verte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BC72BFA" w:rsidR="00741D2D" w:rsidRPr="001B5605" w:rsidRDefault="00540DA7" w:rsidP="0094204C">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5291322" w:rsidR="00707B69" w:rsidRPr="003A13E0" w:rsidRDefault="00801ECC" w:rsidP="0094204C">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94204C">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B70B00">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B70B00">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B70B00">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B70B00">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B70B00">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B70B00">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B70B00">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B70B00">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B70B00">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B70B00">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B70B00">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B70B00">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B70B00">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B70B00">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B70B00">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B70B00">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B70B00">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B70B00">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B70B00">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B70B00">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B70B00">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B70B00">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B70B00">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B70B00">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B70B00">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B70B00">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B70B00">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B70B00">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B70B00">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B70B00">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B70B00">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B70B00">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B70B00">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B70B00">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B70B00">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B70B00">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B70B00">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B70B00">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B70B00">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B70B0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B70B00">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B70B0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0D7E1A8" w:rsidR="00416A7A" w:rsidRPr="00A86E43" w:rsidRDefault="00DE1070" w:rsidP="0094204C">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94204C" w:rsidRPr="0094204C">
        <w:rPr>
          <w:rFonts w:asciiTheme="minorHAnsi" w:hAnsiTheme="minorHAnsi" w:cs="Arial"/>
          <w:sz w:val="22"/>
        </w:rPr>
        <w:t xml:space="preserve">26/12/2022 </w:t>
      </w:r>
      <w:r w:rsidRPr="00A86E43">
        <w:rPr>
          <w:rFonts w:asciiTheme="minorHAnsi" w:hAnsiTheme="minorHAnsi" w:cs="Arial"/>
          <w:sz w:val="22"/>
        </w:rPr>
        <w:t xml:space="preserve">entre </w:t>
      </w:r>
      <w:r w:rsidR="0094204C" w:rsidRPr="0094204C">
        <w:rPr>
          <w:rFonts w:asciiTheme="minorHAnsi" w:hAnsiTheme="minorHAnsi" w:cs="Arial"/>
          <w:i/>
          <w:sz w:val="22"/>
        </w:rPr>
        <w:t xml:space="preserve">la Commission Européenne et Expertise </w:t>
      </w:r>
      <w:r w:rsidR="0094204C">
        <w:rPr>
          <w:rFonts w:asciiTheme="minorHAnsi" w:hAnsiTheme="minorHAnsi" w:cs="Arial"/>
          <w:i/>
          <w:sz w:val="22"/>
        </w:rPr>
        <w:t>France,</w:t>
      </w:r>
      <w:r w:rsidR="0094204C" w:rsidRPr="0094204C">
        <w:rPr>
          <w:rFonts w:asciiTheme="minorHAnsi" w:hAnsiTheme="minorHAnsi" w:cs="Arial"/>
          <w:i/>
          <w:sz w:val="22"/>
        </w:rPr>
        <w:t xml:space="preserve"> </w:t>
      </w:r>
      <w:r w:rsidRPr="00A86E43">
        <w:rPr>
          <w:rFonts w:asciiTheme="minorHAnsi" w:hAnsiTheme="minorHAnsi" w:cs="Arial"/>
          <w:sz w:val="22"/>
        </w:rPr>
        <w:t>portant sur « </w:t>
      </w:r>
      <w:r w:rsidR="0094204C" w:rsidRPr="0094204C">
        <w:rPr>
          <w:rFonts w:asciiTheme="minorHAnsi" w:hAnsiTheme="minorHAnsi" w:cs="Arial"/>
          <w:i/>
          <w:sz w:val="22"/>
        </w:rPr>
        <w:t>Greenov’i – EU4Innovation</w:t>
      </w:r>
      <w:r w:rsidRPr="0094204C">
        <w:rPr>
          <w:rFonts w:asciiTheme="minorHAnsi" w:hAnsiTheme="minorHAnsi" w:cs="Arial"/>
          <w:i/>
          <w:sz w:val="22"/>
        </w:rPr>
        <w:t>»</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089BB930" w:rsidR="000A6E96" w:rsidRPr="00A86E43" w:rsidRDefault="00E551F2" w:rsidP="00C974D9">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DA2C30">
        <w:rPr>
          <w:rFonts w:asciiTheme="minorHAnsi" w:hAnsiTheme="minorHAnsi" w:cs="Arial"/>
        </w:rPr>
        <w:t xml:space="preserve"> </w:t>
      </w:r>
      <w:r w:rsidR="00C974D9" w:rsidRPr="00C974D9">
        <w:rPr>
          <w:rFonts w:asciiTheme="minorHAnsi" w:hAnsiTheme="minorHAnsi" w:cs="Arial"/>
        </w:rPr>
        <w:t>Assistance technique à l’attention des acteurs de l’écosystème de l’investissement tunisien, pour les accompagner dans le verdissement de leurs investissements et favoriser la création d’un environnement propice à l’investissement dans l’économie verte</w:t>
      </w:r>
      <w:r w:rsidR="00C974D9">
        <w:rPr>
          <w:rFonts w:asciiTheme="minorHAnsi" w:hAnsiTheme="minorHAnsi" w:cs="Arial"/>
        </w:rPr>
        <w:t xml:space="preserve"> </w:t>
      </w:r>
      <w:r w:rsidR="00F6667B" w:rsidRPr="00C974D9">
        <w:rPr>
          <w:rFonts w:asciiTheme="minorHAnsi" w:hAnsiTheme="minorHAnsi" w:cs="Arial"/>
        </w:rPr>
        <w:t>»</w:t>
      </w:r>
      <w:r w:rsidR="00DE0E61" w:rsidRPr="00A86E43">
        <w:rPr>
          <w:rFonts w:asciiTheme="minorHAnsi" w:hAnsiTheme="minorHAnsi" w:cs="Arial"/>
        </w:rPr>
        <w:t>.</w:t>
      </w:r>
    </w:p>
    <w:p w14:paraId="78C1469E" w14:textId="77777777" w:rsidR="001726C5" w:rsidRPr="00A86E43"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56FB9097" w:rsidR="00996FEA" w:rsidRPr="00A86E43" w:rsidRDefault="00BC5A69"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4204C">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371B804" w:rsidR="00A246CE" w:rsidRPr="00A86E43" w:rsidRDefault="00804BED" w:rsidP="0094204C">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4204C">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94204C">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94204C">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773D1E40" w:rsidR="00413542" w:rsidRPr="00A86E43" w:rsidRDefault="00413542" w:rsidP="00DF4A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008F8">
        <w:rPr>
          <w:rFonts w:asciiTheme="minorHAnsi" w:hAnsiTheme="minorHAnsi" w:cs="Arial"/>
        </w:rPr>
        <w:t xml:space="preserve"> </w:t>
      </w:r>
      <w:r w:rsidR="00DF4A42">
        <w:rPr>
          <w:rFonts w:asciiTheme="minorHAnsi" w:hAnsiTheme="minorHAnsi" w:cs="Arial"/>
        </w:rPr>
        <w:t>21</w:t>
      </w:r>
      <w:r w:rsidR="008008F8">
        <w:rPr>
          <w:rFonts w:asciiTheme="minorHAnsi" w:hAnsiTheme="minorHAnsi" w:cs="Arial"/>
        </w:rPr>
        <w:t xml:space="preserve"> mois à compter </w:t>
      </w:r>
      <w:r w:rsidR="00DF4A42" w:rsidRPr="00A86E43">
        <w:rPr>
          <w:rFonts w:asciiTheme="minorHAnsi" w:hAnsiTheme="minorHAnsi" w:cs="Arial"/>
        </w:rPr>
        <w:t>de sa date de notification au</w:t>
      </w:r>
      <w:r w:rsidR="00DF4A42">
        <w:rPr>
          <w:rFonts w:asciiTheme="minorHAnsi" w:hAnsiTheme="minorHAnsi" w:cs="Arial"/>
        </w:rPr>
        <w:t xml:space="preserve"> </w:t>
      </w:r>
      <w:r w:rsidR="00DF4A42" w:rsidRPr="003A0706">
        <w:rPr>
          <w:rFonts w:asciiTheme="minorHAnsi" w:hAnsiTheme="minorHAnsi" w:cs="Arial"/>
          <w:smallCaps/>
        </w:rPr>
        <w:t>Contractant</w:t>
      </w:r>
      <w:r w:rsidR="00DF4A42" w:rsidRPr="00A86E43">
        <w:rPr>
          <w:rFonts w:asciiTheme="minorHAnsi" w:hAnsiTheme="minorHAnsi" w:cs="Arial"/>
        </w:rPr>
        <w:t xml:space="preserve"> par </w:t>
      </w:r>
      <w:r w:rsidR="00DF4A42" w:rsidRPr="00CE73DB">
        <w:rPr>
          <w:rFonts w:asciiTheme="minorHAnsi" w:hAnsiTheme="minorHAnsi" w:cs="Arial"/>
          <w:smallCaps/>
        </w:rPr>
        <w:t xml:space="preserve">Expertise </w:t>
      </w:r>
      <w:r w:rsidR="00DF4A42">
        <w:rPr>
          <w:rFonts w:asciiTheme="minorHAnsi" w:hAnsiTheme="minorHAnsi" w:cs="Arial"/>
          <w:smallCaps/>
        </w:rPr>
        <w:t>France</w:t>
      </w:r>
      <w:r w:rsidR="00DF4A42">
        <w:rPr>
          <w:rFonts w:asciiTheme="minorHAnsi" w:hAnsiTheme="minorHAnsi" w:cs="Arial"/>
        </w:rPr>
        <w:t>.</w:t>
      </w:r>
      <w:bookmarkStart w:id="13" w:name="_GoBack"/>
      <w:bookmarkEnd w:id="13"/>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A86E43" w:rsidRDefault="001E12A9" w:rsidP="0094204C">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699A1EFE" w:rsidR="001E12A9" w:rsidRPr="00A86E43" w:rsidRDefault="001E12A9" w:rsidP="00BC28CB">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94204C">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w:t>
      </w:r>
      <w:r w:rsidR="00BC28CB">
        <w:rPr>
          <w:rFonts w:asciiTheme="minorHAnsi" w:hAnsiTheme="minorHAnsi" w:cs="Arial"/>
        </w:rPr>
        <w:t>au tableau des livrables.</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52C8EFC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w:t>
      </w:r>
      <w:r w:rsidR="00F6667B">
        <w:rPr>
          <w:rFonts w:asciiTheme="minorHAnsi" w:hAnsiTheme="minorHAnsi" w:cstheme="minorHAnsi"/>
          <w:szCs w:val="22"/>
          <w:highlight w:val="yellow"/>
        </w:rPr>
        <w:t xml:space="preserve"> ou TND</w:t>
      </w:r>
      <w:r w:rsidRPr="00A86E43">
        <w:rPr>
          <w:rFonts w:asciiTheme="minorHAnsi" w:hAnsiTheme="minorHAnsi" w:cstheme="minorHAnsi"/>
          <w:szCs w:val="22"/>
          <w:highlight w:val="yellow"/>
        </w:rPr>
        <w:t xml:space="preserve"> (hors taxe).</w:t>
      </w:r>
    </w:p>
    <w:p w14:paraId="3A2ACC99" w14:textId="7C27908F" w:rsidR="00123D1A" w:rsidRPr="00A86E43" w:rsidRDefault="00123D1A" w:rsidP="00341BDA">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341BDA"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0FE3ADD4" w14:textId="1329B814" w:rsidR="0089576F" w:rsidRDefault="00004AE6" w:rsidP="00341BDA">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tbl>
      <w:tblPr>
        <w:tblW w:w="0" w:type="auto"/>
        <w:tblCellMar>
          <w:left w:w="0" w:type="dxa"/>
          <w:right w:w="0" w:type="dxa"/>
        </w:tblCellMar>
        <w:tblLook w:val="04A0" w:firstRow="1" w:lastRow="0" w:firstColumn="1" w:lastColumn="0" w:noHBand="0" w:noVBand="1"/>
      </w:tblPr>
      <w:tblGrid>
        <w:gridCol w:w="6423"/>
        <w:gridCol w:w="2629"/>
      </w:tblGrid>
      <w:tr w:rsidR="00786183" w:rsidRPr="00786183" w14:paraId="5051781B" w14:textId="77777777" w:rsidTr="00786183">
        <w:tc>
          <w:tcPr>
            <w:tcW w:w="642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57EAF44" w14:textId="77777777" w:rsidR="00786183" w:rsidRPr="00786183" w:rsidRDefault="00786183" w:rsidP="00786183">
            <w:pPr>
              <w:spacing w:line="240" w:lineRule="auto"/>
              <w:jc w:val="both"/>
              <w:rPr>
                <w:rFonts w:ascii="Calibri" w:eastAsia="Calibri" w:hAnsi="Calibri" w:cs="Calibri"/>
                <w:b/>
                <w:bCs/>
                <w:sz w:val="22"/>
                <w:szCs w:val="22"/>
              </w:rPr>
            </w:pPr>
            <w:r w:rsidRPr="00786183">
              <w:rPr>
                <w:rFonts w:ascii="Calibri" w:eastAsia="Calibri" w:hAnsi="Calibri" w:cs="Calibri"/>
                <w:b/>
                <w:bCs/>
                <w:sz w:val="22"/>
                <w:szCs w:val="22"/>
                <w:lang w:eastAsia="en-US"/>
              </w:rPr>
              <w:t>Montants de l’acompte</w:t>
            </w:r>
          </w:p>
        </w:tc>
        <w:tc>
          <w:tcPr>
            <w:tcW w:w="26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8167349" w14:textId="77777777" w:rsidR="00786183" w:rsidRPr="00786183" w:rsidRDefault="00786183" w:rsidP="00786183">
            <w:pPr>
              <w:spacing w:line="240" w:lineRule="auto"/>
              <w:jc w:val="center"/>
              <w:rPr>
                <w:rFonts w:ascii="Calibri" w:eastAsia="Calibri" w:hAnsi="Calibri" w:cs="Calibri"/>
                <w:b/>
                <w:bCs/>
                <w:sz w:val="22"/>
                <w:szCs w:val="22"/>
                <w:lang w:eastAsia="en-US"/>
              </w:rPr>
            </w:pPr>
            <w:r w:rsidRPr="00786183">
              <w:rPr>
                <w:rFonts w:ascii="Calibri" w:eastAsia="Calibri" w:hAnsi="Calibri" w:cs="Calibri"/>
                <w:b/>
                <w:bCs/>
                <w:sz w:val="22"/>
                <w:szCs w:val="22"/>
                <w:lang w:eastAsia="en-US"/>
              </w:rPr>
              <w:t>Date de versement</w:t>
            </w:r>
          </w:p>
        </w:tc>
      </w:tr>
      <w:tr w:rsidR="00786183" w:rsidRPr="00786183" w14:paraId="68B35E10" w14:textId="77777777" w:rsidTr="00786183">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7993AD" w14:textId="77777777" w:rsidR="00786183" w:rsidRPr="00786183" w:rsidRDefault="00786183" w:rsidP="00786183">
            <w:pPr>
              <w:spacing w:line="240" w:lineRule="auto"/>
              <w:jc w:val="both"/>
              <w:rPr>
                <w:rFonts w:ascii="Calibri" w:eastAsia="Calibri" w:hAnsi="Calibri" w:cs="Calibri"/>
                <w:b/>
                <w:bCs/>
                <w:sz w:val="22"/>
                <w:szCs w:val="22"/>
                <w:highlight w:val="yellow"/>
              </w:rPr>
            </w:pPr>
            <w:r w:rsidRPr="00786183">
              <w:rPr>
                <w:rFonts w:ascii="Calibri" w:eastAsia="Calibri" w:hAnsi="Calibri" w:cs="Calibri"/>
                <w:b/>
                <w:bCs/>
                <w:sz w:val="22"/>
                <w:szCs w:val="22"/>
                <w:highlight w:val="yellow"/>
                <w:lang w:eastAsia="en-US"/>
              </w:rPr>
              <w:t xml:space="preserve">20% du montant du contrat à la livraison des livrables 1 </w:t>
            </w:r>
          </w:p>
        </w:tc>
        <w:tc>
          <w:tcPr>
            <w:tcW w:w="2629" w:type="dxa"/>
            <w:tcBorders>
              <w:top w:val="nil"/>
              <w:left w:val="nil"/>
              <w:bottom w:val="single" w:sz="8" w:space="0" w:color="auto"/>
              <w:right w:val="single" w:sz="8" w:space="0" w:color="auto"/>
            </w:tcBorders>
            <w:tcMar>
              <w:top w:w="0" w:type="dxa"/>
              <w:left w:w="108" w:type="dxa"/>
              <w:bottom w:w="0" w:type="dxa"/>
              <w:right w:w="108" w:type="dxa"/>
            </w:tcMar>
            <w:hideMark/>
          </w:tcPr>
          <w:p w14:paraId="332334F5" w14:textId="77777777" w:rsidR="00786183" w:rsidRPr="00786183" w:rsidRDefault="00786183" w:rsidP="00786183">
            <w:pPr>
              <w:spacing w:line="240" w:lineRule="auto"/>
              <w:jc w:val="center"/>
              <w:rPr>
                <w:rFonts w:ascii="Calibri" w:eastAsia="Calibri" w:hAnsi="Calibri" w:cs="Calibri"/>
                <w:b/>
                <w:bCs/>
                <w:sz w:val="22"/>
                <w:szCs w:val="22"/>
                <w:lang w:eastAsia="en-US"/>
              </w:rPr>
            </w:pPr>
            <w:r w:rsidRPr="00786183">
              <w:rPr>
                <w:rFonts w:ascii="Calibri" w:eastAsia="Calibri" w:hAnsi="Calibri" w:cs="Calibri"/>
                <w:b/>
                <w:bCs/>
                <w:sz w:val="22"/>
                <w:szCs w:val="22"/>
                <w:lang w:eastAsia="en-US"/>
              </w:rPr>
              <w:t xml:space="preserve">T0 + 4 mois </w:t>
            </w:r>
          </w:p>
        </w:tc>
      </w:tr>
      <w:tr w:rsidR="00786183" w:rsidRPr="00786183" w14:paraId="1860062E" w14:textId="77777777" w:rsidTr="00786183">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2C7B75" w14:textId="5E258AE4" w:rsidR="00786183" w:rsidRPr="00786183" w:rsidRDefault="00786183" w:rsidP="007221FF">
            <w:pPr>
              <w:spacing w:line="240" w:lineRule="auto"/>
              <w:jc w:val="both"/>
              <w:rPr>
                <w:rFonts w:ascii="Calibri" w:eastAsia="Calibri" w:hAnsi="Calibri" w:cs="Calibri"/>
                <w:b/>
                <w:bCs/>
                <w:sz w:val="22"/>
                <w:szCs w:val="22"/>
                <w:highlight w:val="yellow"/>
                <w:lang w:eastAsia="en-US"/>
              </w:rPr>
            </w:pPr>
            <w:r w:rsidRPr="00786183">
              <w:rPr>
                <w:rFonts w:ascii="Calibri" w:eastAsia="Calibri" w:hAnsi="Calibri" w:cs="Calibri"/>
                <w:b/>
                <w:bCs/>
                <w:sz w:val="22"/>
                <w:szCs w:val="22"/>
                <w:highlight w:val="yellow"/>
                <w:lang w:eastAsia="en-US"/>
              </w:rPr>
              <w:lastRenderedPageBreak/>
              <w:t xml:space="preserve">30% du montant du contrat à la livraison </w:t>
            </w:r>
            <w:r w:rsidR="007221FF">
              <w:rPr>
                <w:rFonts w:ascii="Calibri" w:eastAsia="Calibri" w:hAnsi="Calibri" w:cs="Calibri"/>
                <w:b/>
                <w:bCs/>
                <w:sz w:val="22"/>
                <w:szCs w:val="22"/>
                <w:highlight w:val="yellow"/>
                <w:lang w:eastAsia="en-US"/>
              </w:rPr>
              <w:t>du rapport de mission d’avancée intermédiaire (L2.1 de l’étape 2 – Déploiement de la mission d’assistance technique)</w:t>
            </w:r>
          </w:p>
        </w:tc>
        <w:tc>
          <w:tcPr>
            <w:tcW w:w="2629" w:type="dxa"/>
            <w:tcBorders>
              <w:top w:val="nil"/>
              <w:left w:val="nil"/>
              <w:bottom w:val="single" w:sz="8" w:space="0" w:color="auto"/>
              <w:right w:val="single" w:sz="8" w:space="0" w:color="auto"/>
            </w:tcBorders>
            <w:tcMar>
              <w:top w:w="0" w:type="dxa"/>
              <w:left w:w="108" w:type="dxa"/>
              <w:bottom w:w="0" w:type="dxa"/>
              <w:right w:w="108" w:type="dxa"/>
            </w:tcMar>
            <w:hideMark/>
          </w:tcPr>
          <w:p w14:paraId="798903B4" w14:textId="77777777" w:rsidR="00786183" w:rsidRPr="00786183" w:rsidRDefault="00786183" w:rsidP="00786183">
            <w:pPr>
              <w:spacing w:line="240" w:lineRule="auto"/>
              <w:jc w:val="center"/>
              <w:rPr>
                <w:rFonts w:ascii="Calibri" w:eastAsia="Calibri" w:hAnsi="Calibri" w:cs="Calibri"/>
                <w:b/>
                <w:bCs/>
                <w:sz w:val="22"/>
                <w:szCs w:val="22"/>
                <w:lang w:eastAsia="en-US"/>
              </w:rPr>
            </w:pPr>
            <w:r w:rsidRPr="00786183">
              <w:rPr>
                <w:rFonts w:ascii="Calibri" w:eastAsia="Calibri" w:hAnsi="Calibri" w:cs="Calibri"/>
                <w:b/>
                <w:bCs/>
                <w:sz w:val="22"/>
                <w:szCs w:val="22"/>
                <w:lang w:eastAsia="en-US"/>
              </w:rPr>
              <w:t>T1 + 6 mois</w:t>
            </w:r>
          </w:p>
        </w:tc>
      </w:tr>
      <w:tr w:rsidR="00786183" w:rsidRPr="00786183" w14:paraId="5FDCC262" w14:textId="77777777" w:rsidTr="00786183">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D9DADE" w14:textId="3869E279" w:rsidR="00786183" w:rsidRPr="00786183" w:rsidRDefault="007221FF" w:rsidP="00786183">
            <w:pPr>
              <w:spacing w:line="240" w:lineRule="auto"/>
              <w:jc w:val="both"/>
              <w:rPr>
                <w:rFonts w:ascii="Calibri" w:eastAsia="Calibri" w:hAnsi="Calibri" w:cs="Calibri"/>
                <w:b/>
                <w:bCs/>
                <w:sz w:val="22"/>
                <w:szCs w:val="22"/>
                <w:highlight w:val="yellow"/>
                <w:lang w:eastAsia="en-US"/>
              </w:rPr>
            </w:pPr>
            <w:r>
              <w:rPr>
                <w:rFonts w:ascii="Calibri" w:eastAsia="Calibri" w:hAnsi="Calibri" w:cs="Calibri"/>
                <w:b/>
                <w:bCs/>
                <w:sz w:val="22"/>
                <w:szCs w:val="22"/>
                <w:highlight w:val="yellow"/>
                <w:lang w:eastAsia="en-US"/>
              </w:rPr>
              <w:t>30% à la livraison de l’ensemble des livrables de l’étape 2 – Déploiement de la mission d’assistance technique (L2.2, L2.3, L2.4, L2.5)</w:t>
            </w:r>
          </w:p>
        </w:tc>
        <w:tc>
          <w:tcPr>
            <w:tcW w:w="2629" w:type="dxa"/>
            <w:tcBorders>
              <w:top w:val="nil"/>
              <w:left w:val="nil"/>
              <w:bottom w:val="single" w:sz="8" w:space="0" w:color="auto"/>
              <w:right w:val="single" w:sz="8" w:space="0" w:color="auto"/>
            </w:tcBorders>
            <w:tcMar>
              <w:top w:w="0" w:type="dxa"/>
              <w:left w:w="108" w:type="dxa"/>
              <w:bottom w:w="0" w:type="dxa"/>
              <w:right w:w="108" w:type="dxa"/>
            </w:tcMar>
            <w:hideMark/>
          </w:tcPr>
          <w:p w14:paraId="5EAE4D6A" w14:textId="77777777" w:rsidR="00786183" w:rsidRPr="00786183" w:rsidRDefault="00786183" w:rsidP="00786183">
            <w:pPr>
              <w:spacing w:line="240" w:lineRule="auto"/>
              <w:jc w:val="center"/>
              <w:rPr>
                <w:rFonts w:ascii="Calibri" w:eastAsia="Calibri" w:hAnsi="Calibri" w:cs="Calibri"/>
                <w:b/>
                <w:bCs/>
                <w:sz w:val="22"/>
                <w:szCs w:val="22"/>
                <w:lang w:eastAsia="en-US"/>
              </w:rPr>
            </w:pPr>
            <w:r w:rsidRPr="00786183">
              <w:rPr>
                <w:rFonts w:ascii="Calibri" w:eastAsia="Calibri" w:hAnsi="Calibri" w:cs="Calibri"/>
                <w:b/>
                <w:bCs/>
                <w:sz w:val="22"/>
                <w:szCs w:val="22"/>
                <w:lang w:eastAsia="en-US"/>
              </w:rPr>
              <w:t>T1 + 12 mois</w:t>
            </w:r>
          </w:p>
        </w:tc>
      </w:tr>
      <w:tr w:rsidR="00786183" w:rsidRPr="00786183" w14:paraId="0563D1A0" w14:textId="77777777" w:rsidTr="00786183">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A1281" w14:textId="77777777" w:rsidR="00786183" w:rsidRPr="00786183" w:rsidRDefault="00786183" w:rsidP="00786183">
            <w:pPr>
              <w:spacing w:line="240" w:lineRule="auto"/>
              <w:jc w:val="both"/>
              <w:rPr>
                <w:rFonts w:ascii="Calibri" w:eastAsia="Calibri" w:hAnsi="Calibri" w:cs="Calibri"/>
                <w:b/>
                <w:bCs/>
                <w:sz w:val="22"/>
                <w:szCs w:val="22"/>
                <w:highlight w:val="yellow"/>
                <w:lang w:eastAsia="en-US"/>
              </w:rPr>
            </w:pPr>
            <w:r w:rsidRPr="00786183">
              <w:rPr>
                <w:rFonts w:ascii="Calibri" w:eastAsia="Calibri" w:hAnsi="Calibri" w:cs="Calibri"/>
                <w:b/>
                <w:bCs/>
                <w:sz w:val="22"/>
                <w:szCs w:val="22"/>
                <w:highlight w:val="yellow"/>
                <w:lang w:eastAsia="en-US"/>
              </w:rPr>
              <w:t>20 % du montant du contrat à la livraison des livrables 3</w:t>
            </w:r>
          </w:p>
        </w:tc>
        <w:tc>
          <w:tcPr>
            <w:tcW w:w="2629" w:type="dxa"/>
            <w:tcBorders>
              <w:top w:val="nil"/>
              <w:left w:val="nil"/>
              <w:bottom w:val="single" w:sz="8" w:space="0" w:color="auto"/>
              <w:right w:val="single" w:sz="8" w:space="0" w:color="auto"/>
            </w:tcBorders>
            <w:tcMar>
              <w:top w:w="0" w:type="dxa"/>
              <w:left w:w="108" w:type="dxa"/>
              <w:bottom w:w="0" w:type="dxa"/>
              <w:right w:w="108" w:type="dxa"/>
            </w:tcMar>
            <w:hideMark/>
          </w:tcPr>
          <w:p w14:paraId="0A449DBB" w14:textId="77777777" w:rsidR="00786183" w:rsidRPr="00786183" w:rsidRDefault="00786183" w:rsidP="00786183">
            <w:pPr>
              <w:spacing w:line="240" w:lineRule="auto"/>
              <w:jc w:val="center"/>
              <w:rPr>
                <w:rFonts w:ascii="Calibri" w:eastAsia="Calibri" w:hAnsi="Calibri" w:cs="Calibri"/>
                <w:b/>
                <w:bCs/>
                <w:sz w:val="22"/>
                <w:szCs w:val="22"/>
                <w:lang w:eastAsia="en-US"/>
              </w:rPr>
            </w:pPr>
            <w:r w:rsidRPr="00786183">
              <w:rPr>
                <w:rFonts w:ascii="Calibri" w:eastAsia="Calibri" w:hAnsi="Calibri" w:cs="Calibri"/>
                <w:b/>
                <w:bCs/>
                <w:sz w:val="22"/>
                <w:szCs w:val="22"/>
                <w:lang w:eastAsia="en-US"/>
              </w:rPr>
              <w:t>T2 + 2 mois</w:t>
            </w:r>
          </w:p>
        </w:tc>
      </w:tr>
    </w:tbl>
    <w:p w14:paraId="33B9BBB2" w14:textId="7BD043AE" w:rsidR="00DA2C30" w:rsidRDefault="00DA2C30" w:rsidP="00341BDA">
      <w:pPr>
        <w:pStyle w:val="u"/>
        <w:widowControl w:val="0"/>
        <w:numPr>
          <w:ilvl w:val="12"/>
          <w:numId w:val="0"/>
        </w:numPr>
        <w:spacing w:after="120"/>
        <w:ind w:left="561"/>
        <w:jc w:val="left"/>
        <w:rPr>
          <w:rFonts w:asciiTheme="minorHAnsi" w:hAnsiTheme="minorHAnsi" w:cs="Arial"/>
          <w:szCs w:val="22"/>
        </w:rPr>
      </w:pP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6B6C1B">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1ECA928" w:rsidR="00F766D6" w:rsidRPr="00A86E43" w:rsidRDefault="00F766D6" w:rsidP="00130AB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130AB0">
        <w:rPr>
          <w:rFonts w:asciiTheme="minorHAnsi" w:hAnsiTheme="minorHAnsi" w:cstheme="minorHAnsi"/>
          <w:szCs w:val="22"/>
        </w:rPr>
        <w:t>7</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7131CB16" w14:textId="77777777" w:rsidR="00F6667B" w:rsidRPr="00A86E43" w:rsidRDefault="00F6667B" w:rsidP="00F6667B">
      <w:pPr>
        <w:pStyle w:val="u"/>
        <w:widowControl w:val="0"/>
        <w:numPr>
          <w:ilvl w:val="0"/>
          <w:numId w:val="8"/>
        </w:numPr>
        <w:rPr>
          <w:rFonts w:asciiTheme="minorHAnsi" w:hAnsiTheme="minorHAnsi" w:cstheme="minorHAnsi"/>
          <w:szCs w:val="22"/>
        </w:rPr>
      </w:pPr>
      <w:bookmarkStart w:id="34" w:name="_Toc390691470"/>
      <w:bookmarkStart w:id="35" w:name="_Toc392669641"/>
      <w:bookmarkStart w:id="36" w:name="_Toc126921989"/>
      <w:r>
        <w:rPr>
          <w:rFonts w:asciiTheme="minorHAnsi" w:hAnsiTheme="minorHAnsi" w:cstheme="minorHAnsi"/>
          <w:szCs w:val="22"/>
        </w:rPr>
        <w:t>Cheffe de projet</w:t>
      </w:r>
    </w:p>
    <w:p w14:paraId="1E490461" w14:textId="77777777" w:rsidR="00F6667B" w:rsidRPr="00A86E43" w:rsidRDefault="00F6667B" w:rsidP="00F6667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CFE7105" w14:textId="28880378" w:rsidR="00F766D6" w:rsidRPr="00A86E43" w:rsidRDefault="00F766D6" w:rsidP="00341BDA">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30E9F39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296C2115"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Cheffe de projet</w:t>
      </w:r>
    </w:p>
    <w:p w14:paraId="5363F9B3" w14:textId="7E2B52EB"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13A6ACED"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p w14:paraId="3F04471A" w14:textId="77777777" w:rsidR="00AC307B" w:rsidRPr="00AC307B" w:rsidRDefault="00AC307B" w:rsidP="00AC307B">
      <w:pPr>
        <w:spacing w:after="160" w:line="240" w:lineRule="auto"/>
        <w:jc w:val="both"/>
        <w:outlineLvl w:val="1"/>
        <w:rPr>
          <w:rFonts w:eastAsia="Times New Roman" w:cs="Arial"/>
          <w:lang w:eastAsia="en-US"/>
        </w:rPr>
      </w:pPr>
      <w:r w:rsidRPr="00AC307B">
        <w:rPr>
          <w:rFonts w:eastAsia="Times New Roman" w:cs="Arial"/>
          <w:lang w:eastAsia="en-US"/>
        </w:rPr>
        <w:t>Les dates de remise des livrables sont prévisionnelles.</w:t>
      </w:r>
    </w:p>
    <w:p w14:paraId="22287768" w14:textId="77777777" w:rsidR="00AC307B" w:rsidRPr="00AC307B" w:rsidRDefault="00AC307B" w:rsidP="00AC307B">
      <w:pPr>
        <w:spacing w:after="160" w:line="240" w:lineRule="auto"/>
        <w:jc w:val="both"/>
        <w:outlineLvl w:val="1"/>
        <w:rPr>
          <w:rFonts w:eastAsia="Times New Roman" w:cs="Arial"/>
          <w:lang w:eastAsia="en-US"/>
        </w:rPr>
      </w:pPr>
      <w:r w:rsidRPr="00AC307B">
        <w:rPr>
          <w:rFonts w:eastAsia="Times New Roman" w:cs="Arial"/>
          <w:lang w:eastAsia="en-US"/>
        </w:rPr>
        <w:t>T0 = OCTOBRE 2025</w:t>
      </w:r>
    </w:p>
    <w:p w14:paraId="057984C9" w14:textId="77777777" w:rsidR="00AC307B" w:rsidRPr="00AC307B" w:rsidRDefault="00AC307B" w:rsidP="00AC307B">
      <w:pPr>
        <w:spacing w:after="160" w:line="240" w:lineRule="auto"/>
        <w:jc w:val="both"/>
        <w:outlineLvl w:val="1"/>
        <w:rPr>
          <w:rFonts w:eastAsia="Times New Roman" w:cs="Arial"/>
          <w:lang w:eastAsia="en-US"/>
        </w:rPr>
      </w:pPr>
      <w:r w:rsidRPr="00AC307B">
        <w:rPr>
          <w:rFonts w:eastAsia="Times New Roman" w:cs="Arial"/>
          <w:lang w:eastAsia="en-US"/>
        </w:rPr>
        <w:t>T1 = JANVIER 2026</w:t>
      </w:r>
    </w:p>
    <w:p w14:paraId="21E7C8BF" w14:textId="77777777" w:rsidR="00AC307B" w:rsidRPr="00AC307B" w:rsidRDefault="00AC307B" w:rsidP="00AC307B">
      <w:pPr>
        <w:spacing w:after="160" w:line="240" w:lineRule="auto"/>
        <w:jc w:val="both"/>
        <w:outlineLvl w:val="1"/>
        <w:rPr>
          <w:rFonts w:eastAsia="Times New Roman" w:cs="Arial"/>
          <w:lang w:eastAsia="en-US"/>
        </w:rPr>
      </w:pPr>
      <w:r w:rsidRPr="00AC307B">
        <w:rPr>
          <w:rFonts w:eastAsia="Times New Roman" w:cs="Arial"/>
          <w:lang w:eastAsia="en-US"/>
        </w:rPr>
        <w:t>T2 = FEVRIER 2027</w:t>
      </w:r>
    </w:p>
    <w:tbl>
      <w:tblPr>
        <w:tblW w:w="8916" w:type="dxa"/>
        <w:tblInd w:w="5" w:type="dxa"/>
        <w:tblBorders>
          <w:top w:val="single" w:sz="8" w:space="0" w:color="44546A"/>
          <w:left w:val="single" w:sz="8" w:space="0" w:color="44546A"/>
          <w:bottom w:val="single" w:sz="8" w:space="0" w:color="44546A"/>
          <w:right w:val="single" w:sz="8" w:space="0" w:color="44546A"/>
          <w:insideH w:val="single" w:sz="8" w:space="0" w:color="44546A"/>
          <w:insideV w:val="single" w:sz="8" w:space="0" w:color="44546A"/>
        </w:tblBorders>
        <w:tblLayout w:type="fixed"/>
        <w:tblLook w:val="0400" w:firstRow="0" w:lastRow="0" w:firstColumn="0" w:lastColumn="0" w:noHBand="0" w:noVBand="1"/>
      </w:tblPr>
      <w:tblGrid>
        <w:gridCol w:w="978"/>
        <w:gridCol w:w="283"/>
        <w:gridCol w:w="5670"/>
        <w:gridCol w:w="1985"/>
      </w:tblGrid>
      <w:tr w:rsidR="00AC307B" w:rsidRPr="00AC307B" w14:paraId="4DA3B273" w14:textId="77777777" w:rsidTr="00AC307B">
        <w:trPr>
          <w:trHeight w:val="182"/>
        </w:trPr>
        <w:tc>
          <w:tcPr>
            <w:tcW w:w="1261" w:type="dxa"/>
            <w:gridSpan w:val="2"/>
            <w:tcBorders>
              <w:top w:val="single" w:sz="8" w:space="0" w:color="44546A"/>
              <w:left w:val="single" w:sz="8" w:space="0" w:color="44546A"/>
              <w:bottom w:val="single" w:sz="8" w:space="0" w:color="44546A"/>
              <w:right w:val="single" w:sz="8" w:space="0" w:color="44546A"/>
            </w:tcBorders>
            <w:shd w:val="clear" w:color="auto" w:fill="0F243E"/>
            <w:vAlign w:val="center"/>
          </w:tcPr>
          <w:p w14:paraId="540D03EE" w14:textId="77777777" w:rsidR="00AC307B" w:rsidRPr="00AC307B" w:rsidRDefault="00AC307B" w:rsidP="00AC307B">
            <w:pPr>
              <w:spacing w:after="160" w:line="240" w:lineRule="auto"/>
              <w:jc w:val="center"/>
              <w:rPr>
                <w:rFonts w:eastAsia="Calibri" w:cs="Arial"/>
                <w:b/>
                <w:lang w:eastAsia="en-US"/>
              </w:rPr>
            </w:pPr>
            <w:r w:rsidRPr="00AC307B">
              <w:rPr>
                <w:rFonts w:eastAsia="Calibri" w:cs="Arial"/>
                <w:b/>
                <w:lang w:eastAsia="en-US"/>
              </w:rPr>
              <w:t>Livrables</w:t>
            </w:r>
          </w:p>
        </w:tc>
        <w:tc>
          <w:tcPr>
            <w:tcW w:w="5670"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125C9250" w14:textId="77777777" w:rsidR="00AC307B" w:rsidRPr="00AC307B" w:rsidRDefault="00AC307B" w:rsidP="00AC307B">
            <w:pPr>
              <w:spacing w:after="160" w:line="240" w:lineRule="auto"/>
              <w:rPr>
                <w:rFonts w:eastAsia="Calibri" w:cs="Arial"/>
                <w:b/>
                <w:lang w:eastAsia="en-US"/>
              </w:rPr>
            </w:pPr>
            <w:r w:rsidRPr="00AC307B">
              <w:rPr>
                <w:rFonts w:eastAsia="Calibri" w:cs="Arial"/>
                <w:b/>
                <w:lang w:eastAsia="en-US"/>
              </w:rPr>
              <w:t>Intitulé</w:t>
            </w:r>
          </w:p>
        </w:tc>
        <w:tc>
          <w:tcPr>
            <w:tcW w:w="1985"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0465BA2B" w14:textId="77777777" w:rsidR="00AC307B" w:rsidRPr="00AC307B" w:rsidRDefault="00AC307B" w:rsidP="00AC307B">
            <w:pPr>
              <w:spacing w:after="160" w:line="240" w:lineRule="auto"/>
              <w:jc w:val="center"/>
              <w:rPr>
                <w:rFonts w:eastAsia="Calibri" w:cs="Arial"/>
                <w:b/>
                <w:lang w:eastAsia="en-US"/>
              </w:rPr>
            </w:pPr>
            <w:r w:rsidRPr="00AC307B">
              <w:rPr>
                <w:rFonts w:eastAsia="Calibri" w:cs="Arial"/>
                <w:b/>
                <w:lang w:eastAsia="en-US"/>
              </w:rPr>
              <w:t>Date de remise des livrables (indicatif)</w:t>
            </w:r>
          </w:p>
        </w:tc>
      </w:tr>
      <w:tr w:rsidR="00AC307B" w:rsidRPr="00AC307B" w14:paraId="0A8AEA85" w14:textId="77777777" w:rsidTr="00AC307B">
        <w:trPr>
          <w:trHeight w:val="373"/>
        </w:trPr>
        <w:tc>
          <w:tcPr>
            <w:tcW w:w="6931" w:type="dxa"/>
            <w:gridSpan w:val="3"/>
            <w:shd w:val="clear" w:color="auto" w:fill="DBE5F1"/>
            <w:vAlign w:val="center"/>
          </w:tcPr>
          <w:p w14:paraId="1C01D3C6" w14:textId="77777777" w:rsidR="00AC307B" w:rsidRPr="00AC307B" w:rsidRDefault="00AC307B" w:rsidP="00AC307B">
            <w:pPr>
              <w:numPr>
                <w:ilvl w:val="0"/>
                <w:numId w:val="25"/>
              </w:numPr>
              <w:spacing w:after="160" w:line="240" w:lineRule="auto"/>
              <w:contextualSpacing/>
              <w:jc w:val="both"/>
              <w:rPr>
                <w:rFonts w:eastAsia="Calibri" w:cs="Arial"/>
                <w:b/>
                <w:lang w:eastAsia="en-US"/>
              </w:rPr>
            </w:pPr>
            <w:r w:rsidRPr="00AC307B">
              <w:rPr>
                <w:rFonts w:eastAsia="Calibri" w:cs="Arial"/>
                <w:b/>
                <w:lang w:eastAsia="en-US"/>
              </w:rPr>
              <w:t>Préparation des missions d’assistance technique (octobre 2025 à janvier 2026)</w:t>
            </w:r>
          </w:p>
        </w:tc>
        <w:tc>
          <w:tcPr>
            <w:tcW w:w="1985" w:type="dxa"/>
            <w:shd w:val="clear" w:color="auto" w:fill="DBE5F1"/>
            <w:vAlign w:val="center"/>
          </w:tcPr>
          <w:p w14:paraId="0D261F49" w14:textId="77777777" w:rsidR="00AC307B" w:rsidRPr="00AC307B" w:rsidRDefault="00AC307B" w:rsidP="00AC307B">
            <w:pPr>
              <w:spacing w:after="160" w:line="240" w:lineRule="auto"/>
              <w:jc w:val="center"/>
              <w:rPr>
                <w:rFonts w:eastAsia="Calibri" w:cs="Arial"/>
                <w:b/>
                <w:lang w:eastAsia="en-US"/>
              </w:rPr>
            </w:pPr>
            <w:r w:rsidRPr="00AC307B">
              <w:rPr>
                <w:rFonts w:eastAsia="Calibri" w:cs="Arial"/>
                <w:b/>
                <w:lang w:eastAsia="en-US"/>
              </w:rPr>
              <w:t>T0 +  4 mois</w:t>
            </w:r>
          </w:p>
        </w:tc>
      </w:tr>
      <w:tr w:rsidR="00AC307B" w:rsidRPr="00AC307B" w14:paraId="1D93083A" w14:textId="77777777" w:rsidTr="00AC307B">
        <w:trPr>
          <w:trHeight w:val="535"/>
        </w:trPr>
        <w:tc>
          <w:tcPr>
            <w:tcW w:w="978" w:type="dxa"/>
            <w:shd w:val="clear" w:color="auto" w:fill="auto"/>
            <w:vAlign w:val="center"/>
          </w:tcPr>
          <w:p w14:paraId="0E53B03C"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L1.1</w:t>
            </w:r>
          </w:p>
        </w:tc>
        <w:tc>
          <w:tcPr>
            <w:tcW w:w="5953" w:type="dxa"/>
            <w:gridSpan w:val="2"/>
            <w:shd w:val="clear" w:color="auto" w:fill="auto"/>
            <w:vAlign w:val="center"/>
          </w:tcPr>
          <w:p w14:paraId="3B9C9EF3" w14:textId="77777777" w:rsidR="00AC307B" w:rsidRPr="00AC307B" w:rsidRDefault="00AC307B" w:rsidP="00AC307B">
            <w:pPr>
              <w:spacing w:line="240" w:lineRule="auto"/>
              <w:jc w:val="both"/>
              <w:rPr>
                <w:rFonts w:eastAsia="Calibri" w:cs="Arial"/>
                <w:lang w:eastAsia="en-US"/>
              </w:rPr>
            </w:pPr>
            <w:r w:rsidRPr="00AC307B">
              <w:rPr>
                <w:rFonts w:eastAsia="Calibri" w:cs="Arial"/>
                <w:lang w:eastAsia="en-US"/>
              </w:rPr>
              <w:t xml:space="preserve">Une note de cadrage, incluant a minima la méthodologie avec les révisions nécessaires et le calendrier prévisionnel à jour </w:t>
            </w:r>
          </w:p>
        </w:tc>
        <w:tc>
          <w:tcPr>
            <w:tcW w:w="1985" w:type="dxa"/>
            <w:shd w:val="clear" w:color="auto" w:fill="auto"/>
            <w:vAlign w:val="center"/>
          </w:tcPr>
          <w:p w14:paraId="028AB01D"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T0 +   1 mois</w:t>
            </w:r>
          </w:p>
        </w:tc>
      </w:tr>
      <w:tr w:rsidR="00AC307B" w:rsidRPr="00AC307B" w14:paraId="29735FBB" w14:textId="77777777" w:rsidTr="00AC307B">
        <w:trPr>
          <w:trHeight w:val="535"/>
        </w:trPr>
        <w:tc>
          <w:tcPr>
            <w:tcW w:w="978" w:type="dxa"/>
            <w:shd w:val="clear" w:color="auto" w:fill="auto"/>
            <w:vAlign w:val="center"/>
          </w:tcPr>
          <w:p w14:paraId="2CAF5BAF"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L1.2</w:t>
            </w:r>
          </w:p>
        </w:tc>
        <w:tc>
          <w:tcPr>
            <w:tcW w:w="5953" w:type="dxa"/>
            <w:gridSpan w:val="2"/>
            <w:shd w:val="clear" w:color="auto" w:fill="auto"/>
            <w:vAlign w:val="center"/>
          </w:tcPr>
          <w:p w14:paraId="5E5D2569" w14:textId="77777777" w:rsidR="00AC307B" w:rsidRPr="00AC307B" w:rsidRDefault="00AC307B" w:rsidP="00AC307B">
            <w:pPr>
              <w:spacing w:line="240" w:lineRule="auto"/>
              <w:jc w:val="both"/>
              <w:rPr>
                <w:rFonts w:eastAsia="Calibri" w:cs="Arial"/>
                <w:lang w:eastAsia="en-US"/>
              </w:rPr>
            </w:pPr>
            <w:r w:rsidRPr="00AC307B">
              <w:rPr>
                <w:rFonts w:eastAsia="Calibri" w:cs="Arial"/>
                <w:lang w:eastAsia="en-US"/>
              </w:rPr>
              <w:t>Un rapport de diagnostic</w:t>
            </w:r>
          </w:p>
        </w:tc>
        <w:tc>
          <w:tcPr>
            <w:tcW w:w="1985" w:type="dxa"/>
            <w:shd w:val="clear" w:color="auto" w:fill="auto"/>
            <w:vAlign w:val="center"/>
          </w:tcPr>
          <w:p w14:paraId="36710902"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T0 +  3 mois</w:t>
            </w:r>
          </w:p>
        </w:tc>
      </w:tr>
      <w:tr w:rsidR="00AC307B" w:rsidRPr="00AC307B" w14:paraId="23318AC7" w14:textId="77777777" w:rsidTr="00AC307B">
        <w:trPr>
          <w:trHeight w:val="535"/>
        </w:trPr>
        <w:tc>
          <w:tcPr>
            <w:tcW w:w="978" w:type="dxa"/>
            <w:shd w:val="clear" w:color="auto" w:fill="auto"/>
            <w:vAlign w:val="center"/>
          </w:tcPr>
          <w:p w14:paraId="4A2C3FC8"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lastRenderedPageBreak/>
              <w:t>L1.3</w:t>
            </w:r>
          </w:p>
        </w:tc>
        <w:tc>
          <w:tcPr>
            <w:tcW w:w="5953" w:type="dxa"/>
            <w:gridSpan w:val="2"/>
            <w:shd w:val="clear" w:color="auto" w:fill="auto"/>
            <w:vAlign w:val="center"/>
          </w:tcPr>
          <w:p w14:paraId="1E97B400" w14:textId="77777777" w:rsidR="00AC307B" w:rsidRPr="00AC307B" w:rsidRDefault="00AC307B" w:rsidP="00AC307B">
            <w:pPr>
              <w:spacing w:line="240" w:lineRule="auto"/>
              <w:jc w:val="both"/>
              <w:rPr>
                <w:rFonts w:eastAsia="Calibri" w:cs="Arial"/>
                <w:lang w:eastAsia="en-US"/>
              </w:rPr>
            </w:pPr>
            <w:r w:rsidRPr="00AC307B">
              <w:rPr>
                <w:rFonts w:eastAsia="Arial" w:cs="Arial"/>
                <w:color w:val="000000"/>
                <w:lang w:eastAsia="en-US"/>
              </w:rPr>
              <w:t>Un benchmark des pratiques et des outils utilisés par les investisseurs dans d’autres pays pour financer des projets verts </w:t>
            </w:r>
          </w:p>
        </w:tc>
        <w:tc>
          <w:tcPr>
            <w:tcW w:w="1985" w:type="dxa"/>
            <w:shd w:val="clear" w:color="auto" w:fill="auto"/>
            <w:vAlign w:val="center"/>
          </w:tcPr>
          <w:p w14:paraId="3CE11D65"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T0 + 3 mois</w:t>
            </w:r>
          </w:p>
        </w:tc>
      </w:tr>
      <w:tr w:rsidR="00AC307B" w:rsidRPr="00AC307B" w14:paraId="4D76EEB5" w14:textId="77777777" w:rsidTr="00AC307B">
        <w:trPr>
          <w:trHeight w:val="535"/>
        </w:trPr>
        <w:tc>
          <w:tcPr>
            <w:tcW w:w="978" w:type="dxa"/>
            <w:shd w:val="clear" w:color="auto" w:fill="auto"/>
            <w:vAlign w:val="center"/>
          </w:tcPr>
          <w:p w14:paraId="3EA5BB07"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L1.4</w:t>
            </w:r>
          </w:p>
        </w:tc>
        <w:tc>
          <w:tcPr>
            <w:tcW w:w="5953" w:type="dxa"/>
            <w:gridSpan w:val="2"/>
            <w:shd w:val="clear" w:color="auto" w:fill="auto"/>
            <w:vAlign w:val="center"/>
          </w:tcPr>
          <w:p w14:paraId="7704C100" w14:textId="77777777" w:rsidR="00AC307B" w:rsidRPr="00AC307B" w:rsidRDefault="00AC307B" w:rsidP="00AC307B">
            <w:pPr>
              <w:spacing w:line="240" w:lineRule="auto"/>
              <w:jc w:val="both"/>
              <w:rPr>
                <w:rFonts w:eastAsia="Calibri" w:cs="Arial"/>
                <w:lang w:eastAsia="en-US"/>
              </w:rPr>
            </w:pPr>
            <w:r w:rsidRPr="00AC307B">
              <w:rPr>
                <w:rFonts w:eastAsia="Calibri" w:cs="Arial"/>
                <w:lang w:eastAsia="en-US"/>
              </w:rPr>
              <w:t>Un plan d’action détaillé de la mise en œuvre de l’appui technique</w:t>
            </w:r>
          </w:p>
        </w:tc>
        <w:tc>
          <w:tcPr>
            <w:tcW w:w="1985" w:type="dxa"/>
            <w:shd w:val="clear" w:color="auto" w:fill="auto"/>
            <w:vAlign w:val="center"/>
          </w:tcPr>
          <w:p w14:paraId="0C6D0574"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T0 +   4 mois</w:t>
            </w:r>
          </w:p>
        </w:tc>
      </w:tr>
      <w:tr w:rsidR="00AC307B" w:rsidRPr="00AC307B" w14:paraId="1E170296" w14:textId="77777777" w:rsidTr="00AC307B">
        <w:trPr>
          <w:trHeight w:val="400"/>
        </w:trPr>
        <w:tc>
          <w:tcPr>
            <w:tcW w:w="6931" w:type="dxa"/>
            <w:gridSpan w:val="3"/>
            <w:shd w:val="clear" w:color="auto" w:fill="DBE5F1"/>
            <w:vAlign w:val="center"/>
          </w:tcPr>
          <w:p w14:paraId="66B07F1A" w14:textId="77777777" w:rsidR="00AC307B" w:rsidRPr="00AC307B" w:rsidRDefault="00AC307B" w:rsidP="00AC307B">
            <w:pPr>
              <w:numPr>
                <w:ilvl w:val="0"/>
                <w:numId w:val="25"/>
              </w:numPr>
              <w:spacing w:after="160" w:line="240" w:lineRule="auto"/>
              <w:contextualSpacing/>
              <w:jc w:val="both"/>
              <w:rPr>
                <w:rFonts w:eastAsia="Calibri" w:cs="Arial"/>
                <w:b/>
                <w:lang w:eastAsia="en-US"/>
              </w:rPr>
            </w:pPr>
            <w:r w:rsidRPr="00AC307B">
              <w:rPr>
                <w:rFonts w:eastAsia="Calibri" w:cs="Arial"/>
                <w:b/>
                <w:lang w:eastAsia="en-US"/>
              </w:rPr>
              <w:t>Déploiement de la mission d’assistance technique (janvier 2026 à janvier 2027)</w:t>
            </w:r>
          </w:p>
        </w:tc>
        <w:tc>
          <w:tcPr>
            <w:tcW w:w="1985" w:type="dxa"/>
            <w:shd w:val="clear" w:color="auto" w:fill="DBE5F1"/>
            <w:vAlign w:val="center"/>
          </w:tcPr>
          <w:p w14:paraId="1C08F11F" w14:textId="77777777" w:rsidR="00AC307B" w:rsidRPr="00AC307B" w:rsidRDefault="00AC307B" w:rsidP="00AC307B">
            <w:pPr>
              <w:spacing w:after="160" w:line="240" w:lineRule="auto"/>
              <w:jc w:val="center"/>
              <w:rPr>
                <w:rFonts w:eastAsia="Calibri" w:cs="Arial"/>
                <w:b/>
                <w:lang w:eastAsia="en-US"/>
              </w:rPr>
            </w:pPr>
            <w:r w:rsidRPr="00AC307B">
              <w:rPr>
                <w:rFonts w:eastAsia="Calibri" w:cs="Arial"/>
                <w:b/>
                <w:lang w:eastAsia="en-US"/>
              </w:rPr>
              <w:t>T1 + 12 mois</w:t>
            </w:r>
          </w:p>
        </w:tc>
      </w:tr>
      <w:tr w:rsidR="00AC307B" w:rsidRPr="00AC307B" w14:paraId="2D7E8DCE" w14:textId="77777777" w:rsidTr="00AC307B">
        <w:trPr>
          <w:trHeight w:val="400"/>
        </w:trPr>
        <w:tc>
          <w:tcPr>
            <w:tcW w:w="978" w:type="dxa"/>
            <w:shd w:val="clear" w:color="auto" w:fill="auto"/>
            <w:vAlign w:val="center"/>
          </w:tcPr>
          <w:p w14:paraId="73CB038A"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L2.1</w:t>
            </w:r>
          </w:p>
        </w:tc>
        <w:tc>
          <w:tcPr>
            <w:tcW w:w="5953" w:type="dxa"/>
            <w:gridSpan w:val="2"/>
            <w:shd w:val="clear" w:color="auto" w:fill="auto"/>
            <w:vAlign w:val="center"/>
          </w:tcPr>
          <w:p w14:paraId="4E53B72C" w14:textId="77777777" w:rsidR="00AC307B" w:rsidRPr="00AC307B" w:rsidRDefault="00AC307B" w:rsidP="00AC307B">
            <w:pPr>
              <w:spacing w:after="160" w:line="240" w:lineRule="auto"/>
              <w:jc w:val="both"/>
              <w:rPr>
                <w:rFonts w:eastAsia="Calibri" w:cs="Arial"/>
                <w:lang w:eastAsia="en-US"/>
              </w:rPr>
            </w:pPr>
            <w:r w:rsidRPr="00AC307B">
              <w:rPr>
                <w:rFonts w:eastAsia="Calibri" w:cs="Arial"/>
                <w:lang w:eastAsia="en-US"/>
              </w:rPr>
              <w:t xml:space="preserve">Un rapport de mission d’avancée intermédiaire </w:t>
            </w:r>
          </w:p>
        </w:tc>
        <w:tc>
          <w:tcPr>
            <w:tcW w:w="1985" w:type="dxa"/>
            <w:shd w:val="clear" w:color="auto" w:fill="auto"/>
            <w:vAlign w:val="center"/>
          </w:tcPr>
          <w:p w14:paraId="7CA6FE81"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T1 + 6  mois</w:t>
            </w:r>
          </w:p>
        </w:tc>
      </w:tr>
      <w:tr w:rsidR="00AC307B" w:rsidRPr="00AC307B" w14:paraId="291E366A" w14:textId="77777777" w:rsidTr="00AC307B">
        <w:trPr>
          <w:trHeight w:val="400"/>
        </w:trPr>
        <w:tc>
          <w:tcPr>
            <w:tcW w:w="978" w:type="dxa"/>
            <w:shd w:val="clear" w:color="auto" w:fill="auto"/>
            <w:vAlign w:val="center"/>
          </w:tcPr>
          <w:p w14:paraId="6B12E3E3" w14:textId="364E313D" w:rsidR="00AC307B" w:rsidRPr="00AC307B" w:rsidRDefault="007221FF" w:rsidP="00AC307B">
            <w:pPr>
              <w:spacing w:after="160" w:line="240" w:lineRule="auto"/>
              <w:jc w:val="center"/>
              <w:rPr>
                <w:rFonts w:eastAsia="Calibri" w:cs="Arial"/>
                <w:lang w:eastAsia="en-US"/>
              </w:rPr>
            </w:pPr>
            <w:r>
              <w:rPr>
                <w:rFonts w:eastAsia="Calibri" w:cs="Arial"/>
                <w:lang w:eastAsia="en-US"/>
              </w:rPr>
              <w:t>L2.2</w:t>
            </w:r>
          </w:p>
        </w:tc>
        <w:tc>
          <w:tcPr>
            <w:tcW w:w="5953" w:type="dxa"/>
            <w:gridSpan w:val="2"/>
            <w:shd w:val="clear" w:color="auto" w:fill="auto"/>
            <w:vAlign w:val="center"/>
          </w:tcPr>
          <w:p w14:paraId="4EBD6351" w14:textId="77777777" w:rsidR="00AC307B" w:rsidRPr="00AC307B" w:rsidRDefault="00AC307B" w:rsidP="00AC307B">
            <w:pPr>
              <w:pBdr>
                <w:top w:val="nil"/>
                <w:left w:val="nil"/>
                <w:bottom w:val="nil"/>
                <w:right w:val="nil"/>
                <w:between w:val="nil"/>
              </w:pBdr>
              <w:spacing w:before="120" w:after="120" w:line="240" w:lineRule="auto"/>
              <w:jc w:val="both"/>
              <w:rPr>
                <w:rFonts w:eastAsia="Arial" w:cs="Arial"/>
                <w:lang w:eastAsia="en-US"/>
              </w:rPr>
            </w:pPr>
            <w:r w:rsidRPr="00AC307B">
              <w:rPr>
                <w:rFonts w:eastAsia="Arial" w:cs="Arial"/>
                <w:lang w:eastAsia="en-US"/>
              </w:rPr>
              <w:t>Un outil de formalisation des procédures et/ou pratiques pour chaque acteur-ciblé </w:t>
            </w:r>
          </w:p>
        </w:tc>
        <w:tc>
          <w:tcPr>
            <w:tcW w:w="1985" w:type="dxa"/>
            <w:shd w:val="clear" w:color="auto" w:fill="auto"/>
            <w:vAlign w:val="center"/>
          </w:tcPr>
          <w:p w14:paraId="5297EAF9"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T1 + 10 mois</w:t>
            </w:r>
          </w:p>
        </w:tc>
      </w:tr>
      <w:tr w:rsidR="00AC307B" w:rsidRPr="00AC307B" w14:paraId="241A9F90" w14:textId="77777777" w:rsidTr="00AC307B">
        <w:trPr>
          <w:trHeight w:val="400"/>
        </w:trPr>
        <w:tc>
          <w:tcPr>
            <w:tcW w:w="978" w:type="dxa"/>
            <w:shd w:val="clear" w:color="auto" w:fill="auto"/>
            <w:vAlign w:val="center"/>
          </w:tcPr>
          <w:p w14:paraId="071A3FD3" w14:textId="17F42B79" w:rsidR="00AC307B" w:rsidRPr="00AC307B" w:rsidRDefault="007221FF" w:rsidP="00AC307B">
            <w:pPr>
              <w:spacing w:after="160" w:line="240" w:lineRule="auto"/>
              <w:jc w:val="center"/>
              <w:rPr>
                <w:rFonts w:eastAsia="Calibri" w:cs="Arial"/>
                <w:lang w:eastAsia="en-US"/>
              </w:rPr>
            </w:pPr>
            <w:r>
              <w:rPr>
                <w:rFonts w:eastAsia="Calibri" w:cs="Arial"/>
                <w:lang w:eastAsia="en-US"/>
              </w:rPr>
              <w:t>L2.3</w:t>
            </w:r>
          </w:p>
        </w:tc>
        <w:tc>
          <w:tcPr>
            <w:tcW w:w="5953" w:type="dxa"/>
            <w:gridSpan w:val="2"/>
            <w:shd w:val="clear" w:color="auto" w:fill="auto"/>
            <w:vAlign w:val="center"/>
          </w:tcPr>
          <w:p w14:paraId="150F47CA" w14:textId="77777777" w:rsidR="00AC307B" w:rsidRPr="00AC307B" w:rsidRDefault="00AC307B" w:rsidP="00AC307B">
            <w:pPr>
              <w:spacing w:after="160" w:line="240" w:lineRule="auto"/>
              <w:jc w:val="both"/>
              <w:rPr>
                <w:rFonts w:eastAsia="Calibri" w:cs="Arial"/>
                <w:lang w:eastAsia="en-US"/>
              </w:rPr>
            </w:pPr>
            <w:r w:rsidRPr="00AC307B">
              <w:rPr>
                <w:rFonts w:eastAsia="Arial" w:cs="Arial"/>
                <w:lang w:eastAsia="en-US"/>
              </w:rPr>
              <w:t xml:space="preserve">8 rapports narratifs post-sessions de mises en relation, soit un pour chaque action, incluant : supports de présentation, liste de présences, résultats obtenus (dont le nombre de participant.es et répartition par genre, gouvernorat de résidence, tranche d’âge, et type d’acteur) et recommandations. – les rapports seront remis au fil de l’eau. </w:t>
            </w:r>
          </w:p>
        </w:tc>
        <w:tc>
          <w:tcPr>
            <w:tcW w:w="1985" w:type="dxa"/>
            <w:shd w:val="clear" w:color="auto" w:fill="auto"/>
            <w:vAlign w:val="center"/>
          </w:tcPr>
          <w:p w14:paraId="0641C476"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T1 + 12 mois</w:t>
            </w:r>
          </w:p>
        </w:tc>
      </w:tr>
      <w:tr w:rsidR="00AC307B" w:rsidRPr="00AC307B" w14:paraId="32CDEEEE" w14:textId="77777777" w:rsidTr="00AC307B">
        <w:trPr>
          <w:trHeight w:val="400"/>
        </w:trPr>
        <w:tc>
          <w:tcPr>
            <w:tcW w:w="978" w:type="dxa"/>
            <w:shd w:val="clear" w:color="auto" w:fill="auto"/>
            <w:vAlign w:val="center"/>
          </w:tcPr>
          <w:p w14:paraId="2C680FBC" w14:textId="12532D2A" w:rsidR="00AC307B" w:rsidRPr="00AC307B" w:rsidRDefault="007221FF" w:rsidP="00AC307B">
            <w:pPr>
              <w:spacing w:after="160" w:line="240" w:lineRule="auto"/>
              <w:jc w:val="center"/>
              <w:rPr>
                <w:rFonts w:eastAsia="Calibri" w:cs="Arial"/>
                <w:lang w:eastAsia="en-US"/>
              </w:rPr>
            </w:pPr>
            <w:r>
              <w:rPr>
                <w:rFonts w:eastAsia="Calibri" w:cs="Arial"/>
                <w:lang w:eastAsia="en-US"/>
              </w:rPr>
              <w:t>L2.4</w:t>
            </w:r>
          </w:p>
        </w:tc>
        <w:tc>
          <w:tcPr>
            <w:tcW w:w="5953" w:type="dxa"/>
            <w:gridSpan w:val="2"/>
            <w:shd w:val="clear" w:color="auto" w:fill="auto"/>
            <w:vAlign w:val="center"/>
          </w:tcPr>
          <w:p w14:paraId="2F307085" w14:textId="77777777" w:rsidR="00AC307B" w:rsidRPr="00AC307B" w:rsidRDefault="00AC307B" w:rsidP="00AC307B">
            <w:pPr>
              <w:pBdr>
                <w:top w:val="nil"/>
                <w:left w:val="nil"/>
                <w:bottom w:val="nil"/>
                <w:right w:val="nil"/>
                <w:between w:val="nil"/>
              </w:pBdr>
              <w:spacing w:before="120" w:after="120" w:line="240" w:lineRule="auto"/>
              <w:jc w:val="both"/>
              <w:rPr>
                <w:rFonts w:eastAsia="Arial" w:cs="Arial"/>
                <w:lang w:eastAsia="en-US"/>
              </w:rPr>
            </w:pPr>
            <w:r w:rsidRPr="00AC307B">
              <w:rPr>
                <w:rFonts w:eastAsia="Arial" w:cs="Arial"/>
                <w:lang w:eastAsia="en-US"/>
              </w:rPr>
              <w:t xml:space="preserve">Si visite d’étude pour l’axe de la mise en relation entre investisseurs internationaux et leurs homologues locaux : termes de références, agenda et rapport de mission de la visite ; </w:t>
            </w:r>
          </w:p>
        </w:tc>
        <w:tc>
          <w:tcPr>
            <w:tcW w:w="1985" w:type="dxa"/>
            <w:shd w:val="clear" w:color="auto" w:fill="auto"/>
            <w:vAlign w:val="center"/>
          </w:tcPr>
          <w:p w14:paraId="70597442"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T1 + 12 mois</w:t>
            </w:r>
          </w:p>
        </w:tc>
      </w:tr>
      <w:tr w:rsidR="00AC307B" w:rsidRPr="00AC307B" w14:paraId="39709B4F" w14:textId="77777777" w:rsidTr="00AC307B">
        <w:trPr>
          <w:trHeight w:val="400"/>
        </w:trPr>
        <w:tc>
          <w:tcPr>
            <w:tcW w:w="978" w:type="dxa"/>
            <w:shd w:val="clear" w:color="auto" w:fill="auto"/>
            <w:vAlign w:val="center"/>
          </w:tcPr>
          <w:p w14:paraId="2153EA1E" w14:textId="6D8D72FE" w:rsidR="00AC307B" w:rsidRPr="00AC307B" w:rsidRDefault="007221FF" w:rsidP="00AC307B">
            <w:pPr>
              <w:spacing w:after="160" w:line="240" w:lineRule="auto"/>
              <w:jc w:val="center"/>
              <w:rPr>
                <w:rFonts w:eastAsia="Calibri" w:cs="Arial"/>
                <w:lang w:eastAsia="en-US"/>
              </w:rPr>
            </w:pPr>
            <w:r>
              <w:rPr>
                <w:rFonts w:eastAsia="Calibri" w:cs="Arial"/>
                <w:lang w:eastAsia="en-US"/>
              </w:rPr>
              <w:t>L2.5</w:t>
            </w:r>
          </w:p>
        </w:tc>
        <w:tc>
          <w:tcPr>
            <w:tcW w:w="5953" w:type="dxa"/>
            <w:gridSpan w:val="2"/>
            <w:shd w:val="clear" w:color="auto" w:fill="auto"/>
            <w:vAlign w:val="center"/>
          </w:tcPr>
          <w:p w14:paraId="2B494995" w14:textId="77777777" w:rsidR="00AC307B" w:rsidRPr="00AC307B" w:rsidRDefault="00AC307B" w:rsidP="00AC307B">
            <w:pPr>
              <w:spacing w:after="160" w:line="240" w:lineRule="auto"/>
              <w:jc w:val="both"/>
              <w:rPr>
                <w:rFonts w:eastAsia="Calibri" w:cs="Arial"/>
                <w:lang w:eastAsia="en-US"/>
              </w:rPr>
            </w:pPr>
            <w:r w:rsidRPr="00AC307B">
              <w:rPr>
                <w:rFonts w:eastAsia="Calibri" w:cs="Arial"/>
                <w:lang w:eastAsia="en-US"/>
              </w:rPr>
              <w:t>Un rapport de mission finale (un par cible – donc au moins 4)</w:t>
            </w:r>
          </w:p>
        </w:tc>
        <w:tc>
          <w:tcPr>
            <w:tcW w:w="1985" w:type="dxa"/>
            <w:shd w:val="clear" w:color="auto" w:fill="auto"/>
            <w:vAlign w:val="center"/>
          </w:tcPr>
          <w:p w14:paraId="359893F3"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T1 + 12 mois</w:t>
            </w:r>
          </w:p>
        </w:tc>
      </w:tr>
      <w:tr w:rsidR="00AC307B" w:rsidRPr="00AC307B" w14:paraId="34E3E867" w14:textId="77777777" w:rsidTr="00AC307B">
        <w:trPr>
          <w:trHeight w:val="400"/>
        </w:trPr>
        <w:tc>
          <w:tcPr>
            <w:tcW w:w="6931" w:type="dxa"/>
            <w:gridSpan w:val="3"/>
            <w:shd w:val="clear" w:color="auto" w:fill="DBE5F1"/>
            <w:vAlign w:val="center"/>
          </w:tcPr>
          <w:p w14:paraId="3002EADC" w14:textId="77777777" w:rsidR="00AC307B" w:rsidRPr="00AC307B" w:rsidRDefault="00AC307B" w:rsidP="00AC307B">
            <w:pPr>
              <w:numPr>
                <w:ilvl w:val="0"/>
                <w:numId w:val="25"/>
              </w:numPr>
              <w:spacing w:after="160" w:line="240" w:lineRule="auto"/>
              <w:contextualSpacing/>
              <w:rPr>
                <w:rFonts w:eastAsia="Calibri" w:cs="Arial"/>
                <w:b/>
                <w:lang w:eastAsia="en-US"/>
              </w:rPr>
            </w:pPr>
            <w:r w:rsidRPr="00AC307B">
              <w:rPr>
                <w:rFonts w:eastAsia="Calibri" w:cs="Arial"/>
                <w:b/>
                <w:lang w:eastAsia="en-US"/>
              </w:rPr>
              <w:t>Capitalisation et clôture de la mission d’appui technique (février 2027 à mars 2027)</w:t>
            </w:r>
          </w:p>
        </w:tc>
        <w:tc>
          <w:tcPr>
            <w:tcW w:w="1985" w:type="dxa"/>
            <w:shd w:val="clear" w:color="auto" w:fill="DBE5F1"/>
            <w:vAlign w:val="center"/>
          </w:tcPr>
          <w:p w14:paraId="7AF8C67F" w14:textId="77777777" w:rsidR="00AC307B" w:rsidRPr="00AC307B" w:rsidRDefault="00AC307B" w:rsidP="00AC307B">
            <w:pPr>
              <w:spacing w:after="160" w:line="240" w:lineRule="auto"/>
              <w:jc w:val="center"/>
              <w:rPr>
                <w:rFonts w:eastAsia="Calibri" w:cs="Arial"/>
                <w:b/>
                <w:lang w:eastAsia="en-US"/>
              </w:rPr>
            </w:pPr>
            <w:r w:rsidRPr="00AC307B">
              <w:rPr>
                <w:rFonts w:eastAsia="Calibri" w:cs="Arial"/>
                <w:b/>
                <w:lang w:eastAsia="en-US"/>
              </w:rPr>
              <w:t>T2 + 2 mois</w:t>
            </w:r>
          </w:p>
        </w:tc>
      </w:tr>
      <w:tr w:rsidR="00AC307B" w:rsidRPr="00AC307B" w14:paraId="575D424B" w14:textId="77777777" w:rsidTr="00AC307B">
        <w:trPr>
          <w:trHeight w:val="320"/>
        </w:trPr>
        <w:tc>
          <w:tcPr>
            <w:tcW w:w="978" w:type="dxa"/>
            <w:shd w:val="clear" w:color="auto" w:fill="auto"/>
            <w:vAlign w:val="center"/>
          </w:tcPr>
          <w:p w14:paraId="26579169"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L3.1</w:t>
            </w:r>
          </w:p>
        </w:tc>
        <w:tc>
          <w:tcPr>
            <w:tcW w:w="5953" w:type="dxa"/>
            <w:gridSpan w:val="2"/>
            <w:shd w:val="clear" w:color="auto" w:fill="auto"/>
            <w:vAlign w:val="center"/>
          </w:tcPr>
          <w:p w14:paraId="08722265" w14:textId="77777777" w:rsidR="00AC307B" w:rsidRPr="00AC307B" w:rsidRDefault="00AC307B" w:rsidP="00AC307B">
            <w:pPr>
              <w:pBdr>
                <w:top w:val="nil"/>
                <w:left w:val="nil"/>
                <w:bottom w:val="nil"/>
                <w:right w:val="nil"/>
                <w:between w:val="nil"/>
              </w:pBdr>
              <w:spacing w:before="120" w:line="240" w:lineRule="auto"/>
              <w:rPr>
                <w:rFonts w:eastAsia="Calibri" w:cs="Arial"/>
                <w:lang w:eastAsia="en-US"/>
              </w:rPr>
            </w:pPr>
            <w:r w:rsidRPr="00AC307B">
              <w:rPr>
                <w:rFonts w:eastAsia="Calibri" w:cs="Arial"/>
                <w:lang w:eastAsia="en-US"/>
              </w:rPr>
              <w:t xml:space="preserve">Un rapport provisoire de suivi-évaluation et capitalisation </w:t>
            </w:r>
          </w:p>
        </w:tc>
        <w:tc>
          <w:tcPr>
            <w:tcW w:w="1985" w:type="dxa"/>
            <w:shd w:val="clear" w:color="auto" w:fill="auto"/>
            <w:vAlign w:val="center"/>
          </w:tcPr>
          <w:p w14:paraId="1D9E277A" w14:textId="77777777" w:rsidR="00AC307B" w:rsidRPr="00AC307B" w:rsidRDefault="00AC307B" w:rsidP="00AC307B">
            <w:pPr>
              <w:widowControl w:val="0"/>
              <w:pBdr>
                <w:top w:val="nil"/>
                <w:left w:val="nil"/>
                <w:bottom w:val="nil"/>
                <w:right w:val="nil"/>
                <w:between w:val="nil"/>
              </w:pBdr>
              <w:spacing w:after="160" w:line="240" w:lineRule="auto"/>
              <w:jc w:val="center"/>
              <w:rPr>
                <w:rFonts w:eastAsia="Calibri" w:cs="Arial"/>
                <w:bCs/>
                <w:lang w:eastAsia="en-US"/>
              </w:rPr>
            </w:pPr>
            <w:r w:rsidRPr="00AC307B">
              <w:rPr>
                <w:rFonts w:eastAsia="Calibri" w:cs="Arial"/>
                <w:bCs/>
                <w:lang w:eastAsia="en-US"/>
              </w:rPr>
              <w:t xml:space="preserve">T2 + 1 mois  </w:t>
            </w:r>
          </w:p>
        </w:tc>
      </w:tr>
      <w:tr w:rsidR="00AC307B" w:rsidRPr="00AC307B" w14:paraId="4E11CFAA" w14:textId="77777777" w:rsidTr="00AC307B">
        <w:trPr>
          <w:trHeight w:val="320"/>
        </w:trPr>
        <w:tc>
          <w:tcPr>
            <w:tcW w:w="978" w:type="dxa"/>
            <w:shd w:val="clear" w:color="auto" w:fill="auto"/>
            <w:vAlign w:val="center"/>
          </w:tcPr>
          <w:p w14:paraId="2FC52252"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L3.2</w:t>
            </w:r>
          </w:p>
        </w:tc>
        <w:tc>
          <w:tcPr>
            <w:tcW w:w="5953" w:type="dxa"/>
            <w:gridSpan w:val="2"/>
            <w:shd w:val="clear" w:color="auto" w:fill="auto"/>
            <w:vAlign w:val="center"/>
          </w:tcPr>
          <w:p w14:paraId="38C26CEB" w14:textId="77777777" w:rsidR="00AC307B" w:rsidRPr="00AC307B" w:rsidRDefault="00AC307B" w:rsidP="00AC307B">
            <w:pPr>
              <w:spacing w:after="160" w:line="240" w:lineRule="auto"/>
              <w:jc w:val="both"/>
              <w:rPr>
                <w:rFonts w:eastAsia="Calibri" w:cs="Arial"/>
                <w:lang w:eastAsia="en-US"/>
              </w:rPr>
            </w:pPr>
            <w:r w:rsidRPr="00AC307B">
              <w:rPr>
                <w:rFonts w:eastAsia="Calibri" w:cs="Arial"/>
                <w:lang w:eastAsia="en-US"/>
              </w:rPr>
              <w:t xml:space="preserve">Une restitution finale des résultats et enseignements au COPIL </w:t>
            </w:r>
          </w:p>
        </w:tc>
        <w:tc>
          <w:tcPr>
            <w:tcW w:w="1985" w:type="dxa"/>
            <w:shd w:val="clear" w:color="auto" w:fill="auto"/>
            <w:vAlign w:val="center"/>
          </w:tcPr>
          <w:p w14:paraId="15D95801" w14:textId="77777777" w:rsidR="00AC307B" w:rsidRPr="00AC307B" w:rsidRDefault="00AC307B" w:rsidP="00AC307B">
            <w:pPr>
              <w:widowControl w:val="0"/>
              <w:pBdr>
                <w:top w:val="nil"/>
                <w:left w:val="nil"/>
                <w:bottom w:val="nil"/>
                <w:right w:val="nil"/>
                <w:between w:val="nil"/>
              </w:pBdr>
              <w:spacing w:after="160" w:line="240" w:lineRule="auto"/>
              <w:jc w:val="center"/>
              <w:rPr>
                <w:rFonts w:eastAsia="Calibri" w:cs="Arial"/>
                <w:bCs/>
                <w:lang w:eastAsia="en-US"/>
              </w:rPr>
            </w:pPr>
            <w:r w:rsidRPr="00AC307B">
              <w:rPr>
                <w:rFonts w:eastAsia="Calibri" w:cs="Arial"/>
                <w:bCs/>
                <w:lang w:eastAsia="en-US"/>
              </w:rPr>
              <w:t>T2 +  1 mois</w:t>
            </w:r>
          </w:p>
        </w:tc>
      </w:tr>
      <w:tr w:rsidR="00AC307B" w:rsidRPr="00AC307B" w14:paraId="1675BA87" w14:textId="77777777" w:rsidTr="00AC307B">
        <w:trPr>
          <w:trHeight w:val="320"/>
        </w:trPr>
        <w:tc>
          <w:tcPr>
            <w:tcW w:w="978" w:type="dxa"/>
            <w:shd w:val="clear" w:color="auto" w:fill="auto"/>
            <w:vAlign w:val="center"/>
          </w:tcPr>
          <w:p w14:paraId="1C589A88" w14:textId="77777777" w:rsidR="00AC307B" w:rsidRPr="00AC307B" w:rsidRDefault="00AC307B" w:rsidP="00AC307B">
            <w:pPr>
              <w:spacing w:after="160" w:line="240" w:lineRule="auto"/>
              <w:jc w:val="center"/>
              <w:rPr>
                <w:rFonts w:eastAsia="Calibri" w:cs="Arial"/>
                <w:lang w:eastAsia="en-US"/>
              </w:rPr>
            </w:pPr>
            <w:r w:rsidRPr="00AC307B">
              <w:rPr>
                <w:rFonts w:eastAsia="Calibri" w:cs="Arial"/>
                <w:lang w:eastAsia="en-US"/>
              </w:rPr>
              <w:t>L3.3</w:t>
            </w:r>
          </w:p>
        </w:tc>
        <w:tc>
          <w:tcPr>
            <w:tcW w:w="5953" w:type="dxa"/>
            <w:gridSpan w:val="2"/>
            <w:shd w:val="clear" w:color="auto" w:fill="auto"/>
            <w:vAlign w:val="center"/>
          </w:tcPr>
          <w:p w14:paraId="0E2D0ADB" w14:textId="77777777" w:rsidR="00AC307B" w:rsidRPr="00AC307B" w:rsidRDefault="00AC307B" w:rsidP="00AC307B">
            <w:pPr>
              <w:spacing w:after="160" w:line="240" w:lineRule="auto"/>
              <w:jc w:val="both"/>
              <w:rPr>
                <w:rFonts w:eastAsia="Times New Roman" w:cs="Arial"/>
                <w:lang w:eastAsia="en-US"/>
              </w:rPr>
            </w:pPr>
            <w:r w:rsidRPr="00AC307B">
              <w:rPr>
                <w:rFonts w:eastAsia="Times New Roman" w:cs="Arial"/>
                <w:lang w:eastAsia="en-US"/>
              </w:rPr>
              <w:t>Un rapport final de suivi-évaluation et capitalisation</w:t>
            </w:r>
          </w:p>
        </w:tc>
        <w:tc>
          <w:tcPr>
            <w:tcW w:w="1985" w:type="dxa"/>
            <w:shd w:val="clear" w:color="auto" w:fill="auto"/>
            <w:vAlign w:val="center"/>
          </w:tcPr>
          <w:p w14:paraId="710636EB" w14:textId="77777777" w:rsidR="00AC307B" w:rsidRPr="00AC307B" w:rsidRDefault="00AC307B" w:rsidP="00AC307B">
            <w:pPr>
              <w:widowControl w:val="0"/>
              <w:pBdr>
                <w:top w:val="nil"/>
                <w:left w:val="nil"/>
                <w:bottom w:val="nil"/>
                <w:right w:val="nil"/>
                <w:between w:val="nil"/>
              </w:pBdr>
              <w:spacing w:after="160" w:line="240" w:lineRule="auto"/>
              <w:jc w:val="center"/>
              <w:rPr>
                <w:rFonts w:eastAsia="Calibri" w:cs="Arial"/>
                <w:bCs/>
                <w:lang w:eastAsia="en-US"/>
              </w:rPr>
            </w:pPr>
            <w:r w:rsidRPr="00AC307B">
              <w:rPr>
                <w:rFonts w:eastAsia="Calibri" w:cs="Arial"/>
                <w:bCs/>
                <w:lang w:eastAsia="en-US"/>
              </w:rPr>
              <w:t>T2 + 2 mois</w:t>
            </w:r>
          </w:p>
        </w:tc>
      </w:tr>
    </w:tbl>
    <w:p w14:paraId="7C44BD03" w14:textId="77777777" w:rsidR="00AC307B" w:rsidRPr="00AC307B" w:rsidRDefault="00AC307B" w:rsidP="00AC307B"/>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2A8B5034" w:rsidR="00E25D2D" w:rsidRPr="00A86E43" w:rsidRDefault="005563C9" w:rsidP="00BC28CB">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BC28CB">
        <w:rPr>
          <w:rFonts w:asciiTheme="minorHAnsi" w:hAnsiTheme="minorHAnsi" w:cstheme="minorHAnsi"/>
          <w:szCs w:val="22"/>
        </w:rPr>
        <w:t>Tunisie</w:t>
      </w:r>
      <w:r w:rsidR="007221FF">
        <w:rPr>
          <w:rFonts w:asciiTheme="minorHAnsi" w:hAnsiTheme="minorHAnsi" w:cstheme="minorHAnsi"/>
          <w:szCs w:val="22"/>
        </w:rPr>
        <w:t xml:space="preserve"> et/ou à distance</w:t>
      </w:r>
      <w:r w:rsidR="00BC28CB">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6B6C1B">
      <w:pPr>
        <w:pStyle w:val="u"/>
        <w:widowControl w:val="0"/>
        <w:numPr>
          <w:ilvl w:val="0"/>
          <w:numId w:val="8"/>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6B6C1B">
      <w:pPr>
        <w:pStyle w:val="u"/>
        <w:widowControl w:val="0"/>
        <w:numPr>
          <w:ilvl w:val="0"/>
          <w:numId w:val="8"/>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86E43" w:rsidRDefault="00E25860"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1223326" w14:textId="45120145" w:rsidR="00F6667B" w:rsidRPr="00F6667B" w:rsidRDefault="00F6667B" w:rsidP="00F6667B">
            <w:pPr>
              <w:widowControl w:val="0"/>
              <w:numPr>
                <w:ilvl w:val="12"/>
                <w:numId w:val="0"/>
              </w:numPr>
              <w:spacing w:line="240" w:lineRule="auto"/>
              <w:rPr>
                <w:rFonts w:asciiTheme="minorHAnsi" w:hAnsiTheme="minorHAnsi" w:cstheme="minorHAnsi"/>
                <w:sz w:val="22"/>
                <w:szCs w:val="22"/>
              </w:rPr>
            </w:pPr>
            <w:r w:rsidRPr="00F6667B">
              <w:rPr>
                <w:rFonts w:asciiTheme="minorHAnsi" w:hAnsiTheme="minorHAnsi" w:cstheme="minorHAnsi"/>
                <w:sz w:val="22"/>
                <w:szCs w:val="22"/>
              </w:rPr>
              <w:t>Cheffe de projet</w:t>
            </w:r>
          </w:p>
          <w:p w14:paraId="2FC7BD2B" w14:textId="01DBEC92" w:rsidR="00F6667B" w:rsidRDefault="00D83D43" w:rsidP="00F6667B">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Jennifer JONES CHAPET</w:t>
            </w:r>
          </w:p>
          <w:p w14:paraId="38DD0932" w14:textId="6F9B3185" w:rsidR="00D07897" w:rsidRPr="00F6667B" w:rsidRDefault="00D07897" w:rsidP="00F6667B">
            <w:pPr>
              <w:widowControl w:val="0"/>
              <w:numPr>
                <w:ilvl w:val="12"/>
                <w:numId w:val="0"/>
              </w:numPr>
              <w:spacing w:line="240" w:lineRule="auto"/>
              <w:jc w:val="both"/>
              <w:rPr>
                <w:rFonts w:asciiTheme="minorHAnsi" w:hAnsiTheme="minorHAnsi" w:cstheme="minorHAnsi"/>
                <w:sz w:val="22"/>
                <w:szCs w:val="22"/>
              </w:rPr>
            </w:pPr>
            <w:r w:rsidRPr="00F6667B">
              <w:rPr>
                <w:rFonts w:asciiTheme="minorHAnsi" w:hAnsiTheme="minorHAnsi" w:cstheme="minorHAnsi"/>
                <w:sz w:val="22"/>
                <w:szCs w:val="22"/>
              </w:rPr>
              <w:t xml:space="preserve">Département </w:t>
            </w:r>
            <w:r w:rsidR="00BC28CB" w:rsidRPr="00F6667B">
              <w:rPr>
                <w:rFonts w:asciiTheme="minorHAnsi" w:hAnsiTheme="minorHAnsi" w:cstheme="minorHAnsi"/>
                <w:sz w:val="22"/>
                <w:szCs w:val="22"/>
              </w:rPr>
              <w:t>EDI</w:t>
            </w:r>
          </w:p>
          <w:p w14:paraId="414E5990" w14:textId="77777777" w:rsidR="00BC28CB" w:rsidRPr="00BC28CB" w:rsidRDefault="00BC28CB" w:rsidP="00BC28CB">
            <w:pPr>
              <w:widowControl w:val="0"/>
              <w:numPr>
                <w:ilvl w:val="12"/>
                <w:numId w:val="0"/>
              </w:numPr>
              <w:spacing w:line="240" w:lineRule="auto"/>
              <w:rPr>
                <w:rFonts w:asciiTheme="minorHAnsi" w:hAnsiTheme="minorHAnsi" w:cstheme="minorHAnsi"/>
                <w:sz w:val="22"/>
                <w:szCs w:val="22"/>
              </w:rPr>
            </w:pPr>
            <w:r w:rsidRPr="00BC28CB">
              <w:rPr>
                <w:rFonts w:asciiTheme="minorHAnsi" w:hAnsiTheme="minorHAnsi" w:cstheme="minorHAnsi"/>
                <w:sz w:val="22"/>
                <w:szCs w:val="22"/>
              </w:rPr>
              <w:t xml:space="preserve">20 Rue Ibn Nafis – SOPIC Building </w:t>
            </w:r>
          </w:p>
          <w:p w14:paraId="011F9325" w14:textId="562CB622" w:rsidR="00D07897" w:rsidRPr="00A86E43" w:rsidRDefault="00BC28CB" w:rsidP="00BC28CB">
            <w:pPr>
              <w:widowControl w:val="0"/>
              <w:numPr>
                <w:ilvl w:val="12"/>
                <w:numId w:val="0"/>
              </w:numPr>
              <w:spacing w:line="240" w:lineRule="auto"/>
              <w:jc w:val="both"/>
              <w:rPr>
                <w:rFonts w:asciiTheme="minorHAnsi" w:hAnsiTheme="minorHAnsi" w:cstheme="minorHAnsi"/>
                <w:sz w:val="22"/>
                <w:szCs w:val="22"/>
                <w:highlight w:val="yellow"/>
              </w:rPr>
            </w:pPr>
            <w:r w:rsidRPr="00BC28CB">
              <w:rPr>
                <w:rFonts w:asciiTheme="minorHAnsi" w:hAnsiTheme="minorHAnsi" w:cstheme="minorHAnsi"/>
                <w:sz w:val="22"/>
                <w:szCs w:val="22"/>
              </w:rPr>
              <w:t>ZI Kheireddine Lac 3, Tunis</w:t>
            </w:r>
            <w:r>
              <w:rPr>
                <w:rFonts w:asciiTheme="minorHAnsi" w:hAnsiTheme="minorHAnsi" w:cstheme="minorHAnsi"/>
                <w:sz w:val="22"/>
                <w:szCs w:val="22"/>
              </w:rPr>
              <w:t>, Tunisie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viande ;</w:t>
      </w:r>
    </w:p>
    <w:p w14:paraId="305699C8"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1E270E30"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30AB0">
        <w:rPr>
          <w:rFonts w:asciiTheme="minorHAnsi" w:hAnsiTheme="minorHAnsi" w:cs="Arial"/>
          <w:smallCaps/>
          <w:szCs w:val="22"/>
        </w:rPr>
        <w:t>Expertise France</w:t>
      </w:r>
      <w:r w:rsidRPr="00130AB0">
        <w:rPr>
          <w:rFonts w:asciiTheme="minorHAnsi" w:hAnsiTheme="minorHAnsi" w:cs="Arial"/>
          <w:szCs w:val="22"/>
        </w:rPr>
        <w:t>;</w:t>
      </w:r>
    </w:p>
    <w:p w14:paraId="14FF8CBF" w14:textId="0566E2EC"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La mise à jour d’éléments techniques (précisions sur les livrables</w:t>
      </w:r>
      <w:r w:rsidR="00BC28CB" w:rsidRPr="00130AB0">
        <w:rPr>
          <w:rFonts w:asciiTheme="minorHAnsi" w:hAnsiTheme="minorHAnsi" w:cs="Arial"/>
          <w:szCs w:val="22"/>
        </w:rPr>
        <w:t xml:space="preserve"> </w:t>
      </w:r>
      <w:r w:rsidRPr="00130AB0">
        <w:rPr>
          <w:rFonts w:asciiTheme="minorHAnsi" w:hAnsiTheme="minorHAnsi" w:cs="Arial"/>
          <w:szCs w:val="22"/>
        </w:rPr>
        <w:t>…).</w:t>
      </w:r>
    </w:p>
    <w:p w14:paraId="2AC74079" w14:textId="073C5363" w:rsidR="006E576B" w:rsidRDefault="009766DB" w:rsidP="00BC28CB">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par la conclusion d’un avenant.</w:t>
      </w:r>
    </w:p>
    <w:p w14:paraId="39012791" w14:textId="77777777" w:rsidR="00C64382" w:rsidRPr="00A86E43"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lastRenderedPageBreak/>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installation, chargement, traitement, arrangement, compilation, assemblage, extraction, copie, reproduction en tout ou en partie et en un nombre illimité d'exemplaires</w:t>
      </w:r>
    </w:p>
    <w:p w14:paraId="0B2267ED" w14:textId="77777777" w:rsidR="00F42E94" w:rsidRPr="00A86E43"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5F51264C" w:rsidR="0000635E" w:rsidRPr="00A86E43" w:rsidRDefault="0000635E" w:rsidP="00130AB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130AB0">
        <w:rPr>
          <w:rFonts w:asciiTheme="minorHAnsi" w:hAnsiTheme="minorHAnsi" w:cstheme="minorHAnsi"/>
          <w:sz w:val="22"/>
          <w:szCs w:val="22"/>
        </w:rPr>
        <w:t>39</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59BB687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w:t>
      </w:r>
      <w:r w:rsidRPr="00A86E43">
        <w:rPr>
          <w:rFonts w:asciiTheme="minorHAnsi" w:eastAsia="Times New Roman" w:hAnsiTheme="minorHAnsi" w:cstheme="minorHAnsi"/>
          <w:sz w:val="22"/>
        </w:rPr>
        <w:lastRenderedPageBreak/>
        <w:t>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C1A5C0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5" w:name="_Toc69226591"/>
      <w:r w:rsidR="00BC28CB">
        <w:rPr>
          <w:rFonts w:asciiTheme="minorHAnsi" w:eastAsia="Times New Roman" w:hAnsiTheme="minorHAnsi" w:cstheme="minorHAnsi"/>
          <w:sz w:val="22"/>
        </w:rPr>
        <w:t>a CNIL.)</w:t>
      </w:r>
    </w:p>
    <w:bookmarkEnd w:id="125"/>
    <w:p w14:paraId="02EA39B7" w14:textId="346AC1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5D96AF74"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sidR="00BC28CB">
        <w:rPr>
          <w:rFonts w:asciiTheme="minorHAnsi" w:eastAsia="Times New Roman" w:hAnsiTheme="minorHAnsi" w:cstheme="minorHAnsi"/>
          <w:sz w:val="22"/>
        </w:rPr>
        <w:t>ect des dispositions précitées.</w:t>
      </w:r>
    </w:p>
    <w:p w14:paraId="7091ADDB" w14:textId="77777777" w:rsidR="002A19B9" w:rsidRPr="00A86E43"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20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6"/>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lastRenderedPageBreak/>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2024"/>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6B6C1B">
      <w:pPr>
        <w:pStyle w:val="En-tte"/>
        <w:numPr>
          <w:ilvl w:val="0"/>
          <w:numId w:val="20"/>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6B6C1B">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r w:rsidR="00F6667B">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2853A" w14:textId="77777777" w:rsidR="00B70B00" w:rsidRDefault="00B70B00">
      <w:r>
        <w:separator/>
      </w:r>
    </w:p>
  </w:endnote>
  <w:endnote w:type="continuationSeparator" w:id="0">
    <w:p w14:paraId="70B657BB" w14:textId="77777777" w:rsidR="00B70B00" w:rsidRDefault="00B70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221FF" w:rsidRDefault="007221F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9D6D337" w:rsidR="007221FF" w:rsidRDefault="007221F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F4A42">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F4A42">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7221FF" w:rsidRDefault="00B70B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221FF" w:rsidRDefault="007221F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441ABE6" w:rsidR="007221FF" w:rsidRDefault="007221F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F4A4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F4A42">
              <w:rPr>
                <w:rFonts w:asciiTheme="minorHAnsi" w:hAnsiTheme="minorHAnsi"/>
                <w:b/>
                <w:bCs/>
                <w:noProof/>
                <w:sz w:val="22"/>
                <w:szCs w:val="22"/>
              </w:rPr>
              <w:t>23</w:t>
            </w:r>
            <w:r>
              <w:rPr>
                <w:rFonts w:asciiTheme="minorHAnsi" w:hAnsiTheme="minorHAnsi"/>
                <w:b/>
                <w:bCs/>
                <w:sz w:val="22"/>
                <w:szCs w:val="22"/>
              </w:rPr>
              <w:fldChar w:fldCharType="end"/>
            </w:r>
          </w:p>
          <w:p w14:paraId="464BBB64" w14:textId="41962DF6" w:rsidR="007221FF" w:rsidRDefault="007221F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7221FF" w:rsidRDefault="007221F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7221FF" w:rsidRPr="00065565" w:rsidRDefault="007221F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221FF" w:rsidRDefault="007221FF">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221FF" w:rsidRPr="00EE0FDD" w:rsidRDefault="007221F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4411932" w:rsidR="007221FF" w:rsidRPr="00FF1F8E" w:rsidRDefault="007221F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F4A42">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F4A42">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B3A74" w14:textId="77777777" w:rsidR="00B70B00" w:rsidRDefault="00B70B00">
      <w:r>
        <w:separator/>
      </w:r>
    </w:p>
  </w:footnote>
  <w:footnote w:type="continuationSeparator" w:id="0">
    <w:p w14:paraId="38E2F4CA" w14:textId="77777777" w:rsidR="00B70B00" w:rsidRDefault="00B70B00">
      <w:r>
        <w:continuationSeparator/>
      </w:r>
    </w:p>
  </w:footnote>
  <w:footnote w:id="1">
    <w:p w14:paraId="63ABC744" w14:textId="77777777" w:rsidR="007221FF" w:rsidRPr="00A86E43" w:rsidRDefault="007221F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7221FF" w:rsidRDefault="007221F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221FF" w:rsidRPr="00707B69" w:rsidRDefault="007221F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221FF" w:rsidRPr="00AC48DD" w:rsidRDefault="007221F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221FF" w:rsidRDefault="007221F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221FF" w:rsidRPr="00AC48DD" w:rsidRDefault="007221F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221FF" w:rsidRDefault="007221F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221FF" w:rsidRDefault="007221F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221FF" w:rsidRPr="00707B69" w:rsidRDefault="007221F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221FF" w:rsidRPr="00AC48DD" w:rsidRDefault="007221F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221FF" w:rsidRDefault="007221F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221FF" w:rsidRPr="00AC48DD" w:rsidRDefault="007221F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221FF" w:rsidRPr="00707B69" w:rsidRDefault="007221F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221FF" w:rsidRPr="00AC48DD" w:rsidRDefault="007221F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221FF" w:rsidRDefault="007221F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221FF" w:rsidRPr="00996FEA" w:rsidRDefault="007221F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4"/>
  </w:num>
  <w:num w:numId="4">
    <w:abstractNumId w:val="4"/>
  </w:num>
  <w:num w:numId="5">
    <w:abstractNumId w:val="25"/>
  </w:num>
  <w:num w:numId="6">
    <w:abstractNumId w:val="8"/>
  </w:num>
  <w:num w:numId="7">
    <w:abstractNumId w:val="13"/>
  </w:num>
  <w:num w:numId="8">
    <w:abstractNumId w:val="17"/>
  </w:num>
  <w:num w:numId="9">
    <w:abstractNumId w:val="12"/>
  </w:num>
  <w:num w:numId="10">
    <w:abstractNumId w:val="38"/>
  </w:num>
  <w:num w:numId="11">
    <w:abstractNumId w:val="43"/>
  </w:num>
  <w:num w:numId="12">
    <w:abstractNumId w:val="26"/>
  </w:num>
  <w:num w:numId="13">
    <w:abstractNumId w:val="7"/>
  </w:num>
  <w:num w:numId="14">
    <w:abstractNumId w:val="36"/>
  </w:num>
  <w:num w:numId="15">
    <w:abstractNumId w:val="29"/>
  </w:num>
  <w:num w:numId="16">
    <w:abstractNumId w:val="9"/>
  </w:num>
  <w:num w:numId="17">
    <w:abstractNumId w:val="6"/>
  </w:num>
  <w:num w:numId="18">
    <w:abstractNumId w:val="23"/>
  </w:num>
  <w:num w:numId="19">
    <w:abstractNumId w:val="41"/>
  </w:num>
  <w:num w:numId="20">
    <w:abstractNumId w:val="15"/>
  </w:num>
  <w:num w:numId="21">
    <w:abstractNumId w:val="24"/>
  </w:num>
  <w:num w:numId="22">
    <w:abstractNumId w:val="19"/>
  </w:num>
  <w:num w:numId="23">
    <w:abstractNumId w:val="15"/>
  </w:num>
  <w:num w:numId="24">
    <w:abstractNumId w:val="44"/>
  </w:num>
  <w:num w:numId="25">
    <w:abstractNumId w:val="32"/>
  </w:num>
  <w:num w:numId="26">
    <w:abstractNumId w:val="40"/>
  </w:num>
  <w:num w:numId="27">
    <w:abstractNumId w:val="14"/>
  </w:num>
  <w:num w:numId="28">
    <w:abstractNumId w:val="21"/>
  </w:num>
  <w:num w:numId="29">
    <w:abstractNumId w:val="20"/>
  </w:num>
  <w:num w:numId="30">
    <w:abstractNumId w:val="45"/>
  </w:num>
  <w:num w:numId="31">
    <w:abstractNumId w:val="31"/>
  </w:num>
  <w:num w:numId="32">
    <w:abstractNumId w:val="10"/>
  </w:num>
  <w:num w:numId="33">
    <w:abstractNumId w:val="30"/>
  </w:num>
  <w:num w:numId="34">
    <w:abstractNumId w:val="27"/>
  </w:num>
  <w:num w:numId="35">
    <w:abstractNumId w:val="35"/>
  </w:num>
  <w:num w:numId="36">
    <w:abstractNumId w:val="11"/>
  </w:num>
  <w:num w:numId="37">
    <w:abstractNumId w:val="3"/>
  </w:num>
  <w:num w:numId="38">
    <w:abstractNumId w:val="42"/>
  </w:num>
  <w:num w:numId="39">
    <w:abstractNumId w:val="33"/>
  </w:num>
  <w:num w:numId="40">
    <w:abstractNumId w:val="46"/>
  </w:num>
  <w:num w:numId="41">
    <w:abstractNumId w:val="18"/>
  </w:num>
  <w:num w:numId="42">
    <w:abstractNumId w:val="22"/>
  </w:num>
  <w:num w:numId="43">
    <w:abstractNumId w:val="37"/>
  </w:num>
  <w:num w:numId="44">
    <w:abstractNumId w:val="16"/>
  </w:num>
  <w:num w:numId="45">
    <w:abstractNumId w:val="39"/>
  </w:num>
  <w:num w:numId="46">
    <w:abstractNumId w:val="28"/>
  </w:num>
  <w:num w:numId="47">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5909"/>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1FF"/>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86183"/>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908"/>
    <w:rsid w:val="008C6F83"/>
    <w:rsid w:val="008C7451"/>
    <w:rsid w:val="008D0EE4"/>
    <w:rsid w:val="008D1257"/>
    <w:rsid w:val="008D127E"/>
    <w:rsid w:val="008D2C3F"/>
    <w:rsid w:val="008E2637"/>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198A"/>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7B"/>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2F3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0B00"/>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974D9"/>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4A42"/>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4C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1BC7"/>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18560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F7036-63F1-47BC-9B57-8AA8F107C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23</Pages>
  <Words>7381</Words>
  <Characters>40601</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47887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3</cp:revision>
  <cp:lastPrinted>2014-11-19T14:39:00Z</cp:lastPrinted>
  <dcterms:created xsi:type="dcterms:W3CDTF">2025-05-21T15:12:00Z</dcterms:created>
  <dcterms:modified xsi:type="dcterms:W3CDTF">2025-05-21T15:18:00Z</dcterms:modified>
</cp:coreProperties>
</file>