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348B1E4" w:rsidR="009D60D5" w:rsidRPr="001B5605" w:rsidRDefault="00EB64C4"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760895">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592475ED" w:rsidR="00C2145A" w:rsidRPr="001B5605" w:rsidRDefault="00C2145A" w:rsidP="00DA2C30">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4A17C3">
              <w:rPr>
                <w:rFonts w:asciiTheme="minorHAnsi" w:hAnsiTheme="minorHAnsi"/>
                <w:b/>
                <w:smallCaps/>
                <w:sz w:val="24"/>
              </w:rPr>
              <w:t>25-MR4432</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5D106745" w:rsidR="00741D2D" w:rsidRPr="001B5605" w:rsidRDefault="00DA2C30" w:rsidP="0094204C">
            <w:pPr>
              <w:rPr>
                <w:rFonts w:asciiTheme="minorHAnsi" w:hAnsiTheme="minorHAnsi" w:cs="Arial"/>
                <w:sz w:val="24"/>
              </w:rPr>
            </w:pPr>
            <w:r w:rsidRPr="00DA2C30">
              <w:rPr>
                <w:rFonts w:asciiTheme="minorHAnsi" w:hAnsiTheme="minorHAnsi" w:cs="Arial"/>
                <w:sz w:val="24"/>
              </w:rPr>
              <w:t>APPUIS TECHNIQUES À DESTINATION DES ACTEURS DU CROWDFUNDING À BUT LUCRATIF EN TUNISIE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2BC72BFA" w:rsidR="00741D2D" w:rsidRPr="001B5605" w:rsidRDefault="00540DA7" w:rsidP="0094204C">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réalisées</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 xml:space="preserve">au titre du contrat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35291322" w:rsidR="00707B69" w:rsidRPr="003A13E0" w:rsidRDefault="00801ECC" w:rsidP="0094204C">
            <w:pPr>
              <w:tabs>
                <w:tab w:val="left" w:pos="510"/>
                <w:tab w:val="left" w:pos="10977"/>
              </w:tabs>
              <w:spacing w:before="120"/>
              <w:ind w:right="83"/>
              <w:jc w:val="both"/>
              <w:rPr>
                <w:rFonts w:asciiTheme="minorHAnsi" w:hAnsiTheme="minorHAnsi" w:cs="Arial"/>
                <w:sz w:val="22"/>
                <w:szCs w:val="22"/>
              </w:rPr>
            </w:pPr>
            <w:r w:rsidRPr="00E52245">
              <w:rPr>
                <w:rFonts w:asciiTheme="minorHAnsi" w:hAnsiTheme="minorHAnsi" w:cstheme="minorHAnsi"/>
                <w:sz w:val="22"/>
                <w:szCs w:val="22"/>
              </w:rPr>
              <w:t xml:space="preserve">Il est passé par </w:t>
            </w:r>
            <w:r w:rsidRPr="00E52245">
              <w:rPr>
                <w:rFonts w:asciiTheme="minorHAnsi" w:hAnsiTheme="minorHAnsi" w:cstheme="minorHAnsi"/>
                <w:sz w:val="22"/>
                <w:szCs w:val="22"/>
                <w:highlight w:val="green"/>
              </w:rPr>
              <w:t xml:space="preserve">procédure adaptée en application </w:t>
            </w:r>
            <w:r w:rsidR="00554974" w:rsidRPr="00E52245">
              <w:rPr>
                <w:rFonts w:asciiTheme="minorHAnsi" w:hAnsiTheme="minorHAnsi" w:cstheme="minorHAnsi"/>
                <w:sz w:val="22"/>
                <w:szCs w:val="22"/>
                <w:highlight w:val="green"/>
              </w:rPr>
              <w:t xml:space="preserve">des articles L. 2123-1 et </w:t>
            </w:r>
            <w:r w:rsidR="00554974" w:rsidRPr="0084564E">
              <w:rPr>
                <w:rFonts w:asciiTheme="minorHAnsi" w:hAnsiTheme="minorHAnsi" w:cstheme="minorHAnsi"/>
                <w:sz w:val="22"/>
                <w:szCs w:val="22"/>
                <w:highlight w:val="green"/>
              </w:rPr>
              <w:t>R. 2123-1 au R. 2123-7 du CCP</w:t>
            </w:r>
            <w:r w:rsidR="0094204C">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EB64C4">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EB64C4">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EB64C4">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EB64C4">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EB64C4">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EB64C4">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EB64C4">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EB64C4">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EB64C4">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EB64C4">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EB64C4">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EB64C4">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EB64C4">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EB64C4">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EB64C4">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EB64C4">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EB64C4">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EB64C4">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EB64C4">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EB64C4">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EB64C4">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EB64C4">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EB64C4">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EB64C4">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EB64C4">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EB64C4">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EB64C4">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EB64C4">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EB64C4">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EB64C4">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EB64C4">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EB64C4">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EB64C4">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EB64C4">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EB64C4">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EB64C4">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EB64C4">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EB64C4">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EB64C4">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EB64C4">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EB64C4">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EB64C4">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0D7E1A8" w:rsidR="00416A7A" w:rsidRPr="00A86E43" w:rsidRDefault="00DE1070" w:rsidP="0094204C">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0094204C" w:rsidRPr="0094204C">
        <w:rPr>
          <w:rFonts w:asciiTheme="minorHAnsi" w:hAnsiTheme="minorHAnsi" w:cs="Arial"/>
          <w:sz w:val="22"/>
        </w:rPr>
        <w:t xml:space="preserve">26/12/2022 </w:t>
      </w:r>
      <w:r w:rsidRPr="00A86E43">
        <w:rPr>
          <w:rFonts w:asciiTheme="minorHAnsi" w:hAnsiTheme="minorHAnsi" w:cs="Arial"/>
          <w:sz w:val="22"/>
        </w:rPr>
        <w:t xml:space="preserve">entre </w:t>
      </w:r>
      <w:r w:rsidR="0094204C" w:rsidRPr="0094204C">
        <w:rPr>
          <w:rFonts w:asciiTheme="minorHAnsi" w:hAnsiTheme="minorHAnsi" w:cs="Arial"/>
          <w:i/>
          <w:sz w:val="22"/>
        </w:rPr>
        <w:t xml:space="preserve">la Commission Européenne et Expertise </w:t>
      </w:r>
      <w:r w:rsidR="0094204C">
        <w:rPr>
          <w:rFonts w:asciiTheme="minorHAnsi" w:hAnsiTheme="minorHAnsi" w:cs="Arial"/>
          <w:i/>
          <w:sz w:val="22"/>
        </w:rPr>
        <w:t>France,</w:t>
      </w:r>
      <w:r w:rsidR="0094204C" w:rsidRPr="0094204C">
        <w:rPr>
          <w:rFonts w:asciiTheme="minorHAnsi" w:hAnsiTheme="minorHAnsi" w:cs="Arial"/>
          <w:i/>
          <w:sz w:val="22"/>
        </w:rPr>
        <w:t xml:space="preserve"> </w:t>
      </w:r>
      <w:r w:rsidRPr="00A86E43">
        <w:rPr>
          <w:rFonts w:asciiTheme="minorHAnsi" w:hAnsiTheme="minorHAnsi" w:cs="Arial"/>
          <w:sz w:val="22"/>
        </w:rPr>
        <w:t>portant sur « </w:t>
      </w:r>
      <w:r w:rsidR="0094204C" w:rsidRPr="0094204C">
        <w:rPr>
          <w:rFonts w:asciiTheme="minorHAnsi" w:hAnsiTheme="minorHAnsi" w:cs="Arial"/>
          <w:i/>
          <w:sz w:val="22"/>
        </w:rPr>
        <w:t>Greenov’i – EU4Innovation</w:t>
      </w:r>
      <w:r w:rsidRPr="0094204C">
        <w:rPr>
          <w:rFonts w:asciiTheme="minorHAnsi" w:hAnsiTheme="minorHAnsi" w:cs="Arial"/>
          <w:i/>
          <w:sz w:val="22"/>
        </w:rPr>
        <w:t>»</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7F825493" w:rsidR="000A6E96" w:rsidRPr="00A86E43" w:rsidRDefault="00E551F2" w:rsidP="00DA2C30">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w:t>
      </w:r>
      <w:r w:rsidR="00DA2C30">
        <w:rPr>
          <w:rFonts w:asciiTheme="minorHAnsi" w:hAnsiTheme="minorHAnsi" w:cs="Arial"/>
        </w:rPr>
        <w:t xml:space="preserve"> A</w:t>
      </w:r>
      <w:r w:rsidR="00DA2C30" w:rsidRPr="00DA2C30">
        <w:rPr>
          <w:rFonts w:asciiTheme="minorHAnsi" w:hAnsiTheme="minorHAnsi" w:cs="Arial"/>
        </w:rPr>
        <w:t xml:space="preserve">ppuis techniques à destination des acteurs du </w:t>
      </w:r>
      <w:r w:rsidR="005840BA">
        <w:rPr>
          <w:rFonts w:asciiTheme="minorHAnsi" w:hAnsiTheme="minorHAnsi" w:cs="Arial"/>
        </w:rPr>
        <w:t>crowdfunding à but lucratif en T</w:t>
      </w:r>
      <w:r w:rsidR="00DA2C30" w:rsidRPr="00DA2C30">
        <w:rPr>
          <w:rFonts w:asciiTheme="minorHAnsi" w:hAnsiTheme="minorHAnsi" w:cs="Arial"/>
        </w:rPr>
        <w:t>unisie</w:t>
      </w:r>
      <w:r w:rsidR="00DA2C30" w:rsidRPr="00A86E43">
        <w:rPr>
          <w:rFonts w:asciiTheme="minorHAnsi" w:hAnsiTheme="minorHAnsi" w:cs="Arial"/>
        </w:rPr>
        <w:t> </w:t>
      </w:r>
      <w:r w:rsidR="00F6667B" w:rsidRPr="00A86E43">
        <w:rPr>
          <w:rFonts w:asciiTheme="minorHAnsi" w:hAnsiTheme="minorHAnsi" w:cs="Arial"/>
        </w:rPr>
        <w:t>»</w:t>
      </w:r>
      <w:r w:rsidR="00DE0E61" w:rsidRPr="00A86E43">
        <w:rPr>
          <w:rFonts w:asciiTheme="minorHAnsi" w:hAnsiTheme="minorHAnsi" w:cs="Arial"/>
        </w:rPr>
        <w:t>.</w:t>
      </w:r>
    </w:p>
    <w:p w14:paraId="78C1469E" w14:textId="77777777" w:rsidR="001726C5" w:rsidRPr="00A86E43" w:rsidRDefault="001726C5" w:rsidP="006B6C1B">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6B6C1B">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6B6C1B">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6B6C1B">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56FB9097" w:rsidR="00996FEA" w:rsidRPr="00A86E43" w:rsidRDefault="00BC5A69" w:rsidP="006B6C1B">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94204C">
        <w:rPr>
          <w:rFonts w:asciiTheme="minorHAnsi" w:hAnsiTheme="minorHAnsi" w:cstheme="minorHAnsi"/>
          <w:szCs w:val="22"/>
        </w:rPr>
        <w:t>,</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6B6C1B">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5371B804" w:rsidR="00A246CE" w:rsidRPr="00A86E43" w:rsidRDefault="00804BED" w:rsidP="0094204C">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94204C">
        <w:rPr>
          <w:rFonts w:asciiTheme="minorHAnsi" w:hAnsiTheme="minorHAnsi" w:cstheme="minorHAnsi"/>
          <w:szCs w:val="22"/>
        </w:rPr>
        <w:t xml:space="preserve">marché public de </w:t>
      </w:r>
      <w:r w:rsidR="005F0451" w:rsidRPr="00A86E43">
        <w:rPr>
          <w:rFonts w:asciiTheme="minorHAnsi" w:hAnsiTheme="minorHAnsi" w:cstheme="minorHAnsi"/>
          <w:szCs w:val="22"/>
        </w:rPr>
        <w:t>services</w:t>
      </w:r>
      <w:r w:rsidR="0094204C">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94204C">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0AA098A1" w:rsidR="00413542" w:rsidRPr="00A86E43" w:rsidRDefault="00413542" w:rsidP="00CF3636">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de</w:t>
      </w:r>
      <w:r w:rsidR="008008F8">
        <w:rPr>
          <w:rFonts w:asciiTheme="minorHAnsi" w:hAnsiTheme="minorHAnsi" w:cs="Arial"/>
        </w:rPr>
        <w:t xml:space="preserve"> </w:t>
      </w:r>
      <w:r w:rsidR="00CF3636">
        <w:rPr>
          <w:rFonts w:asciiTheme="minorHAnsi" w:hAnsiTheme="minorHAnsi" w:cs="Arial"/>
        </w:rPr>
        <w:t>24</w:t>
      </w:r>
      <w:r w:rsidR="008008F8">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8008F8">
        <w:rPr>
          <w:rFonts w:asciiTheme="minorHAnsi" w:hAnsiTheme="minorHAnsi" w:cs="Arial"/>
          <w:smallCaps/>
        </w:rPr>
        <w:t>France</w:t>
      </w:r>
      <w:r w:rsidR="008008F8">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850629F" w:rsidR="001E12A9" w:rsidRPr="00A86E43" w:rsidRDefault="001E12A9" w:rsidP="0094204C">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699A1EFE" w:rsidR="001E12A9" w:rsidRPr="00A86E43" w:rsidRDefault="001E12A9" w:rsidP="00BC28CB">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94204C">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w:t>
      </w:r>
      <w:r w:rsidR="00BC28CB">
        <w:rPr>
          <w:rFonts w:asciiTheme="minorHAnsi" w:hAnsiTheme="minorHAnsi" w:cs="Arial"/>
        </w:rPr>
        <w:t>au tableau des livrables.</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6B6C1B">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0BF7BD6E" w14:textId="52C8EFC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w:t>
      </w:r>
      <w:r w:rsidR="00F6667B">
        <w:rPr>
          <w:rFonts w:asciiTheme="minorHAnsi" w:hAnsiTheme="minorHAnsi" w:cstheme="minorHAnsi"/>
          <w:szCs w:val="22"/>
          <w:highlight w:val="yellow"/>
        </w:rPr>
        <w:t xml:space="preserve"> ou TND</w:t>
      </w:r>
      <w:r w:rsidRPr="00A86E43">
        <w:rPr>
          <w:rFonts w:asciiTheme="minorHAnsi" w:hAnsiTheme="minorHAnsi" w:cstheme="minorHAnsi"/>
          <w:szCs w:val="22"/>
          <w:highlight w:val="yellow"/>
        </w:rPr>
        <w:t xml:space="preserve"> (hors taxe).</w:t>
      </w:r>
    </w:p>
    <w:p w14:paraId="3A2ACC99" w14:textId="7C27908F" w:rsidR="00123D1A" w:rsidRPr="00A86E43" w:rsidRDefault="00123D1A" w:rsidP="00341BDA">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341BDA"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0FE3ADD4" w14:textId="1329B814" w:rsidR="0089576F" w:rsidRDefault="00004AE6" w:rsidP="00341BDA">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p w14:paraId="7DF951C0" w14:textId="77777777" w:rsidR="004A17C3" w:rsidRDefault="004A17C3" w:rsidP="004A17C3">
      <w:r>
        <w:t xml:space="preserve">T0 = Septembre 2025 (indicatif) </w:t>
      </w:r>
    </w:p>
    <w:p w14:paraId="60C23426" w14:textId="77777777" w:rsidR="004A17C3" w:rsidRDefault="004A17C3" w:rsidP="004A17C3">
      <w:r>
        <w:t>T1 = Novembre 2025 (indicatif)</w:t>
      </w:r>
    </w:p>
    <w:p w14:paraId="15578A52" w14:textId="77777777" w:rsidR="004A17C3" w:rsidRDefault="004A17C3" w:rsidP="004A17C3">
      <w:r>
        <w:lastRenderedPageBreak/>
        <w:t>T2 = Mai 2027 (indicatif)</w:t>
      </w:r>
    </w:p>
    <w:tbl>
      <w:tblPr>
        <w:tblW w:w="0" w:type="auto"/>
        <w:tblCellMar>
          <w:left w:w="0" w:type="dxa"/>
          <w:right w:w="0" w:type="dxa"/>
        </w:tblCellMar>
        <w:tblLook w:val="04A0" w:firstRow="1" w:lastRow="0" w:firstColumn="1" w:lastColumn="0" w:noHBand="0" w:noVBand="1"/>
      </w:tblPr>
      <w:tblGrid>
        <w:gridCol w:w="6654"/>
        <w:gridCol w:w="2692"/>
      </w:tblGrid>
      <w:tr w:rsidR="00DA2C30" w:rsidRPr="00DA2C30" w14:paraId="553CFFE2" w14:textId="77777777" w:rsidTr="00DA2C30">
        <w:tc>
          <w:tcPr>
            <w:tcW w:w="6654"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765F30DC" w14:textId="77777777" w:rsidR="00DA2C30" w:rsidRPr="00DA2C30" w:rsidRDefault="00DA2C30" w:rsidP="00DA2C30">
            <w:pPr>
              <w:spacing w:line="240" w:lineRule="auto"/>
              <w:jc w:val="both"/>
              <w:rPr>
                <w:rFonts w:ascii="Calibri" w:eastAsia="Calibri" w:hAnsi="Calibri" w:cs="Calibri"/>
                <w:b/>
                <w:bCs/>
                <w:sz w:val="22"/>
                <w:szCs w:val="22"/>
              </w:rPr>
            </w:pPr>
            <w:bookmarkStart w:id="22" w:name="_GoBack"/>
            <w:bookmarkEnd w:id="22"/>
            <w:r w:rsidRPr="00DA2C30">
              <w:rPr>
                <w:rFonts w:ascii="Calibri" w:eastAsia="Calibri" w:hAnsi="Calibri" w:cs="Calibri"/>
                <w:b/>
                <w:bCs/>
                <w:sz w:val="22"/>
                <w:szCs w:val="22"/>
                <w:lang w:eastAsia="en-US"/>
              </w:rPr>
              <w:t>Montants de l’acompte</w:t>
            </w:r>
          </w:p>
        </w:tc>
        <w:tc>
          <w:tcPr>
            <w:tcW w:w="269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3CE26B59" w14:textId="77777777" w:rsidR="00DA2C30" w:rsidRPr="00DA2C30" w:rsidRDefault="00DA2C30" w:rsidP="00DA2C30">
            <w:pPr>
              <w:spacing w:line="240" w:lineRule="auto"/>
              <w:jc w:val="center"/>
              <w:rPr>
                <w:rFonts w:ascii="Calibri" w:eastAsia="Calibri" w:hAnsi="Calibri" w:cs="Calibri"/>
                <w:b/>
                <w:bCs/>
                <w:sz w:val="22"/>
                <w:szCs w:val="22"/>
                <w:lang w:eastAsia="en-US"/>
              </w:rPr>
            </w:pPr>
            <w:r w:rsidRPr="00DA2C30">
              <w:rPr>
                <w:rFonts w:ascii="Calibri" w:eastAsia="Calibri" w:hAnsi="Calibri" w:cs="Calibri"/>
                <w:b/>
                <w:bCs/>
                <w:sz w:val="22"/>
                <w:szCs w:val="22"/>
                <w:lang w:eastAsia="en-US"/>
              </w:rPr>
              <w:t>Date de versement</w:t>
            </w:r>
          </w:p>
        </w:tc>
      </w:tr>
      <w:tr w:rsidR="00DA2C30" w:rsidRPr="00DA2C30" w14:paraId="24ACFE19" w14:textId="77777777" w:rsidTr="00DA2C30">
        <w:tc>
          <w:tcPr>
            <w:tcW w:w="66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1770A" w14:textId="30532024" w:rsidR="00DA2C30" w:rsidRPr="00CF3636" w:rsidRDefault="00DA2C30" w:rsidP="00DA2C30">
            <w:pPr>
              <w:spacing w:line="240" w:lineRule="auto"/>
              <w:jc w:val="both"/>
              <w:rPr>
                <w:rFonts w:ascii="Calibri" w:eastAsia="Calibri" w:hAnsi="Calibri" w:cs="Calibri"/>
                <w:b/>
                <w:bCs/>
                <w:sz w:val="22"/>
                <w:szCs w:val="22"/>
                <w:lang w:eastAsia="en-US"/>
              </w:rPr>
            </w:pPr>
            <w:r w:rsidRPr="00CF3636">
              <w:rPr>
                <w:rFonts w:ascii="Calibri" w:eastAsia="Calibri" w:hAnsi="Calibri" w:cs="Calibri"/>
                <w:b/>
                <w:bCs/>
                <w:sz w:val="22"/>
                <w:szCs w:val="22"/>
                <w:lang w:eastAsia="en-US"/>
              </w:rPr>
              <w:t>20% du montant du contrat à la livraison des livrables 1 (</w:t>
            </w:r>
            <w:r w:rsidR="00CF3636" w:rsidRPr="00CF3636">
              <w:rPr>
                <w:rFonts w:ascii="Calibri" w:eastAsia="Calibri" w:hAnsi="Calibri" w:cs="Calibri"/>
                <w:b/>
                <w:bCs/>
                <w:sz w:val="22"/>
                <w:szCs w:val="22"/>
                <w:lang w:eastAsia="en-US"/>
              </w:rPr>
              <w:t>L1.1</w:t>
            </w:r>
            <w:r w:rsidR="00CF3636">
              <w:rPr>
                <w:rFonts w:ascii="Calibri" w:eastAsia="Calibri" w:hAnsi="Calibri" w:cs="Calibri"/>
                <w:b/>
                <w:bCs/>
                <w:sz w:val="22"/>
                <w:szCs w:val="22"/>
                <w:lang w:eastAsia="en-US"/>
              </w:rPr>
              <w:t> ;</w:t>
            </w:r>
            <w:r w:rsidR="00CF3636">
              <w:t xml:space="preserve"> </w:t>
            </w:r>
            <w:r w:rsidR="00CF3636" w:rsidRPr="00CF3636">
              <w:rPr>
                <w:rFonts w:ascii="Calibri" w:eastAsia="Calibri" w:hAnsi="Calibri" w:cs="Calibri"/>
                <w:b/>
                <w:bCs/>
                <w:sz w:val="22"/>
                <w:szCs w:val="22"/>
                <w:lang w:eastAsia="en-US"/>
              </w:rPr>
              <w:t>L1.2</w:t>
            </w:r>
            <w:r w:rsidR="00CF3636">
              <w:rPr>
                <w:rFonts w:ascii="Calibri" w:eastAsia="Calibri" w:hAnsi="Calibri" w:cs="Calibri"/>
                <w:b/>
                <w:bCs/>
                <w:sz w:val="22"/>
                <w:szCs w:val="22"/>
                <w:lang w:eastAsia="en-US"/>
              </w:rPr>
              <w:t xml:space="preserve"> ; </w:t>
            </w:r>
            <w:r w:rsidR="00CF3636" w:rsidRPr="00CF3636">
              <w:rPr>
                <w:rFonts w:ascii="Calibri" w:eastAsia="Calibri" w:hAnsi="Calibri" w:cs="Calibri"/>
                <w:b/>
                <w:bCs/>
                <w:sz w:val="22"/>
                <w:szCs w:val="22"/>
                <w:lang w:eastAsia="en-US"/>
              </w:rPr>
              <w:t>L1.3</w:t>
            </w:r>
            <w:r w:rsidR="00CF3636">
              <w:rPr>
                <w:rFonts w:ascii="Calibri" w:eastAsia="Calibri" w:hAnsi="Calibri" w:cs="Calibri"/>
                <w:b/>
                <w:bCs/>
                <w:sz w:val="22"/>
                <w:szCs w:val="22"/>
                <w:lang w:eastAsia="en-US"/>
              </w:rPr>
              <w:t xml:space="preserve"> </w:t>
            </w:r>
            <w:r w:rsidRPr="00DA2C30">
              <w:rPr>
                <w:rFonts w:ascii="Calibri" w:eastAsia="Calibri" w:hAnsi="Calibri" w:cs="Calibri"/>
                <w:b/>
                <w:bCs/>
                <w:sz w:val="22"/>
                <w:szCs w:val="22"/>
                <w:lang w:eastAsia="en-US"/>
              </w:rPr>
              <w:t>Cadrage et élaboration du programme d’assistance technique</w:t>
            </w:r>
            <w:r>
              <w:rPr>
                <w:rFonts w:ascii="Calibri" w:eastAsia="Calibri" w:hAnsi="Calibri" w:cs="Calibri"/>
                <w:b/>
                <w:bCs/>
                <w:sz w:val="22"/>
                <w:szCs w:val="22"/>
                <w:lang w:eastAsia="en-US"/>
              </w:rPr>
              <w:t>)</w:t>
            </w:r>
          </w:p>
        </w:tc>
        <w:tc>
          <w:tcPr>
            <w:tcW w:w="2692" w:type="dxa"/>
            <w:tcBorders>
              <w:top w:val="nil"/>
              <w:left w:val="nil"/>
              <w:bottom w:val="single" w:sz="8" w:space="0" w:color="auto"/>
              <w:right w:val="single" w:sz="8" w:space="0" w:color="auto"/>
            </w:tcBorders>
            <w:tcMar>
              <w:top w:w="0" w:type="dxa"/>
              <w:left w:w="108" w:type="dxa"/>
              <w:bottom w:w="0" w:type="dxa"/>
              <w:right w:w="108" w:type="dxa"/>
            </w:tcMar>
            <w:hideMark/>
          </w:tcPr>
          <w:p w14:paraId="24B090BA" w14:textId="77777777" w:rsidR="00DA2C30" w:rsidRPr="00DA2C30" w:rsidRDefault="00DA2C30" w:rsidP="00DA2C30">
            <w:pPr>
              <w:spacing w:line="240" w:lineRule="auto"/>
              <w:jc w:val="center"/>
              <w:rPr>
                <w:rFonts w:ascii="Calibri" w:eastAsia="Calibri" w:hAnsi="Calibri" w:cs="Calibri"/>
                <w:b/>
                <w:bCs/>
                <w:sz w:val="22"/>
                <w:szCs w:val="22"/>
                <w:lang w:eastAsia="en-US"/>
              </w:rPr>
            </w:pPr>
            <w:r w:rsidRPr="00DA2C30">
              <w:rPr>
                <w:rFonts w:ascii="Calibri" w:eastAsia="Calibri" w:hAnsi="Calibri" w:cs="Calibri"/>
                <w:b/>
                <w:bCs/>
                <w:sz w:val="22"/>
                <w:szCs w:val="22"/>
                <w:lang w:eastAsia="en-US"/>
              </w:rPr>
              <w:t xml:space="preserve">T0 + 2 mois </w:t>
            </w:r>
          </w:p>
        </w:tc>
      </w:tr>
      <w:tr w:rsidR="00DA2C30" w:rsidRPr="00DA2C30" w14:paraId="78702408" w14:textId="77777777" w:rsidTr="00DA2C30">
        <w:tc>
          <w:tcPr>
            <w:tcW w:w="66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9CC659" w14:textId="0A567127" w:rsidR="00DA2C30" w:rsidRPr="00CF3636" w:rsidRDefault="00DA2C30" w:rsidP="00DA2C30">
            <w:pPr>
              <w:spacing w:line="240" w:lineRule="auto"/>
              <w:jc w:val="both"/>
              <w:rPr>
                <w:rFonts w:ascii="Calibri" w:eastAsia="Calibri" w:hAnsi="Calibri" w:cs="Calibri"/>
                <w:b/>
                <w:bCs/>
                <w:sz w:val="22"/>
                <w:szCs w:val="22"/>
                <w:lang w:eastAsia="en-US"/>
              </w:rPr>
            </w:pPr>
            <w:r w:rsidRPr="00CF3636">
              <w:rPr>
                <w:rFonts w:ascii="Calibri" w:eastAsia="Calibri" w:hAnsi="Calibri" w:cs="Calibri"/>
                <w:b/>
                <w:bCs/>
                <w:sz w:val="22"/>
                <w:szCs w:val="22"/>
                <w:lang w:eastAsia="en-US"/>
              </w:rPr>
              <w:t>20% du montant du contrat à la livraison de ces livrables 2 (</w:t>
            </w:r>
            <w:r w:rsidR="00CF3636" w:rsidRPr="00CF3636">
              <w:rPr>
                <w:rFonts w:ascii="Calibri" w:eastAsia="Calibri" w:hAnsi="Calibri" w:cs="Calibri"/>
                <w:b/>
                <w:bCs/>
                <w:sz w:val="22"/>
                <w:szCs w:val="22"/>
                <w:lang w:eastAsia="en-US"/>
              </w:rPr>
              <w:t>L2.1</w:t>
            </w:r>
            <w:r w:rsidR="00CF3636">
              <w:rPr>
                <w:rFonts w:ascii="Calibri" w:eastAsia="Calibri" w:hAnsi="Calibri" w:cs="Calibri"/>
                <w:b/>
                <w:bCs/>
                <w:sz w:val="22"/>
                <w:szCs w:val="22"/>
                <w:lang w:eastAsia="en-US"/>
              </w:rPr>
              <w:t xml:space="preserve"> ; L2.2 </w:t>
            </w:r>
            <w:r w:rsidRPr="00DA2C30">
              <w:rPr>
                <w:rFonts w:ascii="Calibri" w:eastAsia="Calibri" w:hAnsi="Calibri" w:cs="Calibri"/>
                <w:b/>
                <w:bCs/>
                <w:sz w:val="22"/>
                <w:szCs w:val="22"/>
                <w:lang w:eastAsia="en-US"/>
              </w:rPr>
              <w:t>Premier</w:t>
            </w:r>
            <w:r>
              <w:rPr>
                <w:rFonts w:ascii="Calibri" w:eastAsia="Calibri" w:hAnsi="Calibri" w:cs="Calibri"/>
                <w:b/>
                <w:bCs/>
                <w:sz w:val="22"/>
                <w:szCs w:val="22"/>
                <w:lang w:eastAsia="en-US"/>
              </w:rPr>
              <w:t xml:space="preserve"> et deuxième</w:t>
            </w:r>
            <w:r w:rsidRPr="00DA2C30">
              <w:rPr>
                <w:rFonts w:ascii="Calibri" w:eastAsia="Calibri" w:hAnsi="Calibri" w:cs="Calibri"/>
                <w:b/>
                <w:bCs/>
                <w:sz w:val="22"/>
                <w:szCs w:val="22"/>
                <w:lang w:eastAsia="en-US"/>
              </w:rPr>
              <w:t xml:space="preserve"> rapport</w:t>
            </w:r>
            <w:r>
              <w:rPr>
                <w:rFonts w:ascii="Calibri" w:eastAsia="Calibri" w:hAnsi="Calibri" w:cs="Calibri"/>
                <w:b/>
                <w:bCs/>
                <w:sz w:val="22"/>
                <w:szCs w:val="22"/>
                <w:lang w:eastAsia="en-US"/>
              </w:rPr>
              <w:t>s</w:t>
            </w:r>
            <w:r w:rsidRPr="00DA2C30">
              <w:rPr>
                <w:rFonts w:ascii="Calibri" w:eastAsia="Calibri" w:hAnsi="Calibri" w:cs="Calibri"/>
                <w:b/>
                <w:bCs/>
                <w:sz w:val="22"/>
                <w:szCs w:val="22"/>
                <w:lang w:eastAsia="en-US"/>
              </w:rPr>
              <w:t xml:space="preserve"> de mission d’avancée intermédiaire</w:t>
            </w:r>
            <w:r w:rsidRPr="00CF3636">
              <w:rPr>
                <w:rFonts w:ascii="Calibri" w:eastAsia="Calibri" w:hAnsi="Calibri" w:cs="Calibri"/>
                <w:b/>
                <w:bCs/>
                <w:sz w:val="22"/>
                <w:szCs w:val="22"/>
                <w:lang w:eastAsia="en-US"/>
              </w:rPr>
              <w:t>)</w:t>
            </w:r>
          </w:p>
        </w:tc>
        <w:tc>
          <w:tcPr>
            <w:tcW w:w="2692" w:type="dxa"/>
            <w:tcBorders>
              <w:top w:val="nil"/>
              <w:left w:val="nil"/>
              <w:bottom w:val="single" w:sz="8" w:space="0" w:color="auto"/>
              <w:right w:val="single" w:sz="8" w:space="0" w:color="auto"/>
            </w:tcBorders>
            <w:tcMar>
              <w:top w:w="0" w:type="dxa"/>
              <w:left w:w="108" w:type="dxa"/>
              <w:bottom w:w="0" w:type="dxa"/>
              <w:right w:w="108" w:type="dxa"/>
            </w:tcMar>
            <w:hideMark/>
          </w:tcPr>
          <w:p w14:paraId="6871FFD3" w14:textId="77777777" w:rsidR="00DA2C30" w:rsidRPr="00DA2C30" w:rsidRDefault="00DA2C30" w:rsidP="00DA2C30">
            <w:pPr>
              <w:spacing w:line="240" w:lineRule="auto"/>
              <w:jc w:val="center"/>
              <w:rPr>
                <w:rFonts w:ascii="Calibri" w:eastAsia="Calibri" w:hAnsi="Calibri" w:cs="Calibri"/>
                <w:b/>
                <w:bCs/>
                <w:sz w:val="22"/>
                <w:szCs w:val="22"/>
                <w:lang w:eastAsia="en-US"/>
              </w:rPr>
            </w:pPr>
            <w:r w:rsidRPr="00DA2C30">
              <w:rPr>
                <w:rFonts w:ascii="Calibri" w:eastAsia="Calibri" w:hAnsi="Calibri" w:cs="Calibri"/>
                <w:b/>
                <w:bCs/>
                <w:sz w:val="22"/>
                <w:szCs w:val="22"/>
                <w:lang w:eastAsia="en-US"/>
              </w:rPr>
              <w:t>T1 + 8 mois</w:t>
            </w:r>
          </w:p>
        </w:tc>
      </w:tr>
      <w:tr w:rsidR="00DA2C30" w:rsidRPr="00DA2C30" w14:paraId="4EADEC2D" w14:textId="77777777" w:rsidTr="00DA2C30">
        <w:tc>
          <w:tcPr>
            <w:tcW w:w="66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2333B5" w14:textId="0C46D666" w:rsidR="00DA2C30" w:rsidRPr="00CF3636" w:rsidRDefault="00DA2C30" w:rsidP="00DA2C30">
            <w:pPr>
              <w:spacing w:line="240" w:lineRule="auto"/>
              <w:jc w:val="both"/>
              <w:rPr>
                <w:rFonts w:ascii="Calibri" w:eastAsia="Calibri" w:hAnsi="Calibri" w:cs="Calibri"/>
                <w:b/>
                <w:bCs/>
                <w:sz w:val="22"/>
                <w:szCs w:val="22"/>
                <w:lang w:eastAsia="en-US"/>
              </w:rPr>
            </w:pPr>
            <w:r w:rsidRPr="00CF3636">
              <w:rPr>
                <w:rFonts w:ascii="Calibri" w:eastAsia="Calibri" w:hAnsi="Calibri" w:cs="Calibri"/>
                <w:b/>
                <w:bCs/>
                <w:sz w:val="22"/>
                <w:szCs w:val="22"/>
                <w:lang w:eastAsia="en-US"/>
              </w:rPr>
              <w:t>20% du montant du contrat à la livraison de ces livrables 2 (</w:t>
            </w:r>
            <w:r w:rsidR="00CF3636" w:rsidRPr="00CF3636">
              <w:rPr>
                <w:rFonts w:ascii="Calibri" w:eastAsia="Calibri" w:hAnsi="Calibri" w:cs="Calibri"/>
                <w:b/>
                <w:bCs/>
                <w:sz w:val="22"/>
                <w:szCs w:val="22"/>
                <w:lang w:eastAsia="en-US"/>
              </w:rPr>
              <w:t>L2.3</w:t>
            </w:r>
            <w:r w:rsidR="00CF3636">
              <w:rPr>
                <w:rFonts w:ascii="Calibri" w:eastAsia="Calibri" w:hAnsi="Calibri" w:cs="Calibri"/>
                <w:b/>
                <w:bCs/>
                <w:sz w:val="22"/>
                <w:szCs w:val="22"/>
                <w:lang w:eastAsia="en-US"/>
              </w:rPr>
              <w:t> ;</w:t>
            </w:r>
            <w:r w:rsidR="00CF3636">
              <w:t xml:space="preserve"> </w:t>
            </w:r>
            <w:r w:rsidR="00CF3636">
              <w:rPr>
                <w:rFonts w:ascii="Calibri" w:eastAsia="Calibri" w:hAnsi="Calibri" w:cs="Calibri"/>
                <w:b/>
                <w:bCs/>
                <w:sz w:val="22"/>
                <w:szCs w:val="22"/>
                <w:lang w:eastAsia="en-US"/>
              </w:rPr>
              <w:t xml:space="preserve">L2.4 </w:t>
            </w:r>
            <w:r w:rsidRPr="00DA2C30">
              <w:rPr>
                <w:rFonts w:ascii="Calibri" w:eastAsia="Calibri" w:hAnsi="Calibri" w:cs="Calibri"/>
                <w:b/>
                <w:bCs/>
                <w:sz w:val="22"/>
                <w:szCs w:val="22"/>
                <w:lang w:eastAsia="en-US"/>
              </w:rPr>
              <w:t>Troisième rapport de mission d’avancée intermédiaire</w:t>
            </w:r>
            <w:r>
              <w:rPr>
                <w:rFonts w:ascii="Calibri" w:eastAsia="Calibri" w:hAnsi="Calibri" w:cs="Calibri"/>
                <w:b/>
                <w:bCs/>
                <w:sz w:val="22"/>
                <w:szCs w:val="22"/>
                <w:lang w:eastAsia="en-US"/>
              </w:rPr>
              <w:t xml:space="preserve"> et le</w:t>
            </w:r>
            <w:r w:rsidRPr="00DA2C30">
              <w:rPr>
                <w:rFonts w:ascii="Calibri" w:eastAsia="Calibri" w:hAnsi="Calibri" w:cs="Calibri"/>
                <w:b/>
                <w:bCs/>
                <w:sz w:val="22"/>
                <w:szCs w:val="22"/>
                <w:lang w:eastAsia="en-US"/>
              </w:rPr>
              <w:t xml:space="preserve"> guide de supervision des plateformes</w:t>
            </w:r>
            <w:r w:rsidRPr="00CF3636">
              <w:rPr>
                <w:rFonts w:ascii="Calibri" w:eastAsia="Calibri" w:hAnsi="Calibri" w:cs="Calibri"/>
                <w:b/>
                <w:bCs/>
                <w:sz w:val="22"/>
                <w:szCs w:val="22"/>
                <w:lang w:eastAsia="en-US"/>
              </w:rPr>
              <w:t>)</w:t>
            </w:r>
          </w:p>
        </w:tc>
        <w:tc>
          <w:tcPr>
            <w:tcW w:w="2692" w:type="dxa"/>
            <w:tcBorders>
              <w:top w:val="nil"/>
              <w:left w:val="nil"/>
              <w:bottom w:val="single" w:sz="8" w:space="0" w:color="auto"/>
              <w:right w:val="single" w:sz="8" w:space="0" w:color="auto"/>
            </w:tcBorders>
            <w:tcMar>
              <w:top w:w="0" w:type="dxa"/>
              <w:left w:w="108" w:type="dxa"/>
              <w:bottom w:w="0" w:type="dxa"/>
              <w:right w:w="108" w:type="dxa"/>
            </w:tcMar>
            <w:hideMark/>
          </w:tcPr>
          <w:p w14:paraId="3E835057" w14:textId="77777777" w:rsidR="00DA2C30" w:rsidRPr="00DA2C30" w:rsidRDefault="00DA2C30" w:rsidP="00DA2C30">
            <w:pPr>
              <w:spacing w:line="240" w:lineRule="auto"/>
              <w:jc w:val="center"/>
              <w:rPr>
                <w:rFonts w:ascii="Calibri" w:eastAsia="Calibri" w:hAnsi="Calibri" w:cs="Calibri"/>
                <w:b/>
                <w:bCs/>
                <w:sz w:val="22"/>
                <w:szCs w:val="22"/>
                <w:lang w:eastAsia="en-US"/>
              </w:rPr>
            </w:pPr>
            <w:r w:rsidRPr="00DA2C30">
              <w:rPr>
                <w:rFonts w:ascii="Calibri" w:eastAsia="Calibri" w:hAnsi="Calibri" w:cs="Calibri"/>
                <w:b/>
                <w:bCs/>
                <w:sz w:val="22"/>
                <w:szCs w:val="22"/>
                <w:lang w:eastAsia="en-US"/>
              </w:rPr>
              <w:t>T1 + 14 mois</w:t>
            </w:r>
          </w:p>
        </w:tc>
      </w:tr>
      <w:tr w:rsidR="00DA2C30" w:rsidRPr="00DA2C30" w14:paraId="6CE4F26E" w14:textId="77777777" w:rsidTr="00DA2C30">
        <w:tc>
          <w:tcPr>
            <w:tcW w:w="66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4A6619" w14:textId="6EB5F77C" w:rsidR="00DA2C30" w:rsidRPr="00CF3636" w:rsidRDefault="00DA2C30" w:rsidP="00DA2C30">
            <w:pPr>
              <w:spacing w:line="240" w:lineRule="auto"/>
              <w:jc w:val="both"/>
              <w:rPr>
                <w:rFonts w:ascii="Calibri" w:eastAsia="Calibri" w:hAnsi="Calibri" w:cs="Calibri"/>
                <w:b/>
                <w:bCs/>
                <w:sz w:val="22"/>
                <w:szCs w:val="22"/>
                <w:lang w:eastAsia="en-US"/>
              </w:rPr>
            </w:pPr>
            <w:r w:rsidRPr="00CF3636">
              <w:rPr>
                <w:rFonts w:ascii="Calibri" w:eastAsia="Calibri" w:hAnsi="Calibri" w:cs="Calibri"/>
                <w:b/>
                <w:bCs/>
                <w:sz w:val="22"/>
                <w:szCs w:val="22"/>
                <w:lang w:eastAsia="en-US"/>
              </w:rPr>
              <w:t xml:space="preserve">20% du montant du contrat à la livraison du dernier tiers des livrables 2 (L2.5 ; L2.6 : 2 outils de </w:t>
            </w:r>
            <w:r w:rsidR="00CF3636" w:rsidRPr="00CF3636">
              <w:rPr>
                <w:rFonts w:ascii="Calibri" w:eastAsia="Calibri" w:hAnsi="Calibri" w:cs="Calibri"/>
                <w:b/>
                <w:bCs/>
                <w:sz w:val="22"/>
                <w:szCs w:val="22"/>
                <w:lang w:eastAsia="en-US"/>
              </w:rPr>
              <w:t>formalisation</w:t>
            </w:r>
            <w:r w:rsidRPr="00CF3636">
              <w:rPr>
                <w:rFonts w:ascii="Calibri" w:eastAsia="Calibri" w:hAnsi="Calibri" w:cs="Calibri"/>
                <w:b/>
                <w:bCs/>
                <w:sz w:val="22"/>
                <w:szCs w:val="22"/>
                <w:lang w:eastAsia="en-US"/>
              </w:rPr>
              <w:t xml:space="preserve"> des procédures et/ou pratiques en court d’</w:t>
            </w:r>
            <w:r w:rsidR="00CF3636" w:rsidRPr="00CF3636">
              <w:rPr>
                <w:rFonts w:ascii="Calibri" w:eastAsia="Calibri" w:hAnsi="Calibri" w:cs="Calibri"/>
                <w:b/>
                <w:bCs/>
                <w:sz w:val="22"/>
                <w:szCs w:val="22"/>
                <w:lang w:eastAsia="en-US"/>
              </w:rPr>
              <w:t>existence</w:t>
            </w:r>
            <w:r w:rsidRPr="00CF3636">
              <w:rPr>
                <w:rFonts w:ascii="Calibri" w:eastAsia="Calibri" w:hAnsi="Calibri" w:cs="Calibri"/>
                <w:b/>
                <w:bCs/>
                <w:sz w:val="22"/>
                <w:szCs w:val="22"/>
                <w:lang w:eastAsia="en-US"/>
              </w:rPr>
              <w:t xml:space="preserve"> soutenu et </w:t>
            </w:r>
            <w:r w:rsidRPr="00DA2C30">
              <w:rPr>
                <w:rFonts w:ascii="Calibri" w:eastAsia="Calibri" w:hAnsi="Calibri" w:cs="Calibri"/>
                <w:b/>
                <w:bCs/>
                <w:sz w:val="22"/>
                <w:szCs w:val="22"/>
                <w:lang w:eastAsia="en-US"/>
              </w:rPr>
              <w:t>3 rapports de missions finales d’AT</w:t>
            </w:r>
            <w:r w:rsidRPr="00CF3636">
              <w:rPr>
                <w:rFonts w:ascii="Calibri" w:eastAsia="Calibri" w:hAnsi="Calibri" w:cs="Calibri"/>
                <w:b/>
                <w:bCs/>
                <w:sz w:val="22"/>
                <w:szCs w:val="22"/>
                <w:lang w:eastAsia="en-US"/>
              </w:rPr>
              <w:t>)</w:t>
            </w:r>
          </w:p>
        </w:tc>
        <w:tc>
          <w:tcPr>
            <w:tcW w:w="2692" w:type="dxa"/>
            <w:tcBorders>
              <w:top w:val="nil"/>
              <w:left w:val="nil"/>
              <w:bottom w:val="single" w:sz="8" w:space="0" w:color="auto"/>
              <w:right w:val="single" w:sz="8" w:space="0" w:color="auto"/>
            </w:tcBorders>
            <w:tcMar>
              <w:top w:w="0" w:type="dxa"/>
              <w:left w:w="108" w:type="dxa"/>
              <w:bottom w:w="0" w:type="dxa"/>
              <w:right w:w="108" w:type="dxa"/>
            </w:tcMar>
            <w:hideMark/>
          </w:tcPr>
          <w:p w14:paraId="1E3B8834" w14:textId="77777777" w:rsidR="00DA2C30" w:rsidRPr="00DA2C30" w:rsidRDefault="00DA2C30" w:rsidP="00DA2C30">
            <w:pPr>
              <w:spacing w:line="240" w:lineRule="auto"/>
              <w:jc w:val="center"/>
              <w:rPr>
                <w:rFonts w:ascii="Calibri" w:eastAsia="Calibri" w:hAnsi="Calibri" w:cs="Calibri"/>
                <w:b/>
                <w:bCs/>
                <w:sz w:val="22"/>
                <w:szCs w:val="22"/>
                <w:lang w:eastAsia="en-US"/>
              </w:rPr>
            </w:pPr>
            <w:r w:rsidRPr="00DA2C30">
              <w:rPr>
                <w:rFonts w:ascii="Calibri" w:eastAsia="Calibri" w:hAnsi="Calibri" w:cs="Calibri"/>
                <w:b/>
                <w:bCs/>
                <w:sz w:val="22"/>
                <w:szCs w:val="22"/>
                <w:lang w:eastAsia="en-US"/>
              </w:rPr>
              <w:t>T1 + 18 mois</w:t>
            </w:r>
          </w:p>
        </w:tc>
      </w:tr>
      <w:tr w:rsidR="00DA2C30" w:rsidRPr="00DA2C30" w14:paraId="44546A1B" w14:textId="77777777" w:rsidTr="00DA2C30">
        <w:tc>
          <w:tcPr>
            <w:tcW w:w="665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354C81" w14:textId="23FE7713" w:rsidR="00DA2C30" w:rsidRPr="00CF3636" w:rsidRDefault="00DA2C30" w:rsidP="00DA2C30">
            <w:pPr>
              <w:spacing w:line="240" w:lineRule="auto"/>
              <w:jc w:val="both"/>
              <w:rPr>
                <w:rFonts w:ascii="Calibri" w:eastAsia="Calibri" w:hAnsi="Calibri" w:cs="Calibri"/>
                <w:b/>
                <w:bCs/>
                <w:sz w:val="22"/>
                <w:szCs w:val="22"/>
                <w:lang w:eastAsia="en-US"/>
              </w:rPr>
            </w:pPr>
            <w:r w:rsidRPr="00CF3636">
              <w:rPr>
                <w:rFonts w:ascii="Calibri" w:eastAsia="Calibri" w:hAnsi="Calibri" w:cs="Calibri"/>
                <w:b/>
                <w:bCs/>
                <w:sz w:val="22"/>
                <w:szCs w:val="22"/>
                <w:lang w:eastAsia="en-US"/>
              </w:rPr>
              <w:t>20 % du montant du contrat à la livraison des livrables 3</w:t>
            </w:r>
            <w:r w:rsidR="00CF3636" w:rsidRPr="00CF3636">
              <w:rPr>
                <w:rFonts w:ascii="Calibri" w:eastAsia="Calibri" w:hAnsi="Calibri" w:cs="Calibri"/>
                <w:b/>
                <w:bCs/>
                <w:sz w:val="22"/>
                <w:szCs w:val="22"/>
                <w:lang w:eastAsia="en-US"/>
              </w:rPr>
              <w:t xml:space="preserve"> (Capitalisation et clôture des missions d’assistance technique)</w:t>
            </w:r>
          </w:p>
        </w:tc>
        <w:tc>
          <w:tcPr>
            <w:tcW w:w="2692" w:type="dxa"/>
            <w:tcBorders>
              <w:top w:val="nil"/>
              <w:left w:val="nil"/>
              <w:bottom w:val="single" w:sz="8" w:space="0" w:color="auto"/>
              <w:right w:val="single" w:sz="8" w:space="0" w:color="auto"/>
            </w:tcBorders>
            <w:tcMar>
              <w:top w:w="0" w:type="dxa"/>
              <w:left w:w="108" w:type="dxa"/>
              <w:bottom w:w="0" w:type="dxa"/>
              <w:right w:w="108" w:type="dxa"/>
            </w:tcMar>
            <w:hideMark/>
          </w:tcPr>
          <w:p w14:paraId="65C4A756" w14:textId="77777777" w:rsidR="00DA2C30" w:rsidRPr="00DA2C30" w:rsidRDefault="00DA2C30" w:rsidP="00DA2C30">
            <w:pPr>
              <w:spacing w:line="240" w:lineRule="auto"/>
              <w:jc w:val="center"/>
              <w:rPr>
                <w:rFonts w:ascii="Calibri" w:eastAsia="Calibri" w:hAnsi="Calibri" w:cs="Calibri"/>
                <w:b/>
                <w:bCs/>
                <w:sz w:val="22"/>
                <w:szCs w:val="22"/>
                <w:lang w:eastAsia="en-US"/>
              </w:rPr>
            </w:pPr>
            <w:r w:rsidRPr="00DA2C30">
              <w:rPr>
                <w:rFonts w:ascii="Calibri" w:eastAsia="Calibri" w:hAnsi="Calibri" w:cs="Calibri"/>
                <w:b/>
                <w:bCs/>
                <w:sz w:val="22"/>
                <w:szCs w:val="22"/>
                <w:lang w:eastAsia="en-US"/>
              </w:rPr>
              <w:t>T2 + 2 mois</w:t>
            </w:r>
          </w:p>
        </w:tc>
      </w:tr>
    </w:tbl>
    <w:p w14:paraId="33B9BBB2" w14:textId="7BD043AE" w:rsidR="00DA2C30" w:rsidRDefault="00DA2C30" w:rsidP="00341BDA">
      <w:pPr>
        <w:pStyle w:val="u"/>
        <w:widowControl w:val="0"/>
        <w:numPr>
          <w:ilvl w:val="12"/>
          <w:numId w:val="0"/>
        </w:numPr>
        <w:spacing w:after="120"/>
        <w:ind w:left="561"/>
        <w:jc w:val="left"/>
        <w:rPr>
          <w:rFonts w:asciiTheme="minorHAnsi" w:hAnsiTheme="minorHAnsi" w:cs="Arial"/>
          <w:szCs w:val="22"/>
        </w:rPr>
      </w:pP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6B6C1B">
      <w:pPr>
        <w:pStyle w:val="u"/>
        <w:widowControl w:val="0"/>
        <w:numPr>
          <w:ilvl w:val="0"/>
          <w:numId w:val="19"/>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La  référence du compte bancaire,</w:t>
      </w:r>
    </w:p>
    <w:p w14:paraId="78F2FBFA"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19"/>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w:t>
      </w:r>
      <w:r w:rsidR="001E311F" w:rsidRPr="00A86E43">
        <w:rPr>
          <w:rFonts w:asciiTheme="minorHAnsi" w:hAnsiTheme="minorHAnsi" w:cs="Arial"/>
          <w:szCs w:val="22"/>
        </w:rPr>
        <w:lastRenderedPageBreak/>
        <w:t>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71ECA928" w:rsidR="00F766D6" w:rsidRPr="00A86E43" w:rsidRDefault="00F766D6" w:rsidP="00130AB0">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130AB0">
        <w:rPr>
          <w:rFonts w:asciiTheme="minorHAnsi" w:hAnsiTheme="minorHAnsi" w:cstheme="minorHAnsi"/>
          <w:szCs w:val="22"/>
        </w:rPr>
        <w:t>7</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7131CB16" w14:textId="77777777" w:rsidR="00F6667B" w:rsidRPr="00A86E43" w:rsidRDefault="00F6667B" w:rsidP="00F6667B">
      <w:pPr>
        <w:pStyle w:val="u"/>
        <w:widowControl w:val="0"/>
        <w:numPr>
          <w:ilvl w:val="0"/>
          <w:numId w:val="8"/>
        </w:numPr>
        <w:rPr>
          <w:rFonts w:asciiTheme="minorHAnsi" w:hAnsiTheme="minorHAnsi" w:cstheme="minorHAnsi"/>
          <w:szCs w:val="22"/>
        </w:rPr>
      </w:pPr>
      <w:bookmarkStart w:id="34" w:name="_Toc390691470"/>
      <w:bookmarkStart w:id="35" w:name="_Toc392669641"/>
      <w:bookmarkStart w:id="36" w:name="_Toc126921989"/>
      <w:r>
        <w:rPr>
          <w:rFonts w:asciiTheme="minorHAnsi" w:hAnsiTheme="minorHAnsi" w:cstheme="minorHAnsi"/>
          <w:szCs w:val="22"/>
        </w:rPr>
        <w:t>Cheffe de projet</w:t>
      </w:r>
    </w:p>
    <w:p w14:paraId="1E490461" w14:textId="77777777" w:rsidR="00F6667B" w:rsidRPr="00A86E43" w:rsidRDefault="00F6667B" w:rsidP="00F6667B">
      <w:pPr>
        <w:pStyle w:val="u"/>
        <w:widowControl w:val="0"/>
        <w:numPr>
          <w:ilvl w:val="0"/>
          <w:numId w:val="8"/>
        </w:numPr>
        <w:rPr>
          <w:rFonts w:asciiTheme="minorHAnsi" w:hAnsiTheme="minorHAnsi" w:cstheme="minorHAnsi"/>
          <w:szCs w:val="22"/>
        </w:rPr>
      </w:pPr>
      <w:r>
        <w:rPr>
          <w:rFonts w:asciiTheme="minorHAnsi" w:hAnsiTheme="minorHAnsi" w:cstheme="minorHAnsi"/>
          <w:szCs w:val="22"/>
        </w:rPr>
        <w:t>Marion ALLIMANT</w:t>
      </w:r>
    </w:p>
    <w:p w14:paraId="3CFE7105" w14:textId="28880378" w:rsidR="00F766D6" w:rsidRPr="00A86E43" w:rsidRDefault="00F766D6" w:rsidP="00341BDA">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30E9F39E"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296C2115" w:rsidR="00C27993" w:rsidRPr="00A86E43" w:rsidRDefault="00341BDA" w:rsidP="006B6C1B">
      <w:pPr>
        <w:pStyle w:val="u"/>
        <w:widowControl w:val="0"/>
        <w:numPr>
          <w:ilvl w:val="0"/>
          <w:numId w:val="8"/>
        </w:numPr>
        <w:rPr>
          <w:rFonts w:asciiTheme="minorHAnsi" w:hAnsiTheme="minorHAnsi" w:cstheme="minorHAnsi"/>
          <w:szCs w:val="22"/>
        </w:rPr>
      </w:pPr>
      <w:r>
        <w:rPr>
          <w:rFonts w:asciiTheme="minorHAnsi" w:hAnsiTheme="minorHAnsi" w:cstheme="minorHAnsi"/>
          <w:szCs w:val="22"/>
        </w:rPr>
        <w:t>Cheffe de projet</w:t>
      </w:r>
    </w:p>
    <w:p w14:paraId="5363F9B3" w14:textId="7E2B52EB" w:rsidR="00C27993" w:rsidRPr="00A86E43" w:rsidRDefault="00341BDA" w:rsidP="006B6C1B">
      <w:pPr>
        <w:pStyle w:val="u"/>
        <w:widowControl w:val="0"/>
        <w:numPr>
          <w:ilvl w:val="0"/>
          <w:numId w:val="8"/>
        </w:numPr>
        <w:rPr>
          <w:rFonts w:asciiTheme="minorHAnsi" w:hAnsiTheme="minorHAnsi" w:cstheme="minorHAnsi"/>
          <w:szCs w:val="22"/>
        </w:rPr>
      </w:pPr>
      <w:r>
        <w:rPr>
          <w:rFonts w:asciiTheme="minorHAnsi" w:hAnsiTheme="minorHAnsi" w:cstheme="minorHAnsi"/>
          <w:szCs w:val="22"/>
        </w:rPr>
        <w:t>Marion ALLIMANT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11C21D99" w:rsidR="000A6914" w:rsidRDefault="000A6914" w:rsidP="000A6914">
      <w:pPr>
        <w:pStyle w:val="Titre2"/>
        <w:spacing w:before="120" w:after="60"/>
        <w:rPr>
          <w:rFonts w:asciiTheme="minorHAnsi" w:hAnsiTheme="minorHAnsi" w:cstheme="minorHAnsi"/>
          <w:sz w:val="22"/>
          <w:szCs w:val="22"/>
        </w:rPr>
      </w:pPr>
      <w:bookmarkStart w:id="38" w:name="_Toc126921991"/>
      <w:bookmarkStart w:id="39" w:name="_Toc392669643"/>
      <w:r w:rsidRPr="00A86E43">
        <w:rPr>
          <w:rFonts w:asciiTheme="minorHAnsi" w:hAnsiTheme="minorHAnsi" w:cstheme="minorHAnsi"/>
          <w:sz w:val="22"/>
          <w:szCs w:val="22"/>
        </w:rPr>
        <w:t>Tableau des livrables</w:t>
      </w:r>
      <w:bookmarkEnd w:id="38"/>
    </w:p>
    <w:p w14:paraId="331DE937" w14:textId="77777777" w:rsidR="00CF3636" w:rsidRDefault="00CF3636" w:rsidP="00CF3636">
      <w:r>
        <w:t>La phase de cadrage pourra commencer durant le mois d’aout 2025 (indicatif).</w:t>
      </w:r>
    </w:p>
    <w:p w14:paraId="1D88AF56" w14:textId="77777777" w:rsidR="00CF3636" w:rsidRDefault="00CF3636" w:rsidP="00CF3636">
      <w:r>
        <w:t xml:space="preserve">T0 = Septembre 2025 (indicatif) </w:t>
      </w:r>
    </w:p>
    <w:p w14:paraId="1FBB2D3E" w14:textId="77777777" w:rsidR="00CF3636" w:rsidRDefault="00CF3636" w:rsidP="00CF3636">
      <w:r>
        <w:t>T1 = Novembre 2025 (indicatif)</w:t>
      </w:r>
    </w:p>
    <w:p w14:paraId="5EF630CD" w14:textId="40F3C5CA" w:rsidR="00CF3636" w:rsidRDefault="00CF3636" w:rsidP="00CF3636">
      <w:r>
        <w:t>T2 = Mai 2027 (indicatif)</w:t>
      </w:r>
    </w:p>
    <w:p w14:paraId="62F79F10" w14:textId="77777777" w:rsidR="003E3351" w:rsidRPr="00CF3636" w:rsidRDefault="003E3351" w:rsidP="00CF3636"/>
    <w:tbl>
      <w:tblPr>
        <w:tblW w:w="8916" w:type="dxa"/>
        <w:tblInd w:w="5" w:type="dxa"/>
        <w:tblBorders>
          <w:top w:val="single" w:sz="8" w:space="0" w:color="44546A"/>
          <w:left w:val="single" w:sz="8" w:space="0" w:color="44546A"/>
          <w:bottom w:val="single" w:sz="8" w:space="0" w:color="44546A"/>
          <w:right w:val="single" w:sz="8" w:space="0" w:color="44546A"/>
          <w:insideH w:val="single" w:sz="8" w:space="0" w:color="44546A"/>
          <w:insideV w:val="single" w:sz="8" w:space="0" w:color="44546A"/>
        </w:tblBorders>
        <w:tblLayout w:type="fixed"/>
        <w:tblLook w:val="0400" w:firstRow="0" w:lastRow="0" w:firstColumn="0" w:lastColumn="0" w:noHBand="0" w:noVBand="1"/>
      </w:tblPr>
      <w:tblGrid>
        <w:gridCol w:w="978"/>
        <w:gridCol w:w="283"/>
        <w:gridCol w:w="6237"/>
        <w:gridCol w:w="1418"/>
      </w:tblGrid>
      <w:tr w:rsidR="00CF3636" w:rsidRPr="00CF3636" w14:paraId="5B6A8CB7" w14:textId="77777777" w:rsidTr="009D6E35">
        <w:trPr>
          <w:trHeight w:val="182"/>
        </w:trPr>
        <w:tc>
          <w:tcPr>
            <w:tcW w:w="1261" w:type="dxa"/>
            <w:gridSpan w:val="2"/>
            <w:tcBorders>
              <w:top w:val="single" w:sz="8" w:space="0" w:color="44546A"/>
              <w:left w:val="single" w:sz="8" w:space="0" w:color="44546A"/>
              <w:bottom w:val="single" w:sz="8" w:space="0" w:color="44546A"/>
              <w:right w:val="single" w:sz="8" w:space="0" w:color="44546A"/>
            </w:tcBorders>
            <w:shd w:val="clear" w:color="auto" w:fill="0F243E"/>
            <w:vAlign w:val="center"/>
          </w:tcPr>
          <w:p w14:paraId="4F077AAB" w14:textId="77777777" w:rsidR="00CF3636" w:rsidRPr="00CF3636" w:rsidRDefault="00CF3636" w:rsidP="00CF3636">
            <w:pPr>
              <w:spacing w:after="160" w:line="240" w:lineRule="auto"/>
              <w:jc w:val="center"/>
              <w:rPr>
                <w:rFonts w:eastAsia="Arial" w:cs="Arial"/>
                <w:b/>
              </w:rPr>
            </w:pPr>
            <w:r w:rsidRPr="00CF3636">
              <w:rPr>
                <w:rFonts w:eastAsia="Arial" w:cs="Arial"/>
                <w:b/>
              </w:rPr>
              <w:t>Livrables</w:t>
            </w:r>
          </w:p>
        </w:tc>
        <w:tc>
          <w:tcPr>
            <w:tcW w:w="6237" w:type="dxa"/>
            <w:tcBorders>
              <w:top w:val="single" w:sz="8" w:space="0" w:color="44546A"/>
              <w:left w:val="single" w:sz="8" w:space="0" w:color="44546A"/>
              <w:bottom w:val="single" w:sz="8" w:space="0" w:color="44546A"/>
              <w:right w:val="single" w:sz="8" w:space="0" w:color="44546A"/>
            </w:tcBorders>
            <w:shd w:val="clear" w:color="auto" w:fill="0F243E"/>
            <w:vAlign w:val="center"/>
          </w:tcPr>
          <w:p w14:paraId="6CF9DCAB" w14:textId="77777777" w:rsidR="00CF3636" w:rsidRPr="00CF3636" w:rsidRDefault="00CF3636" w:rsidP="00CF3636">
            <w:pPr>
              <w:spacing w:after="160" w:line="240" w:lineRule="auto"/>
              <w:rPr>
                <w:rFonts w:eastAsia="Arial" w:cs="Arial"/>
                <w:b/>
              </w:rPr>
            </w:pPr>
            <w:r w:rsidRPr="00CF3636">
              <w:rPr>
                <w:rFonts w:eastAsia="Arial" w:cs="Arial"/>
                <w:b/>
              </w:rPr>
              <w:t>Intitulé</w:t>
            </w:r>
          </w:p>
        </w:tc>
        <w:tc>
          <w:tcPr>
            <w:tcW w:w="1418" w:type="dxa"/>
            <w:tcBorders>
              <w:top w:val="single" w:sz="8" w:space="0" w:color="44546A"/>
              <w:left w:val="single" w:sz="8" w:space="0" w:color="44546A"/>
              <w:bottom w:val="single" w:sz="8" w:space="0" w:color="44546A"/>
              <w:right w:val="single" w:sz="8" w:space="0" w:color="44546A"/>
            </w:tcBorders>
            <w:shd w:val="clear" w:color="auto" w:fill="0F243E"/>
            <w:vAlign w:val="center"/>
          </w:tcPr>
          <w:p w14:paraId="48937133" w14:textId="77777777" w:rsidR="00CF3636" w:rsidRPr="00CF3636" w:rsidRDefault="00CF3636" w:rsidP="00CF3636">
            <w:pPr>
              <w:spacing w:after="160" w:line="240" w:lineRule="auto"/>
              <w:jc w:val="center"/>
              <w:rPr>
                <w:rFonts w:eastAsia="Arial" w:cs="Arial"/>
                <w:b/>
              </w:rPr>
            </w:pPr>
            <w:r w:rsidRPr="00CF3636">
              <w:rPr>
                <w:rFonts w:eastAsia="Arial" w:cs="Arial"/>
                <w:b/>
              </w:rPr>
              <w:t>Date de remise des livrables (indicatif)</w:t>
            </w:r>
          </w:p>
        </w:tc>
      </w:tr>
      <w:tr w:rsidR="00CF3636" w:rsidRPr="00CF3636" w14:paraId="5DFB0816" w14:textId="77777777" w:rsidTr="009D6E35">
        <w:trPr>
          <w:trHeight w:val="373"/>
        </w:trPr>
        <w:tc>
          <w:tcPr>
            <w:tcW w:w="7498" w:type="dxa"/>
            <w:gridSpan w:val="3"/>
            <w:shd w:val="clear" w:color="auto" w:fill="DBE5F1"/>
            <w:vAlign w:val="center"/>
          </w:tcPr>
          <w:p w14:paraId="21A5247F" w14:textId="77777777" w:rsidR="00CF3636" w:rsidRPr="00CF3636" w:rsidRDefault="00CF3636" w:rsidP="00CF3636">
            <w:pPr>
              <w:numPr>
                <w:ilvl w:val="0"/>
                <w:numId w:val="47"/>
              </w:numPr>
              <w:pBdr>
                <w:top w:val="nil"/>
                <w:left w:val="nil"/>
                <w:bottom w:val="nil"/>
                <w:right w:val="nil"/>
                <w:between w:val="nil"/>
              </w:pBdr>
              <w:spacing w:after="160" w:line="240" w:lineRule="auto"/>
              <w:jc w:val="both"/>
              <w:rPr>
                <w:rFonts w:eastAsia="Arial" w:cs="Arial"/>
                <w:b/>
                <w:color w:val="000000"/>
              </w:rPr>
            </w:pPr>
            <w:r w:rsidRPr="00CF3636">
              <w:rPr>
                <w:rFonts w:eastAsia="Arial" w:cs="Arial"/>
                <w:b/>
                <w:color w:val="000000"/>
              </w:rPr>
              <w:t>Cadrage et élaboration du programme d’assistance technique (septembre à octobre 2025)</w:t>
            </w:r>
          </w:p>
        </w:tc>
        <w:tc>
          <w:tcPr>
            <w:tcW w:w="1418" w:type="dxa"/>
            <w:shd w:val="clear" w:color="auto" w:fill="DBE5F1"/>
            <w:vAlign w:val="center"/>
          </w:tcPr>
          <w:p w14:paraId="5775D1B6" w14:textId="77777777" w:rsidR="00CF3636" w:rsidRPr="00CF3636" w:rsidRDefault="00CF3636" w:rsidP="00CF3636">
            <w:pPr>
              <w:spacing w:after="160" w:line="240" w:lineRule="auto"/>
              <w:jc w:val="center"/>
              <w:rPr>
                <w:rFonts w:eastAsia="Arial" w:cs="Arial"/>
                <w:b/>
              </w:rPr>
            </w:pPr>
            <w:r w:rsidRPr="00CF3636">
              <w:rPr>
                <w:rFonts w:eastAsia="Arial" w:cs="Arial"/>
                <w:b/>
              </w:rPr>
              <w:t>T0 + 2 mois</w:t>
            </w:r>
          </w:p>
        </w:tc>
      </w:tr>
      <w:tr w:rsidR="00CF3636" w:rsidRPr="00CF3636" w14:paraId="3EC9DDBC" w14:textId="77777777" w:rsidTr="009D6E35">
        <w:trPr>
          <w:trHeight w:val="535"/>
        </w:trPr>
        <w:tc>
          <w:tcPr>
            <w:tcW w:w="978" w:type="dxa"/>
            <w:shd w:val="clear" w:color="auto" w:fill="auto"/>
            <w:vAlign w:val="center"/>
          </w:tcPr>
          <w:p w14:paraId="02720D16" w14:textId="77777777" w:rsidR="00CF3636" w:rsidRPr="00CF3636" w:rsidRDefault="00CF3636" w:rsidP="00CF3636">
            <w:pPr>
              <w:spacing w:after="160" w:line="240" w:lineRule="auto"/>
              <w:jc w:val="center"/>
              <w:rPr>
                <w:rFonts w:eastAsia="Arial" w:cs="Arial"/>
              </w:rPr>
            </w:pPr>
            <w:r w:rsidRPr="00CF3636">
              <w:rPr>
                <w:rFonts w:eastAsia="Arial" w:cs="Arial"/>
              </w:rPr>
              <w:lastRenderedPageBreak/>
              <w:t>L1.1</w:t>
            </w:r>
          </w:p>
        </w:tc>
        <w:tc>
          <w:tcPr>
            <w:tcW w:w="6520" w:type="dxa"/>
            <w:gridSpan w:val="2"/>
            <w:shd w:val="clear" w:color="auto" w:fill="auto"/>
            <w:vAlign w:val="center"/>
          </w:tcPr>
          <w:p w14:paraId="6C6CB757" w14:textId="77777777" w:rsidR="00CF3636" w:rsidRPr="00CF3636" w:rsidRDefault="00CF3636" w:rsidP="00CF3636">
            <w:pPr>
              <w:spacing w:line="240" w:lineRule="auto"/>
              <w:jc w:val="both"/>
              <w:rPr>
                <w:rFonts w:eastAsia="Arial" w:cs="Arial"/>
              </w:rPr>
            </w:pPr>
            <w:r w:rsidRPr="00CF3636">
              <w:rPr>
                <w:rFonts w:eastAsia="Arial" w:cs="Arial"/>
              </w:rPr>
              <w:t>Une note de cadrage, incluant a minima la méthodologie avec les révisions nécessaires, et le calendrier prévisionnel à jour</w:t>
            </w:r>
          </w:p>
        </w:tc>
        <w:tc>
          <w:tcPr>
            <w:tcW w:w="1418" w:type="dxa"/>
            <w:shd w:val="clear" w:color="auto" w:fill="auto"/>
            <w:vAlign w:val="center"/>
          </w:tcPr>
          <w:p w14:paraId="21C28736" w14:textId="77777777" w:rsidR="00CF3636" w:rsidRPr="00CF3636" w:rsidRDefault="00CF3636" w:rsidP="00CF3636">
            <w:pPr>
              <w:spacing w:after="160" w:line="240" w:lineRule="auto"/>
              <w:jc w:val="center"/>
              <w:rPr>
                <w:rFonts w:eastAsia="Arial" w:cs="Arial"/>
              </w:rPr>
            </w:pPr>
            <w:r w:rsidRPr="00CF3636">
              <w:rPr>
                <w:rFonts w:eastAsia="Arial" w:cs="Arial"/>
              </w:rPr>
              <w:t>T0 +  2 semaines</w:t>
            </w:r>
          </w:p>
        </w:tc>
      </w:tr>
      <w:tr w:rsidR="00CF3636" w:rsidRPr="00CF3636" w14:paraId="4B558FEE" w14:textId="77777777" w:rsidTr="009D6E35">
        <w:trPr>
          <w:trHeight w:val="535"/>
        </w:trPr>
        <w:tc>
          <w:tcPr>
            <w:tcW w:w="978" w:type="dxa"/>
            <w:shd w:val="clear" w:color="auto" w:fill="auto"/>
            <w:vAlign w:val="center"/>
          </w:tcPr>
          <w:p w14:paraId="614C5B33" w14:textId="77777777" w:rsidR="00CF3636" w:rsidRPr="00CF3636" w:rsidRDefault="00CF3636" w:rsidP="00CF3636">
            <w:pPr>
              <w:spacing w:after="160" w:line="240" w:lineRule="auto"/>
              <w:jc w:val="center"/>
              <w:rPr>
                <w:rFonts w:eastAsia="Arial" w:cs="Arial"/>
              </w:rPr>
            </w:pPr>
            <w:r w:rsidRPr="00CF3636">
              <w:rPr>
                <w:rFonts w:eastAsia="Arial" w:cs="Arial"/>
              </w:rPr>
              <w:t>L1.2</w:t>
            </w:r>
          </w:p>
        </w:tc>
        <w:tc>
          <w:tcPr>
            <w:tcW w:w="6520" w:type="dxa"/>
            <w:gridSpan w:val="2"/>
            <w:shd w:val="clear" w:color="auto" w:fill="auto"/>
            <w:vAlign w:val="center"/>
          </w:tcPr>
          <w:p w14:paraId="49538E91" w14:textId="77777777" w:rsidR="00CF3636" w:rsidRPr="00CF3636" w:rsidRDefault="00CF3636" w:rsidP="00CF3636">
            <w:pPr>
              <w:spacing w:line="240" w:lineRule="auto"/>
              <w:jc w:val="both"/>
              <w:rPr>
                <w:rFonts w:eastAsia="Arial" w:cs="Arial"/>
              </w:rPr>
            </w:pPr>
            <w:r w:rsidRPr="00CF3636">
              <w:rPr>
                <w:rFonts w:eastAsia="Arial" w:cs="Arial"/>
              </w:rPr>
              <w:t xml:space="preserve">Un </w:t>
            </w:r>
            <w:r w:rsidRPr="00CF3636">
              <w:rPr>
                <w:rFonts w:eastAsia="Arial" w:cs="Arial"/>
                <w:color w:val="000000"/>
              </w:rPr>
              <w:t>rapport de diagnostic de la situation actuelle de l’activité du crowdfunding à but lucratif pour les différents acteurs ciblés (ACM, plateformes en cours d’existence, porteur.e</w:t>
            </w:r>
            <w:r w:rsidRPr="00CF3636">
              <w:rPr>
                <w:rFonts w:eastAsia="Arial" w:cs="Arial"/>
              </w:rPr>
              <w:t xml:space="preserve">s de projet de </w:t>
            </w:r>
            <w:r w:rsidRPr="00CF3636">
              <w:rPr>
                <w:rFonts w:eastAsia="Arial" w:cs="Arial"/>
                <w:color w:val="000000"/>
              </w:rPr>
              <w:t>plateforme) incluant des recommandations pratiques </w:t>
            </w:r>
          </w:p>
        </w:tc>
        <w:tc>
          <w:tcPr>
            <w:tcW w:w="1418" w:type="dxa"/>
            <w:shd w:val="clear" w:color="auto" w:fill="auto"/>
            <w:vAlign w:val="center"/>
          </w:tcPr>
          <w:p w14:paraId="25911EC1" w14:textId="77777777" w:rsidR="00CF3636" w:rsidRPr="00CF3636" w:rsidRDefault="00CF3636" w:rsidP="00CF3636">
            <w:pPr>
              <w:spacing w:after="160" w:line="240" w:lineRule="auto"/>
              <w:jc w:val="center"/>
              <w:rPr>
                <w:rFonts w:eastAsia="Arial" w:cs="Arial"/>
              </w:rPr>
            </w:pPr>
            <w:r w:rsidRPr="00CF3636">
              <w:rPr>
                <w:rFonts w:eastAsia="Arial" w:cs="Arial"/>
              </w:rPr>
              <w:t>T0 + 1,5 mois</w:t>
            </w:r>
          </w:p>
        </w:tc>
      </w:tr>
      <w:tr w:rsidR="00CF3636" w:rsidRPr="00CF3636" w14:paraId="42FA38E6" w14:textId="77777777" w:rsidTr="009D6E35">
        <w:trPr>
          <w:trHeight w:val="535"/>
        </w:trPr>
        <w:tc>
          <w:tcPr>
            <w:tcW w:w="978" w:type="dxa"/>
            <w:shd w:val="clear" w:color="auto" w:fill="auto"/>
            <w:vAlign w:val="center"/>
          </w:tcPr>
          <w:p w14:paraId="2C7F71AF" w14:textId="77777777" w:rsidR="00CF3636" w:rsidRPr="00CF3636" w:rsidRDefault="00CF3636" w:rsidP="00CF3636">
            <w:pPr>
              <w:spacing w:after="160" w:line="240" w:lineRule="auto"/>
              <w:jc w:val="center"/>
              <w:rPr>
                <w:rFonts w:eastAsia="Arial" w:cs="Arial"/>
              </w:rPr>
            </w:pPr>
            <w:r w:rsidRPr="00CF3636">
              <w:rPr>
                <w:rFonts w:eastAsia="Arial" w:cs="Arial"/>
              </w:rPr>
              <w:t>L1.3</w:t>
            </w:r>
          </w:p>
        </w:tc>
        <w:tc>
          <w:tcPr>
            <w:tcW w:w="6520" w:type="dxa"/>
            <w:gridSpan w:val="2"/>
            <w:shd w:val="clear" w:color="auto" w:fill="auto"/>
            <w:vAlign w:val="center"/>
          </w:tcPr>
          <w:p w14:paraId="30390058" w14:textId="77777777" w:rsidR="00CF3636" w:rsidRPr="00CF3636" w:rsidRDefault="00CF3636" w:rsidP="00CF3636">
            <w:pPr>
              <w:spacing w:line="240" w:lineRule="auto"/>
              <w:jc w:val="both"/>
              <w:rPr>
                <w:rFonts w:eastAsia="Arial" w:cs="Arial"/>
              </w:rPr>
            </w:pPr>
            <w:r w:rsidRPr="00CF3636">
              <w:rPr>
                <w:rFonts w:eastAsia="Arial" w:cs="Arial"/>
              </w:rPr>
              <w:t>Un plan d’action détaillé de la mise en œuvre de l’appui technique pour chaque bénéficiaire ciblé</w:t>
            </w:r>
          </w:p>
        </w:tc>
        <w:tc>
          <w:tcPr>
            <w:tcW w:w="1418" w:type="dxa"/>
            <w:shd w:val="clear" w:color="auto" w:fill="auto"/>
            <w:vAlign w:val="center"/>
          </w:tcPr>
          <w:p w14:paraId="15CF0B89" w14:textId="77777777" w:rsidR="00CF3636" w:rsidRPr="00CF3636" w:rsidRDefault="00CF3636" w:rsidP="00CF3636">
            <w:pPr>
              <w:spacing w:after="160" w:line="240" w:lineRule="auto"/>
              <w:jc w:val="center"/>
              <w:rPr>
                <w:rFonts w:eastAsia="Arial" w:cs="Arial"/>
              </w:rPr>
            </w:pPr>
            <w:r w:rsidRPr="00CF3636">
              <w:rPr>
                <w:rFonts w:eastAsia="Arial" w:cs="Arial"/>
              </w:rPr>
              <w:t>T0 + 2 mois</w:t>
            </w:r>
          </w:p>
        </w:tc>
      </w:tr>
      <w:tr w:rsidR="00CF3636" w:rsidRPr="00CF3636" w14:paraId="5D20F32E" w14:textId="77777777" w:rsidTr="009D6E35">
        <w:trPr>
          <w:trHeight w:val="400"/>
        </w:trPr>
        <w:tc>
          <w:tcPr>
            <w:tcW w:w="7498" w:type="dxa"/>
            <w:gridSpan w:val="3"/>
            <w:shd w:val="clear" w:color="auto" w:fill="DBE5F1"/>
            <w:vAlign w:val="center"/>
          </w:tcPr>
          <w:p w14:paraId="146596E4" w14:textId="77777777" w:rsidR="00CF3636" w:rsidRPr="00CF3636" w:rsidRDefault="00CF3636" w:rsidP="00CF3636">
            <w:pPr>
              <w:numPr>
                <w:ilvl w:val="0"/>
                <w:numId w:val="47"/>
              </w:numPr>
              <w:pBdr>
                <w:top w:val="nil"/>
                <w:left w:val="nil"/>
                <w:bottom w:val="nil"/>
                <w:right w:val="nil"/>
                <w:between w:val="nil"/>
              </w:pBdr>
              <w:spacing w:after="160" w:line="240" w:lineRule="auto"/>
              <w:jc w:val="both"/>
              <w:rPr>
                <w:rFonts w:eastAsia="Arial" w:cs="Arial"/>
                <w:b/>
                <w:color w:val="000000"/>
              </w:rPr>
            </w:pPr>
            <w:r w:rsidRPr="00CF3636">
              <w:rPr>
                <w:rFonts w:eastAsia="Arial" w:cs="Arial"/>
                <w:b/>
                <w:color w:val="000000"/>
              </w:rPr>
              <w:t>Déploiement des missions d’assistance technique (novembre 2025 à avril 2027)</w:t>
            </w:r>
          </w:p>
        </w:tc>
        <w:tc>
          <w:tcPr>
            <w:tcW w:w="1418" w:type="dxa"/>
            <w:shd w:val="clear" w:color="auto" w:fill="DBE5F1"/>
            <w:vAlign w:val="center"/>
          </w:tcPr>
          <w:p w14:paraId="185A594F" w14:textId="77777777" w:rsidR="00CF3636" w:rsidRPr="00CF3636" w:rsidRDefault="00CF3636" w:rsidP="00CF3636">
            <w:pPr>
              <w:spacing w:after="160" w:line="240" w:lineRule="auto"/>
              <w:jc w:val="center"/>
              <w:rPr>
                <w:rFonts w:eastAsia="Arial" w:cs="Arial"/>
                <w:b/>
              </w:rPr>
            </w:pPr>
            <w:r w:rsidRPr="00CF3636">
              <w:rPr>
                <w:rFonts w:eastAsia="Arial" w:cs="Arial"/>
                <w:b/>
              </w:rPr>
              <w:t>T1 + 18 mois</w:t>
            </w:r>
          </w:p>
        </w:tc>
      </w:tr>
      <w:tr w:rsidR="00CF3636" w:rsidRPr="00CF3636" w14:paraId="7FD63CF4" w14:textId="77777777" w:rsidTr="009D6E35">
        <w:trPr>
          <w:trHeight w:val="400"/>
        </w:trPr>
        <w:tc>
          <w:tcPr>
            <w:tcW w:w="978" w:type="dxa"/>
            <w:shd w:val="clear" w:color="auto" w:fill="auto"/>
            <w:vAlign w:val="center"/>
          </w:tcPr>
          <w:p w14:paraId="541E107D" w14:textId="77777777" w:rsidR="00CF3636" w:rsidRPr="00CF3636" w:rsidRDefault="00CF3636" w:rsidP="00CF3636">
            <w:pPr>
              <w:spacing w:after="160" w:line="240" w:lineRule="auto"/>
              <w:jc w:val="center"/>
              <w:rPr>
                <w:rFonts w:eastAsia="Arial" w:cs="Arial"/>
              </w:rPr>
            </w:pPr>
            <w:r w:rsidRPr="00CF3636">
              <w:rPr>
                <w:rFonts w:eastAsia="Arial" w:cs="Arial"/>
              </w:rPr>
              <w:t>L2.1</w:t>
            </w:r>
          </w:p>
        </w:tc>
        <w:tc>
          <w:tcPr>
            <w:tcW w:w="6520" w:type="dxa"/>
            <w:gridSpan w:val="2"/>
            <w:shd w:val="clear" w:color="auto" w:fill="auto"/>
            <w:vAlign w:val="center"/>
          </w:tcPr>
          <w:p w14:paraId="206B7104" w14:textId="77777777" w:rsidR="00CF3636" w:rsidRPr="00CF3636" w:rsidRDefault="00CF3636" w:rsidP="00CF3636">
            <w:pPr>
              <w:spacing w:after="160" w:line="240" w:lineRule="auto"/>
              <w:jc w:val="both"/>
              <w:rPr>
                <w:rFonts w:eastAsia="Arial" w:cs="Arial"/>
              </w:rPr>
            </w:pPr>
            <w:r w:rsidRPr="00CF3636">
              <w:rPr>
                <w:rFonts w:eastAsia="Arial" w:cs="Arial"/>
              </w:rPr>
              <w:t xml:space="preserve">Premier rapport de mission d’avancée intermédiaire </w:t>
            </w:r>
          </w:p>
        </w:tc>
        <w:tc>
          <w:tcPr>
            <w:tcW w:w="1418" w:type="dxa"/>
            <w:shd w:val="clear" w:color="auto" w:fill="auto"/>
            <w:vAlign w:val="center"/>
          </w:tcPr>
          <w:p w14:paraId="54DB659E" w14:textId="77777777" w:rsidR="00CF3636" w:rsidRPr="00CF3636" w:rsidRDefault="00CF3636" w:rsidP="00CF3636">
            <w:pPr>
              <w:spacing w:after="160" w:line="240" w:lineRule="auto"/>
              <w:jc w:val="center"/>
              <w:rPr>
                <w:rFonts w:eastAsia="Arial" w:cs="Arial"/>
              </w:rPr>
            </w:pPr>
            <w:r w:rsidRPr="00CF3636">
              <w:rPr>
                <w:rFonts w:eastAsia="Arial" w:cs="Arial"/>
              </w:rPr>
              <w:t>T1 + 4 mois</w:t>
            </w:r>
          </w:p>
        </w:tc>
      </w:tr>
      <w:tr w:rsidR="00CF3636" w:rsidRPr="00CF3636" w14:paraId="1CD42DA3" w14:textId="77777777" w:rsidTr="009D6E35">
        <w:trPr>
          <w:trHeight w:val="400"/>
        </w:trPr>
        <w:tc>
          <w:tcPr>
            <w:tcW w:w="978" w:type="dxa"/>
            <w:shd w:val="clear" w:color="auto" w:fill="auto"/>
            <w:vAlign w:val="center"/>
          </w:tcPr>
          <w:p w14:paraId="58ED65AF" w14:textId="77777777" w:rsidR="00CF3636" w:rsidRPr="00CF3636" w:rsidRDefault="00CF3636" w:rsidP="00CF3636">
            <w:pPr>
              <w:spacing w:after="160" w:line="240" w:lineRule="auto"/>
              <w:jc w:val="center"/>
              <w:rPr>
                <w:rFonts w:eastAsia="Arial" w:cs="Arial"/>
              </w:rPr>
            </w:pPr>
            <w:r w:rsidRPr="00CF3636">
              <w:rPr>
                <w:rFonts w:eastAsia="Arial" w:cs="Arial"/>
              </w:rPr>
              <w:t>L2.2</w:t>
            </w:r>
          </w:p>
        </w:tc>
        <w:tc>
          <w:tcPr>
            <w:tcW w:w="6520" w:type="dxa"/>
            <w:gridSpan w:val="2"/>
            <w:shd w:val="clear" w:color="auto" w:fill="auto"/>
            <w:vAlign w:val="center"/>
          </w:tcPr>
          <w:p w14:paraId="2662CCF5" w14:textId="77777777" w:rsidR="00CF3636" w:rsidRPr="00CF3636" w:rsidRDefault="00CF3636" w:rsidP="00CF3636">
            <w:pPr>
              <w:spacing w:after="160" w:line="240" w:lineRule="auto"/>
              <w:jc w:val="both"/>
              <w:rPr>
                <w:rFonts w:eastAsia="Arial" w:cs="Arial"/>
              </w:rPr>
            </w:pPr>
            <w:r w:rsidRPr="00CF3636">
              <w:rPr>
                <w:rFonts w:eastAsia="Arial" w:cs="Arial"/>
              </w:rPr>
              <w:t xml:space="preserve">Deuxième rapport de mission d’avancée intermédiaire </w:t>
            </w:r>
          </w:p>
        </w:tc>
        <w:tc>
          <w:tcPr>
            <w:tcW w:w="1418" w:type="dxa"/>
            <w:shd w:val="clear" w:color="auto" w:fill="auto"/>
            <w:vAlign w:val="center"/>
          </w:tcPr>
          <w:p w14:paraId="375D9970" w14:textId="77777777" w:rsidR="00CF3636" w:rsidRPr="00CF3636" w:rsidRDefault="00CF3636" w:rsidP="00CF3636">
            <w:pPr>
              <w:spacing w:after="160" w:line="240" w:lineRule="auto"/>
              <w:jc w:val="center"/>
              <w:rPr>
                <w:rFonts w:eastAsia="Arial" w:cs="Arial"/>
              </w:rPr>
            </w:pPr>
            <w:r w:rsidRPr="00CF3636">
              <w:rPr>
                <w:rFonts w:eastAsia="Arial" w:cs="Arial"/>
              </w:rPr>
              <w:t>T1 + 8 mois</w:t>
            </w:r>
          </w:p>
        </w:tc>
      </w:tr>
      <w:tr w:rsidR="00CF3636" w:rsidRPr="00CF3636" w14:paraId="7D5DE834" w14:textId="77777777" w:rsidTr="009D6E35">
        <w:trPr>
          <w:trHeight w:val="400"/>
        </w:trPr>
        <w:tc>
          <w:tcPr>
            <w:tcW w:w="978" w:type="dxa"/>
            <w:shd w:val="clear" w:color="auto" w:fill="auto"/>
            <w:vAlign w:val="center"/>
          </w:tcPr>
          <w:p w14:paraId="12E798CA" w14:textId="77777777" w:rsidR="00CF3636" w:rsidRPr="00CF3636" w:rsidRDefault="00CF3636" w:rsidP="00CF3636">
            <w:pPr>
              <w:spacing w:after="160" w:line="240" w:lineRule="auto"/>
              <w:jc w:val="center"/>
              <w:rPr>
                <w:rFonts w:eastAsia="Arial" w:cs="Arial"/>
              </w:rPr>
            </w:pPr>
            <w:r w:rsidRPr="00CF3636">
              <w:rPr>
                <w:rFonts w:eastAsia="Arial" w:cs="Arial"/>
              </w:rPr>
              <w:t>L2.3</w:t>
            </w:r>
          </w:p>
        </w:tc>
        <w:tc>
          <w:tcPr>
            <w:tcW w:w="6520" w:type="dxa"/>
            <w:gridSpan w:val="2"/>
            <w:shd w:val="clear" w:color="auto" w:fill="auto"/>
            <w:vAlign w:val="center"/>
          </w:tcPr>
          <w:p w14:paraId="59DD374D" w14:textId="77777777" w:rsidR="00CF3636" w:rsidRPr="00CF3636" w:rsidRDefault="00CF3636" w:rsidP="00CF3636">
            <w:pPr>
              <w:spacing w:after="160" w:line="240" w:lineRule="auto"/>
              <w:jc w:val="both"/>
              <w:rPr>
                <w:rFonts w:eastAsia="Arial" w:cs="Arial"/>
              </w:rPr>
            </w:pPr>
            <w:r w:rsidRPr="00CF3636">
              <w:rPr>
                <w:rFonts w:eastAsia="Arial" w:cs="Arial"/>
              </w:rPr>
              <w:t>Troisième rapport de mission d’avancée intermédiaire</w:t>
            </w:r>
          </w:p>
        </w:tc>
        <w:tc>
          <w:tcPr>
            <w:tcW w:w="1418" w:type="dxa"/>
            <w:shd w:val="clear" w:color="auto" w:fill="auto"/>
            <w:vAlign w:val="center"/>
          </w:tcPr>
          <w:p w14:paraId="169F6E79" w14:textId="77777777" w:rsidR="00CF3636" w:rsidRPr="00CF3636" w:rsidRDefault="00CF3636" w:rsidP="00CF3636">
            <w:pPr>
              <w:spacing w:after="160" w:line="240" w:lineRule="auto"/>
              <w:jc w:val="center"/>
              <w:rPr>
                <w:rFonts w:eastAsia="Arial" w:cs="Arial"/>
              </w:rPr>
            </w:pPr>
            <w:r w:rsidRPr="00CF3636">
              <w:rPr>
                <w:rFonts w:eastAsia="Arial" w:cs="Arial"/>
              </w:rPr>
              <w:t>T1 + 12 mois</w:t>
            </w:r>
          </w:p>
        </w:tc>
      </w:tr>
      <w:tr w:rsidR="00CF3636" w:rsidRPr="00CF3636" w14:paraId="11F0EECC" w14:textId="77777777" w:rsidTr="009D6E35">
        <w:trPr>
          <w:trHeight w:val="400"/>
        </w:trPr>
        <w:tc>
          <w:tcPr>
            <w:tcW w:w="978" w:type="dxa"/>
            <w:shd w:val="clear" w:color="auto" w:fill="auto"/>
            <w:vAlign w:val="center"/>
          </w:tcPr>
          <w:p w14:paraId="16A20156" w14:textId="77777777" w:rsidR="00CF3636" w:rsidRPr="00CF3636" w:rsidRDefault="00CF3636" w:rsidP="00CF3636">
            <w:pPr>
              <w:spacing w:after="160" w:line="240" w:lineRule="auto"/>
              <w:jc w:val="center"/>
              <w:rPr>
                <w:rFonts w:eastAsia="Arial" w:cs="Arial"/>
              </w:rPr>
            </w:pPr>
            <w:r w:rsidRPr="00CF3636">
              <w:rPr>
                <w:rFonts w:eastAsia="Arial" w:cs="Arial"/>
              </w:rPr>
              <w:t>L2.4</w:t>
            </w:r>
          </w:p>
        </w:tc>
        <w:tc>
          <w:tcPr>
            <w:tcW w:w="6520" w:type="dxa"/>
            <w:gridSpan w:val="2"/>
            <w:shd w:val="clear" w:color="auto" w:fill="auto"/>
            <w:vAlign w:val="center"/>
          </w:tcPr>
          <w:p w14:paraId="601A1030" w14:textId="77777777" w:rsidR="00CF3636" w:rsidRPr="00CF3636" w:rsidRDefault="00CF3636" w:rsidP="00CF3636">
            <w:pPr>
              <w:spacing w:after="160" w:line="240" w:lineRule="auto"/>
              <w:jc w:val="both"/>
              <w:rPr>
                <w:rFonts w:eastAsia="Arial" w:cs="Arial"/>
              </w:rPr>
            </w:pPr>
            <w:r w:rsidRPr="00CF3636">
              <w:rPr>
                <w:rFonts w:eastAsia="Arial" w:cs="Arial"/>
              </w:rPr>
              <w:t>Un guide de supervision des plateformes (à destination de l’ACM) – dans le cadre de la mission pré-identifiée #1</w:t>
            </w:r>
          </w:p>
        </w:tc>
        <w:tc>
          <w:tcPr>
            <w:tcW w:w="1418" w:type="dxa"/>
            <w:shd w:val="clear" w:color="auto" w:fill="auto"/>
            <w:vAlign w:val="center"/>
          </w:tcPr>
          <w:p w14:paraId="62EBFA5F" w14:textId="77777777" w:rsidR="00CF3636" w:rsidRPr="00CF3636" w:rsidRDefault="00CF3636" w:rsidP="00CF3636">
            <w:pPr>
              <w:spacing w:after="160" w:line="240" w:lineRule="auto"/>
              <w:jc w:val="center"/>
              <w:rPr>
                <w:rFonts w:eastAsia="Arial" w:cs="Arial"/>
              </w:rPr>
            </w:pPr>
            <w:r w:rsidRPr="00CF3636">
              <w:rPr>
                <w:rFonts w:eastAsia="Arial" w:cs="Arial"/>
              </w:rPr>
              <w:t>T1 + 14 mois</w:t>
            </w:r>
          </w:p>
        </w:tc>
      </w:tr>
      <w:tr w:rsidR="00CF3636" w:rsidRPr="00CF3636" w14:paraId="15C69010" w14:textId="77777777" w:rsidTr="009D6E35">
        <w:trPr>
          <w:trHeight w:val="400"/>
        </w:trPr>
        <w:tc>
          <w:tcPr>
            <w:tcW w:w="978" w:type="dxa"/>
            <w:shd w:val="clear" w:color="auto" w:fill="auto"/>
            <w:vAlign w:val="center"/>
          </w:tcPr>
          <w:p w14:paraId="6305CB3E" w14:textId="77777777" w:rsidR="00CF3636" w:rsidRPr="00CF3636" w:rsidRDefault="00CF3636" w:rsidP="00CF3636">
            <w:pPr>
              <w:spacing w:after="160" w:line="240" w:lineRule="auto"/>
              <w:jc w:val="center"/>
              <w:rPr>
                <w:rFonts w:eastAsia="Arial" w:cs="Arial"/>
              </w:rPr>
            </w:pPr>
            <w:r w:rsidRPr="00CF3636">
              <w:rPr>
                <w:rFonts w:eastAsia="Arial" w:cs="Arial"/>
              </w:rPr>
              <w:t xml:space="preserve">L2.5 </w:t>
            </w:r>
          </w:p>
        </w:tc>
        <w:tc>
          <w:tcPr>
            <w:tcW w:w="6520" w:type="dxa"/>
            <w:gridSpan w:val="2"/>
            <w:shd w:val="clear" w:color="auto" w:fill="auto"/>
            <w:vAlign w:val="center"/>
          </w:tcPr>
          <w:p w14:paraId="70530022" w14:textId="77777777" w:rsidR="00CF3636" w:rsidRPr="00CF3636" w:rsidRDefault="00CF3636" w:rsidP="00CF3636">
            <w:pPr>
              <w:spacing w:after="160" w:line="240" w:lineRule="auto"/>
              <w:jc w:val="both"/>
              <w:rPr>
                <w:rFonts w:eastAsia="Arial" w:cs="Arial"/>
              </w:rPr>
            </w:pPr>
            <w:r w:rsidRPr="00CF3636">
              <w:rPr>
                <w:rFonts w:eastAsia="Arial" w:cs="Arial"/>
                <w:color w:val="000000"/>
              </w:rPr>
              <w:t>Un outil de formalisation des procédures et/ou pratiques pour chaque plateforme en cours d’existence soutenue (soit 2) : un guide ou tout autre support pertinent visant à formaliser les procédures mises en place durant la mission, accompagné d’un dispositif de pérennisation des pratiques post-mission (incluant transfert de compétences et recommandations pour une mise à jour régulière) – dans le cadre de la mission pré-identifiée #2</w:t>
            </w:r>
          </w:p>
        </w:tc>
        <w:tc>
          <w:tcPr>
            <w:tcW w:w="1418" w:type="dxa"/>
            <w:shd w:val="clear" w:color="auto" w:fill="auto"/>
            <w:vAlign w:val="center"/>
          </w:tcPr>
          <w:p w14:paraId="3B3906CC" w14:textId="77777777" w:rsidR="00CF3636" w:rsidRPr="00CF3636" w:rsidRDefault="00CF3636" w:rsidP="00CF3636">
            <w:pPr>
              <w:spacing w:after="160" w:line="240" w:lineRule="auto"/>
              <w:jc w:val="center"/>
              <w:rPr>
                <w:rFonts w:eastAsia="Arial" w:cs="Arial"/>
              </w:rPr>
            </w:pPr>
            <w:r w:rsidRPr="00CF3636">
              <w:rPr>
                <w:rFonts w:eastAsia="Arial" w:cs="Arial"/>
              </w:rPr>
              <w:t>T1 + 16 mois</w:t>
            </w:r>
          </w:p>
        </w:tc>
      </w:tr>
      <w:tr w:rsidR="00CF3636" w:rsidRPr="00CF3636" w14:paraId="645C963F" w14:textId="77777777" w:rsidTr="009D6E35">
        <w:trPr>
          <w:trHeight w:val="400"/>
        </w:trPr>
        <w:tc>
          <w:tcPr>
            <w:tcW w:w="978" w:type="dxa"/>
            <w:shd w:val="clear" w:color="auto" w:fill="auto"/>
            <w:vAlign w:val="center"/>
          </w:tcPr>
          <w:p w14:paraId="7D916204" w14:textId="77777777" w:rsidR="00CF3636" w:rsidRPr="00CF3636" w:rsidRDefault="00CF3636" w:rsidP="00CF3636">
            <w:pPr>
              <w:spacing w:after="160" w:line="240" w:lineRule="auto"/>
              <w:jc w:val="center"/>
              <w:rPr>
                <w:rFonts w:eastAsia="Arial" w:cs="Arial"/>
              </w:rPr>
            </w:pPr>
            <w:r w:rsidRPr="00CF3636">
              <w:rPr>
                <w:rFonts w:eastAsia="Arial" w:cs="Arial"/>
              </w:rPr>
              <w:t>L2.6</w:t>
            </w:r>
          </w:p>
        </w:tc>
        <w:tc>
          <w:tcPr>
            <w:tcW w:w="6520" w:type="dxa"/>
            <w:gridSpan w:val="2"/>
            <w:shd w:val="clear" w:color="auto" w:fill="auto"/>
            <w:vAlign w:val="center"/>
          </w:tcPr>
          <w:p w14:paraId="4D6A3A19" w14:textId="77777777" w:rsidR="00CF3636" w:rsidRPr="00CF3636" w:rsidRDefault="00CF3636" w:rsidP="00CF3636">
            <w:pPr>
              <w:spacing w:after="160" w:line="240" w:lineRule="auto"/>
              <w:jc w:val="both"/>
              <w:rPr>
                <w:rFonts w:eastAsia="Arial" w:cs="Arial"/>
                <w:color w:val="000000"/>
              </w:rPr>
            </w:pPr>
            <w:r w:rsidRPr="00CF3636">
              <w:rPr>
                <w:rFonts w:eastAsia="Arial" w:cs="Arial"/>
                <w:color w:val="000000"/>
              </w:rPr>
              <w:t>3 rapports de missions finales d’AT (un pour chaque cible de l’AT : (i) ACM, (ii) plateformes en cours d’existence, (iii) acteur.rices désireux.euses de déposer une demande d’agrément/souhaitant lancer une plateforme)</w:t>
            </w:r>
          </w:p>
        </w:tc>
        <w:tc>
          <w:tcPr>
            <w:tcW w:w="1418" w:type="dxa"/>
            <w:shd w:val="clear" w:color="auto" w:fill="auto"/>
            <w:vAlign w:val="center"/>
          </w:tcPr>
          <w:p w14:paraId="7F43BAA7" w14:textId="77777777" w:rsidR="00CF3636" w:rsidRPr="00CF3636" w:rsidRDefault="00CF3636" w:rsidP="00CF3636">
            <w:pPr>
              <w:spacing w:after="160" w:line="240" w:lineRule="auto"/>
              <w:jc w:val="center"/>
              <w:rPr>
                <w:rFonts w:eastAsia="Arial" w:cs="Arial"/>
              </w:rPr>
            </w:pPr>
            <w:r w:rsidRPr="00CF3636">
              <w:rPr>
                <w:rFonts w:eastAsia="Arial" w:cs="Arial"/>
              </w:rPr>
              <w:t>T1 +  18 mois</w:t>
            </w:r>
          </w:p>
        </w:tc>
      </w:tr>
      <w:tr w:rsidR="00CF3636" w:rsidRPr="00CF3636" w14:paraId="23C878DC" w14:textId="77777777" w:rsidTr="009D6E35">
        <w:trPr>
          <w:trHeight w:val="400"/>
        </w:trPr>
        <w:tc>
          <w:tcPr>
            <w:tcW w:w="7498" w:type="dxa"/>
            <w:gridSpan w:val="3"/>
            <w:shd w:val="clear" w:color="auto" w:fill="DBE5F1"/>
            <w:vAlign w:val="center"/>
          </w:tcPr>
          <w:p w14:paraId="4EFCD936" w14:textId="77777777" w:rsidR="00CF3636" w:rsidRPr="00CF3636" w:rsidRDefault="00CF3636" w:rsidP="00CF3636">
            <w:pPr>
              <w:numPr>
                <w:ilvl w:val="0"/>
                <w:numId w:val="47"/>
              </w:numPr>
              <w:pBdr>
                <w:top w:val="nil"/>
                <w:left w:val="nil"/>
                <w:bottom w:val="nil"/>
                <w:right w:val="nil"/>
                <w:between w:val="nil"/>
              </w:pBdr>
              <w:spacing w:after="160" w:line="240" w:lineRule="auto"/>
              <w:rPr>
                <w:rFonts w:eastAsia="Arial" w:cs="Arial"/>
                <w:b/>
                <w:color w:val="000000"/>
              </w:rPr>
            </w:pPr>
            <w:r w:rsidRPr="00CF3636">
              <w:rPr>
                <w:rFonts w:eastAsia="Arial" w:cs="Arial"/>
                <w:b/>
                <w:color w:val="000000"/>
              </w:rPr>
              <w:t xml:space="preserve">Capitalisation et clôture des missions d’assistance technique (mai 2027 à juin 2027) </w:t>
            </w:r>
          </w:p>
        </w:tc>
        <w:tc>
          <w:tcPr>
            <w:tcW w:w="1418" w:type="dxa"/>
            <w:shd w:val="clear" w:color="auto" w:fill="DBE5F1"/>
            <w:vAlign w:val="center"/>
          </w:tcPr>
          <w:p w14:paraId="5525BCCA" w14:textId="77777777" w:rsidR="00CF3636" w:rsidRPr="00CF3636" w:rsidRDefault="00CF3636" w:rsidP="00CF3636">
            <w:pPr>
              <w:spacing w:after="160" w:line="240" w:lineRule="auto"/>
              <w:jc w:val="center"/>
              <w:rPr>
                <w:rFonts w:eastAsia="Arial" w:cs="Arial"/>
                <w:b/>
              </w:rPr>
            </w:pPr>
            <w:r w:rsidRPr="00CF3636">
              <w:rPr>
                <w:rFonts w:eastAsia="Arial" w:cs="Arial"/>
                <w:b/>
              </w:rPr>
              <w:t>T2 +  2 mois</w:t>
            </w:r>
          </w:p>
        </w:tc>
      </w:tr>
      <w:tr w:rsidR="00CF3636" w:rsidRPr="00CF3636" w14:paraId="0C10E465" w14:textId="77777777" w:rsidTr="009D6E35">
        <w:trPr>
          <w:trHeight w:val="320"/>
        </w:trPr>
        <w:tc>
          <w:tcPr>
            <w:tcW w:w="978" w:type="dxa"/>
            <w:shd w:val="clear" w:color="auto" w:fill="auto"/>
            <w:vAlign w:val="center"/>
          </w:tcPr>
          <w:p w14:paraId="5CD163D7" w14:textId="77777777" w:rsidR="00CF3636" w:rsidRPr="00CF3636" w:rsidRDefault="00CF3636" w:rsidP="00CF3636">
            <w:pPr>
              <w:spacing w:after="160" w:line="240" w:lineRule="auto"/>
              <w:jc w:val="center"/>
              <w:rPr>
                <w:rFonts w:eastAsia="Arial" w:cs="Arial"/>
              </w:rPr>
            </w:pPr>
            <w:r w:rsidRPr="00CF3636">
              <w:rPr>
                <w:rFonts w:eastAsia="Arial" w:cs="Arial"/>
              </w:rPr>
              <w:t>L3.1</w:t>
            </w:r>
          </w:p>
        </w:tc>
        <w:tc>
          <w:tcPr>
            <w:tcW w:w="6520" w:type="dxa"/>
            <w:gridSpan w:val="2"/>
            <w:shd w:val="clear" w:color="auto" w:fill="auto"/>
            <w:vAlign w:val="center"/>
          </w:tcPr>
          <w:p w14:paraId="67F019BA" w14:textId="77777777" w:rsidR="00CF3636" w:rsidRPr="00CF3636" w:rsidRDefault="00CF3636" w:rsidP="00CF3636">
            <w:pPr>
              <w:pBdr>
                <w:top w:val="nil"/>
                <w:left w:val="nil"/>
                <w:bottom w:val="nil"/>
                <w:right w:val="nil"/>
                <w:between w:val="nil"/>
              </w:pBdr>
              <w:spacing w:before="120" w:line="240" w:lineRule="auto"/>
              <w:rPr>
                <w:rFonts w:eastAsia="Arial" w:cs="Arial"/>
              </w:rPr>
            </w:pPr>
            <w:r w:rsidRPr="00CF3636">
              <w:rPr>
                <w:rFonts w:eastAsia="Arial" w:cs="Arial"/>
              </w:rPr>
              <w:t>1 rapport provisoire de suivi-évaluation et capitalisation</w:t>
            </w:r>
          </w:p>
        </w:tc>
        <w:tc>
          <w:tcPr>
            <w:tcW w:w="1418" w:type="dxa"/>
            <w:shd w:val="clear" w:color="auto" w:fill="auto"/>
            <w:vAlign w:val="center"/>
          </w:tcPr>
          <w:p w14:paraId="0117E09F" w14:textId="77777777" w:rsidR="00CF3636" w:rsidRPr="00CF3636" w:rsidRDefault="00CF3636" w:rsidP="00CF3636">
            <w:pPr>
              <w:widowControl w:val="0"/>
              <w:pBdr>
                <w:top w:val="nil"/>
                <w:left w:val="nil"/>
                <w:bottom w:val="nil"/>
                <w:right w:val="nil"/>
                <w:between w:val="nil"/>
              </w:pBdr>
              <w:spacing w:after="160" w:line="240" w:lineRule="auto"/>
              <w:jc w:val="center"/>
              <w:rPr>
                <w:rFonts w:eastAsia="Arial" w:cs="Arial"/>
              </w:rPr>
            </w:pPr>
            <w:r w:rsidRPr="00CF3636">
              <w:rPr>
                <w:rFonts w:eastAsia="Arial" w:cs="Arial"/>
              </w:rPr>
              <w:t>T2 + 1 mois</w:t>
            </w:r>
          </w:p>
        </w:tc>
      </w:tr>
      <w:tr w:rsidR="00CF3636" w:rsidRPr="00CF3636" w14:paraId="28A77880" w14:textId="77777777" w:rsidTr="009D6E35">
        <w:trPr>
          <w:trHeight w:val="320"/>
        </w:trPr>
        <w:tc>
          <w:tcPr>
            <w:tcW w:w="978" w:type="dxa"/>
            <w:shd w:val="clear" w:color="auto" w:fill="auto"/>
            <w:vAlign w:val="center"/>
          </w:tcPr>
          <w:p w14:paraId="7F16A5BE" w14:textId="77777777" w:rsidR="00CF3636" w:rsidRPr="00CF3636" w:rsidRDefault="00CF3636" w:rsidP="00CF3636">
            <w:pPr>
              <w:spacing w:after="160" w:line="240" w:lineRule="auto"/>
              <w:jc w:val="center"/>
              <w:rPr>
                <w:rFonts w:eastAsia="Arial" w:cs="Arial"/>
              </w:rPr>
            </w:pPr>
            <w:r w:rsidRPr="00CF3636">
              <w:rPr>
                <w:rFonts w:eastAsia="Arial" w:cs="Arial"/>
              </w:rPr>
              <w:t>L3.2</w:t>
            </w:r>
          </w:p>
        </w:tc>
        <w:tc>
          <w:tcPr>
            <w:tcW w:w="6520" w:type="dxa"/>
            <w:gridSpan w:val="2"/>
            <w:shd w:val="clear" w:color="auto" w:fill="auto"/>
            <w:vAlign w:val="center"/>
          </w:tcPr>
          <w:p w14:paraId="22E1786D" w14:textId="77777777" w:rsidR="00CF3636" w:rsidRPr="00CF3636" w:rsidRDefault="00CF3636" w:rsidP="00CF3636">
            <w:pPr>
              <w:spacing w:after="160" w:line="240" w:lineRule="auto"/>
              <w:jc w:val="both"/>
              <w:rPr>
                <w:rFonts w:eastAsia="Arial" w:cs="Arial"/>
              </w:rPr>
            </w:pPr>
            <w:r w:rsidRPr="00CF3636">
              <w:rPr>
                <w:rFonts w:eastAsia="Arial" w:cs="Arial"/>
              </w:rPr>
              <w:t xml:space="preserve">1 présentation finale des résultats et enseignements au COPIL de Greenov’i </w:t>
            </w:r>
          </w:p>
        </w:tc>
        <w:tc>
          <w:tcPr>
            <w:tcW w:w="1418" w:type="dxa"/>
            <w:shd w:val="clear" w:color="auto" w:fill="auto"/>
            <w:vAlign w:val="center"/>
          </w:tcPr>
          <w:p w14:paraId="3ED5BC59" w14:textId="77777777" w:rsidR="00CF3636" w:rsidRPr="00CF3636" w:rsidRDefault="00CF3636" w:rsidP="00CF3636">
            <w:pPr>
              <w:widowControl w:val="0"/>
              <w:pBdr>
                <w:top w:val="nil"/>
                <w:left w:val="nil"/>
                <w:bottom w:val="nil"/>
                <w:right w:val="nil"/>
                <w:between w:val="nil"/>
              </w:pBdr>
              <w:spacing w:after="160" w:line="240" w:lineRule="auto"/>
              <w:jc w:val="center"/>
              <w:rPr>
                <w:rFonts w:eastAsia="Arial" w:cs="Arial"/>
              </w:rPr>
            </w:pPr>
            <w:r w:rsidRPr="00CF3636">
              <w:rPr>
                <w:rFonts w:eastAsia="Arial" w:cs="Arial"/>
              </w:rPr>
              <w:t>T2 +  1 mois</w:t>
            </w:r>
          </w:p>
        </w:tc>
      </w:tr>
      <w:tr w:rsidR="00CF3636" w:rsidRPr="00CF3636" w14:paraId="2ABD298A" w14:textId="77777777" w:rsidTr="009D6E35">
        <w:trPr>
          <w:trHeight w:val="320"/>
        </w:trPr>
        <w:tc>
          <w:tcPr>
            <w:tcW w:w="978" w:type="dxa"/>
            <w:shd w:val="clear" w:color="auto" w:fill="auto"/>
            <w:vAlign w:val="center"/>
          </w:tcPr>
          <w:p w14:paraId="3BC69BFE" w14:textId="77777777" w:rsidR="00CF3636" w:rsidRPr="00CF3636" w:rsidRDefault="00CF3636" w:rsidP="00CF3636">
            <w:pPr>
              <w:spacing w:after="160" w:line="240" w:lineRule="auto"/>
              <w:jc w:val="center"/>
              <w:rPr>
                <w:rFonts w:eastAsia="Arial" w:cs="Arial"/>
              </w:rPr>
            </w:pPr>
            <w:r w:rsidRPr="00CF3636">
              <w:rPr>
                <w:rFonts w:eastAsia="Arial" w:cs="Arial"/>
              </w:rPr>
              <w:t>L3.3</w:t>
            </w:r>
          </w:p>
        </w:tc>
        <w:tc>
          <w:tcPr>
            <w:tcW w:w="6520" w:type="dxa"/>
            <w:gridSpan w:val="2"/>
            <w:shd w:val="clear" w:color="auto" w:fill="auto"/>
            <w:vAlign w:val="center"/>
          </w:tcPr>
          <w:p w14:paraId="4D5B42C7" w14:textId="77777777" w:rsidR="00CF3636" w:rsidRPr="00CF3636" w:rsidRDefault="00CF3636" w:rsidP="00CF3636">
            <w:pPr>
              <w:spacing w:after="160" w:line="240" w:lineRule="auto"/>
              <w:jc w:val="both"/>
              <w:rPr>
                <w:rFonts w:eastAsia="Arial" w:cs="Arial"/>
              </w:rPr>
            </w:pPr>
            <w:r w:rsidRPr="00CF3636">
              <w:rPr>
                <w:rFonts w:eastAsia="Arial" w:cs="Arial"/>
              </w:rPr>
              <w:t>1 rapport final de suivi-évaluation et capitalisation</w:t>
            </w:r>
          </w:p>
        </w:tc>
        <w:tc>
          <w:tcPr>
            <w:tcW w:w="1418" w:type="dxa"/>
            <w:shd w:val="clear" w:color="auto" w:fill="auto"/>
            <w:vAlign w:val="center"/>
          </w:tcPr>
          <w:p w14:paraId="411DAE86" w14:textId="77777777" w:rsidR="00CF3636" w:rsidRPr="00CF3636" w:rsidRDefault="00CF3636" w:rsidP="00CF3636">
            <w:pPr>
              <w:widowControl w:val="0"/>
              <w:pBdr>
                <w:top w:val="nil"/>
                <w:left w:val="nil"/>
                <w:bottom w:val="nil"/>
                <w:right w:val="nil"/>
                <w:between w:val="nil"/>
              </w:pBdr>
              <w:spacing w:after="160" w:line="240" w:lineRule="auto"/>
              <w:jc w:val="center"/>
              <w:rPr>
                <w:rFonts w:eastAsia="Arial" w:cs="Arial"/>
              </w:rPr>
            </w:pPr>
            <w:r w:rsidRPr="00CF3636">
              <w:rPr>
                <w:rFonts w:eastAsia="Arial" w:cs="Arial"/>
              </w:rPr>
              <w:t>T2 + 2 mois</w:t>
            </w:r>
          </w:p>
        </w:tc>
      </w:tr>
    </w:tbl>
    <w:p w14:paraId="3E86BCCF" w14:textId="77777777" w:rsidR="00BC28CB" w:rsidRDefault="00BC28CB" w:rsidP="00BC28CB"/>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9"/>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211EA0ED" w14:textId="4AED5C9A" w:rsidR="00E25D2D" w:rsidRPr="00A86E43" w:rsidRDefault="005563C9" w:rsidP="00BC28CB">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042722">
        <w:rPr>
          <w:rFonts w:asciiTheme="minorHAnsi" w:hAnsiTheme="minorHAnsi" w:cstheme="minorHAnsi"/>
          <w:szCs w:val="22"/>
        </w:rPr>
        <w:t>[</w:t>
      </w:r>
      <w:r w:rsidR="00BC28CB">
        <w:rPr>
          <w:rFonts w:asciiTheme="minorHAnsi" w:hAnsiTheme="minorHAnsi" w:cstheme="minorHAnsi"/>
          <w:szCs w:val="22"/>
        </w:rPr>
        <w:t>Tunisie</w:t>
      </w:r>
      <w:r w:rsidR="00042722">
        <w:rPr>
          <w:rFonts w:asciiTheme="minorHAnsi" w:hAnsiTheme="minorHAnsi" w:cstheme="minorHAnsi"/>
          <w:szCs w:val="22"/>
        </w:rPr>
        <w:t>] et/ou [à distance]</w:t>
      </w:r>
      <w:r w:rsidR="00BC28CB">
        <w:rPr>
          <w:rFonts w:asciiTheme="minorHAnsi" w:hAnsiTheme="minorHAnsi" w:cstheme="minorHAnsi"/>
          <w:szCs w:val="22"/>
        </w:rPr>
        <w: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126921996"/>
      <w:bookmarkStart w:id="45" w:name="_Toc392669645"/>
      <w:r>
        <w:rPr>
          <w:rFonts w:asciiTheme="minorHAnsi" w:hAnsiTheme="minorHAnsi" w:cstheme="minorHAnsi"/>
          <w:sz w:val="22"/>
          <w:szCs w:val="22"/>
        </w:rPr>
        <w:lastRenderedPageBreak/>
        <w:t>Langue du contrat</w:t>
      </w:r>
      <w:bookmarkEnd w:id="44"/>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126921997"/>
      <w:r w:rsidRPr="00A86E43">
        <w:rPr>
          <w:rFonts w:asciiTheme="minorHAnsi" w:hAnsiTheme="minorHAnsi" w:cstheme="minorHAnsi"/>
          <w:sz w:val="22"/>
          <w:szCs w:val="22"/>
        </w:rPr>
        <w:t xml:space="preserve">Engagement du </w:t>
      </w:r>
      <w:bookmarkEnd w:id="45"/>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6B6C1B">
      <w:pPr>
        <w:pStyle w:val="u"/>
        <w:widowControl w:val="0"/>
        <w:numPr>
          <w:ilvl w:val="0"/>
          <w:numId w:val="8"/>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6B6C1B">
      <w:pPr>
        <w:pStyle w:val="u"/>
        <w:widowControl w:val="0"/>
        <w:numPr>
          <w:ilvl w:val="0"/>
          <w:numId w:val="8"/>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26921998"/>
      <w:r w:rsidRPr="00A86E43">
        <w:rPr>
          <w:rFonts w:asciiTheme="minorHAnsi" w:hAnsiTheme="minorHAnsi" w:cstheme="minorHAnsi"/>
          <w:sz w:val="22"/>
          <w:szCs w:val="22"/>
        </w:rPr>
        <w:t>Confidentialité</w:t>
      </w:r>
      <w:bookmarkEnd w:id="47"/>
      <w:bookmarkEnd w:id="48"/>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 xml:space="preserve">tielles, s’engagent à </w:t>
      </w:r>
      <w:r w:rsidR="0091111F" w:rsidRPr="00A86E43">
        <w:rPr>
          <w:rFonts w:asciiTheme="minorHAnsi" w:hAnsiTheme="minorHAnsi" w:cstheme="minorHAnsi"/>
          <w:szCs w:val="22"/>
        </w:rPr>
        <w:lastRenderedPageBreak/>
        <w:t>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9"/>
      <w:bookmarkEnd w:id="50"/>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A86E43" w:rsidRDefault="00E25860" w:rsidP="006B6C1B">
      <w:pPr>
        <w:pStyle w:val="u"/>
        <w:widowControl w:val="0"/>
        <w:numPr>
          <w:ilvl w:val="0"/>
          <w:numId w:val="10"/>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Pr="00A86E43">
        <w:rPr>
          <w:rFonts w:asciiTheme="minorHAnsi" w:hAnsiTheme="minorHAnsi" w:cstheme="minorHAnsi"/>
          <w:smallCaps/>
          <w:szCs w:val="22"/>
          <w:highlight w:val="yellow"/>
        </w:rPr>
        <w:t>C</w:t>
      </w:r>
      <w:r w:rsidR="00F415F2" w:rsidRPr="00A86E43">
        <w:rPr>
          <w:rFonts w:asciiTheme="minorHAnsi" w:hAnsiTheme="minorHAnsi" w:cstheme="minorHAnsi"/>
          <w:smallCaps/>
          <w:szCs w:val="22"/>
          <w:highlight w:val="yellow"/>
        </w:rPr>
        <w:t>ontrat principal</w:t>
      </w:r>
    </w:p>
    <w:p w14:paraId="195BB9F7" w14:textId="77777777" w:rsidR="005C1231" w:rsidRPr="00A86E43" w:rsidRDefault="005C1231" w:rsidP="006B6C1B">
      <w:pPr>
        <w:pStyle w:val="u"/>
        <w:widowControl w:val="0"/>
        <w:numPr>
          <w:ilvl w:val="0"/>
          <w:numId w:val="10"/>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AF33C4" w:rsidRPr="00A86E43">
        <w:rPr>
          <w:rFonts w:asciiTheme="minorHAnsi" w:hAnsiTheme="minorHAnsi" w:cstheme="minorHAnsi"/>
          <w:smallCaps/>
          <w:szCs w:val="22"/>
          <w:highlight w:val="yellow"/>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126922000"/>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126922001"/>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61223326" w14:textId="45120145" w:rsidR="00F6667B" w:rsidRPr="00F6667B" w:rsidRDefault="00F6667B" w:rsidP="00F6667B">
            <w:pPr>
              <w:widowControl w:val="0"/>
              <w:numPr>
                <w:ilvl w:val="12"/>
                <w:numId w:val="0"/>
              </w:numPr>
              <w:spacing w:line="240" w:lineRule="auto"/>
              <w:rPr>
                <w:rFonts w:asciiTheme="minorHAnsi" w:hAnsiTheme="minorHAnsi" w:cstheme="minorHAnsi"/>
                <w:sz w:val="22"/>
                <w:szCs w:val="22"/>
              </w:rPr>
            </w:pPr>
            <w:r w:rsidRPr="00F6667B">
              <w:rPr>
                <w:rFonts w:asciiTheme="minorHAnsi" w:hAnsiTheme="minorHAnsi" w:cstheme="minorHAnsi"/>
                <w:sz w:val="22"/>
                <w:szCs w:val="22"/>
              </w:rPr>
              <w:t>Cheffe de projet</w:t>
            </w:r>
          </w:p>
          <w:p w14:paraId="2FC7BD2B" w14:textId="01DBEC92" w:rsidR="00F6667B" w:rsidRDefault="00D83D43" w:rsidP="00F6667B">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Jennifer JONES CHAPET</w:t>
            </w:r>
          </w:p>
          <w:p w14:paraId="38DD0932" w14:textId="6F9B3185" w:rsidR="00D07897" w:rsidRPr="00F6667B" w:rsidRDefault="00D07897" w:rsidP="00F6667B">
            <w:pPr>
              <w:widowControl w:val="0"/>
              <w:numPr>
                <w:ilvl w:val="12"/>
                <w:numId w:val="0"/>
              </w:numPr>
              <w:spacing w:line="240" w:lineRule="auto"/>
              <w:jc w:val="both"/>
              <w:rPr>
                <w:rFonts w:asciiTheme="minorHAnsi" w:hAnsiTheme="minorHAnsi" w:cstheme="minorHAnsi"/>
                <w:sz w:val="22"/>
                <w:szCs w:val="22"/>
              </w:rPr>
            </w:pPr>
            <w:r w:rsidRPr="00F6667B">
              <w:rPr>
                <w:rFonts w:asciiTheme="minorHAnsi" w:hAnsiTheme="minorHAnsi" w:cstheme="minorHAnsi"/>
                <w:sz w:val="22"/>
                <w:szCs w:val="22"/>
              </w:rPr>
              <w:t xml:space="preserve">Département </w:t>
            </w:r>
            <w:r w:rsidR="00BC28CB" w:rsidRPr="00F6667B">
              <w:rPr>
                <w:rFonts w:asciiTheme="minorHAnsi" w:hAnsiTheme="minorHAnsi" w:cstheme="minorHAnsi"/>
                <w:sz w:val="22"/>
                <w:szCs w:val="22"/>
              </w:rPr>
              <w:t>EDI</w:t>
            </w:r>
          </w:p>
          <w:p w14:paraId="414E5990" w14:textId="77777777" w:rsidR="00BC28CB" w:rsidRPr="00BC28CB" w:rsidRDefault="00BC28CB" w:rsidP="00BC28CB">
            <w:pPr>
              <w:widowControl w:val="0"/>
              <w:numPr>
                <w:ilvl w:val="12"/>
                <w:numId w:val="0"/>
              </w:numPr>
              <w:spacing w:line="240" w:lineRule="auto"/>
              <w:rPr>
                <w:rFonts w:asciiTheme="minorHAnsi" w:hAnsiTheme="minorHAnsi" w:cstheme="minorHAnsi"/>
                <w:sz w:val="22"/>
                <w:szCs w:val="22"/>
              </w:rPr>
            </w:pPr>
            <w:r w:rsidRPr="00BC28CB">
              <w:rPr>
                <w:rFonts w:asciiTheme="minorHAnsi" w:hAnsiTheme="minorHAnsi" w:cstheme="minorHAnsi"/>
                <w:sz w:val="22"/>
                <w:szCs w:val="22"/>
              </w:rPr>
              <w:t xml:space="preserve">20 Rue Ibn Nafis – SOPIC Building </w:t>
            </w:r>
          </w:p>
          <w:p w14:paraId="011F9325" w14:textId="562CB622" w:rsidR="00D07897" w:rsidRPr="00A86E43" w:rsidRDefault="00BC28CB" w:rsidP="00BC28CB">
            <w:pPr>
              <w:widowControl w:val="0"/>
              <w:numPr>
                <w:ilvl w:val="12"/>
                <w:numId w:val="0"/>
              </w:numPr>
              <w:spacing w:line="240" w:lineRule="auto"/>
              <w:jc w:val="both"/>
              <w:rPr>
                <w:rFonts w:asciiTheme="minorHAnsi" w:hAnsiTheme="minorHAnsi" w:cstheme="minorHAnsi"/>
                <w:sz w:val="22"/>
                <w:szCs w:val="22"/>
                <w:highlight w:val="yellow"/>
              </w:rPr>
            </w:pPr>
            <w:r w:rsidRPr="00BC28CB">
              <w:rPr>
                <w:rFonts w:asciiTheme="minorHAnsi" w:hAnsiTheme="minorHAnsi" w:cstheme="minorHAnsi"/>
                <w:sz w:val="22"/>
                <w:szCs w:val="22"/>
              </w:rPr>
              <w:t>ZI Kheireddine Lac 3, Tunis</w:t>
            </w:r>
            <w:r>
              <w:rPr>
                <w:rFonts w:asciiTheme="minorHAnsi" w:hAnsiTheme="minorHAnsi" w:cstheme="minorHAnsi"/>
                <w:sz w:val="22"/>
                <w:szCs w:val="22"/>
              </w:rPr>
              <w:t>, Tunisie</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126922002"/>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6B6C1B">
      <w:pPr>
        <w:pStyle w:val="Paragraphedeliste"/>
        <w:numPr>
          <w:ilvl w:val="0"/>
          <w:numId w:val="23"/>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6B6C1B">
      <w:pPr>
        <w:pStyle w:val="Paragraphedeliste"/>
        <w:numPr>
          <w:ilvl w:val="0"/>
          <w:numId w:val="23"/>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1E270E30" w:rsidR="009766DB" w:rsidRPr="00130AB0" w:rsidRDefault="009766DB" w:rsidP="006B6C1B">
      <w:pPr>
        <w:pStyle w:val="u"/>
        <w:widowControl w:val="0"/>
        <w:numPr>
          <w:ilvl w:val="0"/>
          <w:numId w:val="16"/>
        </w:numPr>
        <w:spacing w:before="120"/>
        <w:rPr>
          <w:rFonts w:asciiTheme="minorHAnsi" w:hAnsiTheme="minorHAnsi" w:cs="Arial"/>
          <w:szCs w:val="22"/>
        </w:rPr>
      </w:pPr>
      <w:r w:rsidRPr="00130AB0">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130AB0">
        <w:rPr>
          <w:rFonts w:asciiTheme="minorHAnsi" w:hAnsiTheme="minorHAnsi" w:cs="Arial"/>
          <w:smallCaps/>
          <w:szCs w:val="22"/>
        </w:rPr>
        <w:t>Expertise France</w:t>
      </w:r>
      <w:r w:rsidRPr="00130AB0">
        <w:rPr>
          <w:rFonts w:asciiTheme="minorHAnsi" w:hAnsiTheme="minorHAnsi" w:cs="Arial"/>
          <w:szCs w:val="22"/>
        </w:rPr>
        <w:t>;</w:t>
      </w:r>
    </w:p>
    <w:p w14:paraId="14FF8CBF" w14:textId="0566E2EC" w:rsidR="009766DB" w:rsidRPr="00130AB0" w:rsidRDefault="009766DB" w:rsidP="006B6C1B">
      <w:pPr>
        <w:pStyle w:val="u"/>
        <w:widowControl w:val="0"/>
        <w:numPr>
          <w:ilvl w:val="0"/>
          <w:numId w:val="16"/>
        </w:numPr>
        <w:spacing w:before="120"/>
        <w:rPr>
          <w:rFonts w:asciiTheme="minorHAnsi" w:hAnsiTheme="minorHAnsi" w:cs="Arial"/>
          <w:szCs w:val="22"/>
        </w:rPr>
      </w:pPr>
      <w:r w:rsidRPr="00130AB0">
        <w:rPr>
          <w:rFonts w:asciiTheme="minorHAnsi" w:hAnsiTheme="minorHAnsi" w:cs="Arial"/>
          <w:szCs w:val="22"/>
        </w:rPr>
        <w:t>La mise à jour d’éléments techniques (précisions sur les livrables</w:t>
      </w:r>
      <w:r w:rsidR="00BC28CB" w:rsidRPr="00130AB0">
        <w:rPr>
          <w:rFonts w:asciiTheme="minorHAnsi" w:hAnsiTheme="minorHAnsi" w:cs="Arial"/>
          <w:szCs w:val="22"/>
        </w:rPr>
        <w:t xml:space="preserve"> </w:t>
      </w:r>
      <w:r w:rsidRPr="00130AB0">
        <w:rPr>
          <w:rFonts w:asciiTheme="minorHAnsi" w:hAnsiTheme="minorHAnsi" w:cs="Arial"/>
          <w:szCs w:val="22"/>
        </w:rPr>
        <w:t>…).</w:t>
      </w:r>
    </w:p>
    <w:p w14:paraId="2AC74079" w14:textId="073C5363" w:rsidR="006E576B" w:rsidRDefault="009766DB" w:rsidP="00BC28CB">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par la conclusion d’un avenant.</w:t>
      </w:r>
    </w:p>
    <w:p w14:paraId="39012791" w14:textId="77777777" w:rsidR="00C64382" w:rsidRPr="00A86E43" w:rsidRDefault="00C64382"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w:t>
      </w:r>
      <w:r w:rsidRPr="00A86E43">
        <w:rPr>
          <w:rFonts w:asciiTheme="minorHAnsi" w:eastAsia="Times New Roman" w:hAnsiTheme="minorHAnsi" w:cs="Arial"/>
          <w:sz w:val="22"/>
        </w:rPr>
        <w:lastRenderedPageBreak/>
        <w:t>confier, sans publicité ni mise en concurrence, un contrat portant sur la réalisation de prestations similaires.</w:t>
      </w:r>
    </w:p>
    <w:p w14:paraId="4BE26D91" w14:textId="77777777" w:rsidR="001570D6" w:rsidRPr="00A86E43"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6B6C1B">
      <w:pPr>
        <w:pStyle w:val="v"/>
        <w:widowControl w:val="0"/>
        <w:numPr>
          <w:ilvl w:val="0"/>
          <w:numId w:val="6"/>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lastRenderedPageBreak/>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6B6C1B">
      <w:pPr>
        <w:pStyle w:val="Paragraphedeliste"/>
        <w:numPr>
          <w:ilvl w:val="0"/>
          <w:numId w:val="1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déclaration dans laquelle ces personnes (ou celles investies de l'autorité parentale s'il s'agit de mineurs) autorisent l'exploitation </w:t>
      </w:r>
      <w:r w:rsidRPr="00A86E43">
        <w:rPr>
          <w:rFonts w:asciiTheme="minorHAnsi" w:eastAsia="Times New Roman" w:hAnsiTheme="minorHAnsi" w:cs="Arial"/>
          <w:sz w:val="22"/>
          <w:szCs w:val="22"/>
        </w:rPr>
        <w:lastRenderedPageBreak/>
        <w:t>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1D7F1F4E" w14:textId="5F51264C" w:rsidR="0000635E" w:rsidRPr="00A86E43" w:rsidRDefault="0000635E" w:rsidP="00130AB0">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 xml:space="preserve">es aux articles </w:t>
      </w:r>
      <w:r w:rsidR="00130AB0">
        <w:rPr>
          <w:rFonts w:asciiTheme="minorHAnsi" w:hAnsiTheme="minorHAnsi" w:cstheme="minorHAnsi"/>
          <w:sz w:val="22"/>
          <w:szCs w:val="22"/>
        </w:rPr>
        <w:t>39</w:t>
      </w:r>
      <w:r w:rsidR="00884FDC" w:rsidRPr="00A86E43">
        <w:rPr>
          <w:rFonts w:asciiTheme="minorHAnsi" w:hAnsiTheme="minorHAnsi" w:cstheme="minorHAnsi"/>
          <w:sz w:val="22"/>
          <w:szCs w:val="22"/>
        </w:rPr>
        <w:t xml:space="preserve"> du CCAG</w:t>
      </w:r>
      <w:r w:rsidR="00B813FE" w:rsidRPr="00A86E43">
        <w:rPr>
          <w:rFonts w:asciiTheme="minorHAnsi" w:hAnsiTheme="minorHAnsi" w:cstheme="minorHAnsi"/>
          <w:sz w:val="22"/>
          <w:szCs w:val="22"/>
        </w:rPr>
        <w:t xml:space="preserve"> FCS</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lastRenderedPageBreak/>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59BB6879"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6C1A5C0B"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25" w:name="_Toc69226591"/>
      <w:r w:rsidR="00BC28CB">
        <w:rPr>
          <w:rFonts w:asciiTheme="minorHAnsi" w:eastAsia="Times New Roman" w:hAnsiTheme="minorHAnsi" w:cstheme="minorHAnsi"/>
          <w:sz w:val="22"/>
        </w:rPr>
        <w:t>a CNIL.)</w:t>
      </w:r>
    </w:p>
    <w:bookmarkEnd w:id="125"/>
    <w:p w14:paraId="02EA39B7" w14:textId="346AC18E"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Traiter les données à caractère personnel uniquement pour la ou les seule(s) finalité(s) qui </w:t>
      </w:r>
      <w:r w:rsidRPr="00A86E43">
        <w:rPr>
          <w:rFonts w:asciiTheme="minorHAnsi" w:eastAsia="Times New Roman" w:hAnsiTheme="minorHAnsi" w:cstheme="minorHAnsi"/>
          <w:sz w:val="22"/>
        </w:rPr>
        <w:lastRenderedPageBreak/>
        <w:t>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5D96AF74"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w:t>
      </w:r>
      <w:r w:rsidR="00BC28CB">
        <w:rPr>
          <w:rFonts w:asciiTheme="minorHAnsi" w:eastAsia="Times New Roman" w:hAnsiTheme="minorHAnsi" w:cstheme="minorHAnsi"/>
          <w:sz w:val="22"/>
        </w:rPr>
        <w:t>ect des dispositions précitées.</w:t>
      </w:r>
    </w:p>
    <w:p w14:paraId="7091ADDB" w14:textId="77777777" w:rsidR="002A19B9" w:rsidRPr="00A86E43"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26922022"/>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6"/>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26922023"/>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3DD05706"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faire preuve de transparence et à répondre aux sollicitations des auditeurs, </w:t>
      </w:r>
    </w:p>
    <w:p w14:paraId="5BB1AC68"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mettre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77777777"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Les conclusions du  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54D4607B"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00895982" w:rsidRPr="00343978">
        <w:rPr>
          <w:rFonts w:asciiTheme="minorHAnsi" w:hAnsiTheme="minorHAnsi" w:cstheme="minorHAnsi"/>
          <w:szCs w:val="22"/>
        </w:rPr>
        <w:t>.</w:t>
      </w:r>
      <w:r w:rsidR="00895982" w:rsidRPr="00343978" w:rsidDel="00895982">
        <w:rPr>
          <w:rFonts w:asciiTheme="minorHAnsi" w:hAnsiTheme="minorHAnsi" w:cstheme="minorHAnsi"/>
          <w:szCs w:val="22"/>
        </w:rPr>
        <w:t xml:space="preserve"> </w:t>
      </w:r>
    </w:p>
    <w:p w14:paraId="1F0CCA3C" w14:textId="7D0AFFC0" w:rsidR="00CE4511" w:rsidRPr="00A86E43" w:rsidRDefault="00CE45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2024"/>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lastRenderedPageBreak/>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6B6C1B">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6B6C1B">
      <w:pPr>
        <w:pStyle w:val="Paragraphedeliste"/>
        <w:numPr>
          <w:ilvl w:val="0"/>
          <w:numId w:val="22"/>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6B6C1B">
      <w:pPr>
        <w:pStyle w:val="En-tte"/>
        <w:numPr>
          <w:ilvl w:val="0"/>
          <w:numId w:val="20"/>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6B6C1B">
      <w:pPr>
        <w:pStyle w:val="En-tte"/>
        <w:numPr>
          <w:ilvl w:val="0"/>
          <w:numId w:val="20"/>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6B6C1B">
      <w:pPr>
        <w:pStyle w:val="En-tte"/>
        <w:numPr>
          <w:ilvl w:val="0"/>
          <w:numId w:val="21"/>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6B6C1B">
      <w:pPr>
        <w:pStyle w:val="En-tte"/>
        <w:numPr>
          <w:ilvl w:val="0"/>
          <w:numId w:val="20"/>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xml:space="preserve">, les membres de son groupement, ses fournisseurs, ses prestataires, ses consultants et ses sous-traitants (comprenant les directeurs, employés et agents de ces entités) </w:t>
      </w:r>
      <w:r w:rsidR="00226D8C">
        <w:rPr>
          <w:rFonts w:asciiTheme="minorHAnsi" w:eastAsia="Calibri" w:hAnsiTheme="minorHAnsi" w:cstheme="minorHAnsi"/>
          <w:sz w:val="22"/>
          <w:szCs w:val="22"/>
          <w:lang w:eastAsia="en-US"/>
        </w:rPr>
        <w:lastRenderedPageBreak/>
        <w:t>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2D6C4090"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r w:rsidR="00F6667B">
        <w:rPr>
          <w:rFonts w:asciiTheme="minorHAnsi" w:hAnsiTheme="minorHAnsi"/>
          <w:b/>
          <w:caps/>
          <w:sz w:val="24"/>
        </w:rPr>
        <w:t xml:space="preserve"> (en piece jointe)</w:t>
      </w: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185A7" w14:textId="77777777" w:rsidR="00EB64C4" w:rsidRDefault="00EB64C4">
      <w:r>
        <w:separator/>
      </w:r>
    </w:p>
  </w:endnote>
  <w:endnote w:type="continuationSeparator" w:id="0">
    <w:p w14:paraId="44CABA6F" w14:textId="77777777" w:rsidR="00EB64C4" w:rsidRDefault="00EB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DA2C30" w:rsidRDefault="00DA2C30"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76F47503" w:rsidR="00DA2C30" w:rsidRDefault="00DA2C30"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A17C3">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A17C3">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DA2C30" w:rsidRDefault="00EB64C4"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DA2C30" w:rsidRDefault="00DA2C30"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2FA3469B" w:rsidR="00DA2C30" w:rsidRDefault="00DA2C30"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A17C3">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A17C3">
              <w:rPr>
                <w:rFonts w:asciiTheme="minorHAnsi" w:hAnsiTheme="minorHAnsi"/>
                <w:b/>
                <w:bCs/>
                <w:noProof/>
                <w:sz w:val="22"/>
                <w:szCs w:val="22"/>
              </w:rPr>
              <w:t>23</w:t>
            </w:r>
            <w:r>
              <w:rPr>
                <w:rFonts w:asciiTheme="minorHAnsi" w:hAnsiTheme="minorHAnsi"/>
                <w:b/>
                <w:bCs/>
                <w:sz w:val="22"/>
                <w:szCs w:val="22"/>
              </w:rPr>
              <w:fldChar w:fldCharType="end"/>
            </w:r>
          </w:p>
          <w:p w14:paraId="464BBB64" w14:textId="41962DF6" w:rsidR="00DA2C30" w:rsidRDefault="00DA2C30"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DA2C30" w:rsidRDefault="00DA2C30"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DA2C30" w:rsidRPr="00065565" w:rsidRDefault="00DA2C30"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A2C30" w:rsidRDefault="00DA2C30">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A2C30" w:rsidRPr="00EE0FDD" w:rsidRDefault="00DA2C30"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6DE142C6" w:rsidR="00DA2C30" w:rsidRPr="00FF1F8E" w:rsidRDefault="00DA2C30"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840BA">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840BA">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3CE0A" w14:textId="77777777" w:rsidR="00EB64C4" w:rsidRDefault="00EB64C4">
      <w:r>
        <w:separator/>
      </w:r>
    </w:p>
  </w:footnote>
  <w:footnote w:type="continuationSeparator" w:id="0">
    <w:p w14:paraId="45E8F32D" w14:textId="77777777" w:rsidR="00EB64C4" w:rsidRDefault="00EB64C4">
      <w:r>
        <w:continuationSeparator/>
      </w:r>
    </w:p>
  </w:footnote>
  <w:footnote w:id="1">
    <w:p w14:paraId="63ABC744" w14:textId="77777777" w:rsidR="00DA2C30" w:rsidRPr="00A86E43" w:rsidRDefault="00DA2C30"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DA2C30" w:rsidRDefault="00DA2C30"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DA2C30" w:rsidRPr="00707B69" w:rsidRDefault="00DA2C30"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DA2C30" w:rsidRPr="00AC48DD" w:rsidRDefault="00DA2C30"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DA2C30" w:rsidRDefault="00DA2C30"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DA2C30" w:rsidRPr="00AC48DD" w:rsidRDefault="00DA2C3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DA2C30" w:rsidRDefault="00DA2C30">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DA2C30" w:rsidRDefault="00DA2C30">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A2C30" w:rsidRPr="00707B69" w:rsidRDefault="00DA2C30"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DA2C30" w:rsidRPr="00AC48DD" w:rsidRDefault="00DA2C30"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DA2C30" w:rsidRDefault="00DA2C30"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A2C30" w:rsidRPr="00AC48DD" w:rsidRDefault="00DA2C30"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A2C30" w:rsidRPr="00707B69" w:rsidRDefault="00DA2C30"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DA2C30" w:rsidRPr="00AC48DD" w:rsidRDefault="00DA2C30"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DA2C30" w:rsidRDefault="00DA2C30"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A2C30" w:rsidRPr="00996FEA" w:rsidRDefault="00DA2C30"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0F55B1A"/>
    <w:multiLevelType w:val="multilevel"/>
    <w:tmpl w:val="9C46D3B4"/>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5842CF"/>
    <w:multiLevelType w:val="hybridMultilevel"/>
    <w:tmpl w:val="FD369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9"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0" w15:restartNumberingAfterBreak="0">
    <w:nsid w:val="1AF2782E"/>
    <w:multiLevelType w:val="hybridMultilevel"/>
    <w:tmpl w:val="AE3006C0"/>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873E11"/>
    <w:multiLevelType w:val="hybridMultilevel"/>
    <w:tmpl w:val="FE325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5A4FA0"/>
    <w:multiLevelType w:val="hybridMultilevel"/>
    <w:tmpl w:val="67BAC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15E1FDF"/>
    <w:multiLevelType w:val="hybridMultilevel"/>
    <w:tmpl w:val="E3F02626"/>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556647D"/>
    <w:multiLevelType w:val="hybridMultilevel"/>
    <w:tmpl w:val="D0E22D44"/>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FD5D8F"/>
    <w:multiLevelType w:val="hybridMultilevel"/>
    <w:tmpl w:val="E134441C"/>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79A5509"/>
    <w:multiLevelType w:val="hybridMultilevel"/>
    <w:tmpl w:val="15CEC42E"/>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83D4BB8"/>
    <w:multiLevelType w:val="hybridMultilevel"/>
    <w:tmpl w:val="17E61CBA"/>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5C6E0B"/>
    <w:multiLevelType w:val="hybridMultilevel"/>
    <w:tmpl w:val="F28A6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8E7BB6"/>
    <w:multiLevelType w:val="hybridMultilevel"/>
    <w:tmpl w:val="18720F56"/>
    <w:lvl w:ilvl="0" w:tplc="DD5E0BEA">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47BA623A"/>
    <w:multiLevelType w:val="hybridMultilevel"/>
    <w:tmpl w:val="98D477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4AC9558E"/>
    <w:multiLevelType w:val="hybridMultilevel"/>
    <w:tmpl w:val="D6842CBC"/>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D24740"/>
    <w:multiLevelType w:val="hybridMultilevel"/>
    <w:tmpl w:val="16E82D7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4E6F4B30"/>
    <w:multiLevelType w:val="hybridMultilevel"/>
    <w:tmpl w:val="716CCD04"/>
    <w:lvl w:ilvl="0" w:tplc="74FC720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9C7B7E"/>
    <w:multiLevelType w:val="hybridMultilevel"/>
    <w:tmpl w:val="D89099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8F566C"/>
    <w:multiLevelType w:val="hybridMultilevel"/>
    <w:tmpl w:val="783405E2"/>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5BAD57C3"/>
    <w:multiLevelType w:val="hybridMultilevel"/>
    <w:tmpl w:val="22B8426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294109A"/>
    <w:multiLevelType w:val="hybridMultilevel"/>
    <w:tmpl w:val="6846AF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66767C5A"/>
    <w:multiLevelType w:val="hybridMultilevel"/>
    <w:tmpl w:val="A3CAEE14"/>
    <w:lvl w:ilvl="0" w:tplc="AAD4387E">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7D78356D"/>
    <w:multiLevelType w:val="hybridMultilevel"/>
    <w:tmpl w:val="FBA46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541D8C"/>
    <w:multiLevelType w:val="hybridMultilevel"/>
    <w:tmpl w:val="6E3A3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4"/>
  </w:num>
  <w:num w:numId="4">
    <w:abstractNumId w:val="4"/>
  </w:num>
  <w:num w:numId="5">
    <w:abstractNumId w:val="25"/>
  </w:num>
  <w:num w:numId="6">
    <w:abstractNumId w:val="8"/>
  </w:num>
  <w:num w:numId="7">
    <w:abstractNumId w:val="13"/>
  </w:num>
  <w:num w:numId="8">
    <w:abstractNumId w:val="17"/>
  </w:num>
  <w:num w:numId="9">
    <w:abstractNumId w:val="12"/>
  </w:num>
  <w:num w:numId="10">
    <w:abstractNumId w:val="38"/>
  </w:num>
  <w:num w:numId="11">
    <w:abstractNumId w:val="43"/>
  </w:num>
  <w:num w:numId="12">
    <w:abstractNumId w:val="26"/>
  </w:num>
  <w:num w:numId="13">
    <w:abstractNumId w:val="7"/>
  </w:num>
  <w:num w:numId="14">
    <w:abstractNumId w:val="36"/>
  </w:num>
  <w:num w:numId="15">
    <w:abstractNumId w:val="29"/>
  </w:num>
  <w:num w:numId="16">
    <w:abstractNumId w:val="9"/>
  </w:num>
  <w:num w:numId="17">
    <w:abstractNumId w:val="6"/>
  </w:num>
  <w:num w:numId="18">
    <w:abstractNumId w:val="23"/>
  </w:num>
  <w:num w:numId="19">
    <w:abstractNumId w:val="41"/>
  </w:num>
  <w:num w:numId="20">
    <w:abstractNumId w:val="15"/>
  </w:num>
  <w:num w:numId="21">
    <w:abstractNumId w:val="24"/>
  </w:num>
  <w:num w:numId="22">
    <w:abstractNumId w:val="19"/>
  </w:num>
  <w:num w:numId="23">
    <w:abstractNumId w:val="15"/>
  </w:num>
  <w:num w:numId="24">
    <w:abstractNumId w:val="44"/>
  </w:num>
  <w:num w:numId="25">
    <w:abstractNumId w:val="32"/>
  </w:num>
  <w:num w:numId="26">
    <w:abstractNumId w:val="40"/>
  </w:num>
  <w:num w:numId="27">
    <w:abstractNumId w:val="14"/>
  </w:num>
  <w:num w:numId="28">
    <w:abstractNumId w:val="21"/>
  </w:num>
  <w:num w:numId="29">
    <w:abstractNumId w:val="20"/>
  </w:num>
  <w:num w:numId="30">
    <w:abstractNumId w:val="45"/>
  </w:num>
  <w:num w:numId="31">
    <w:abstractNumId w:val="31"/>
  </w:num>
  <w:num w:numId="32">
    <w:abstractNumId w:val="10"/>
  </w:num>
  <w:num w:numId="33">
    <w:abstractNumId w:val="30"/>
  </w:num>
  <w:num w:numId="34">
    <w:abstractNumId w:val="27"/>
  </w:num>
  <w:num w:numId="35">
    <w:abstractNumId w:val="35"/>
  </w:num>
  <w:num w:numId="36">
    <w:abstractNumId w:val="11"/>
  </w:num>
  <w:num w:numId="37">
    <w:abstractNumId w:val="3"/>
  </w:num>
  <w:num w:numId="38">
    <w:abstractNumId w:val="42"/>
  </w:num>
  <w:num w:numId="39">
    <w:abstractNumId w:val="33"/>
  </w:num>
  <w:num w:numId="40">
    <w:abstractNumId w:val="46"/>
  </w:num>
  <w:num w:numId="41">
    <w:abstractNumId w:val="18"/>
  </w:num>
  <w:num w:numId="42">
    <w:abstractNumId w:val="22"/>
  </w:num>
  <w:num w:numId="43">
    <w:abstractNumId w:val="37"/>
  </w:num>
  <w:num w:numId="44">
    <w:abstractNumId w:val="16"/>
  </w:num>
  <w:num w:numId="45">
    <w:abstractNumId w:val="39"/>
  </w:num>
  <w:num w:numId="46">
    <w:abstractNumId w:val="28"/>
  </w:num>
  <w:num w:numId="47">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2722"/>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0AB0"/>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1BDA"/>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3351"/>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4E19"/>
    <w:rsid w:val="0048479B"/>
    <w:rsid w:val="004A099E"/>
    <w:rsid w:val="004A17C3"/>
    <w:rsid w:val="004A7A7D"/>
    <w:rsid w:val="004B2F76"/>
    <w:rsid w:val="004B47E5"/>
    <w:rsid w:val="004B5B87"/>
    <w:rsid w:val="004B5E2B"/>
    <w:rsid w:val="004C0388"/>
    <w:rsid w:val="004C05F2"/>
    <w:rsid w:val="004C13B1"/>
    <w:rsid w:val="004C177B"/>
    <w:rsid w:val="004C749B"/>
    <w:rsid w:val="004C7715"/>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5FAC"/>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0BA"/>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60B4"/>
    <w:rsid w:val="006B620A"/>
    <w:rsid w:val="006B6C1B"/>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0895"/>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8F8"/>
    <w:rsid w:val="00800C6C"/>
    <w:rsid w:val="00801ECC"/>
    <w:rsid w:val="008026F4"/>
    <w:rsid w:val="00803D81"/>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1368"/>
    <w:rsid w:val="009416AD"/>
    <w:rsid w:val="0094204C"/>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6750"/>
    <w:rsid w:val="00A67C9E"/>
    <w:rsid w:val="00A70C1C"/>
    <w:rsid w:val="00A72841"/>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8CB"/>
    <w:rsid w:val="00BC2A22"/>
    <w:rsid w:val="00BC4CC2"/>
    <w:rsid w:val="00BC5A69"/>
    <w:rsid w:val="00BD1BE3"/>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3636"/>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3D43"/>
    <w:rsid w:val="00D853CB"/>
    <w:rsid w:val="00D85889"/>
    <w:rsid w:val="00D85D50"/>
    <w:rsid w:val="00D8651A"/>
    <w:rsid w:val="00D96A12"/>
    <w:rsid w:val="00D96AB7"/>
    <w:rsid w:val="00DA0E13"/>
    <w:rsid w:val="00DA114C"/>
    <w:rsid w:val="00DA2C30"/>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4C4"/>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667B"/>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597B"/>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7C3"/>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39"/>
    <w:rsid w:val="00BC28C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2698036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1DF50-3150-44C9-A47D-86E2BCA62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96</TotalTime>
  <Pages>23</Pages>
  <Words>7467</Words>
  <Characters>41069</Characters>
  <Application>Microsoft Office Word</Application>
  <DocSecurity>0</DocSecurity>
  <Lines>342</Lines>
  <Paragraphs>96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48440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Tarak BAOUEB</cp:lastModifiedBy>
  <cp:revision>13</cp:revision>
  <cp:lastPrinted>2014-11-19T14:39:00Z</cp:lastPrinted>
  <dcterms:created xsi:type="dcterms:W3CDTF">2024-10-25T10:09:00Z</dcterms:created>
  <dcterms:modified xsi:type="dcterms:W3CDTF">2025-05-16T14:36:00Z</dcterms:modified>
</cp:coreProperties>
</file>