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0B2D3" w14:textId="77777777"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14:paraId="28D8F34A" w14:textId="64CB034A" w:rsidR="00FD5B30" w:rsidRPr="00FD5B30" w:rsidRDefault="00C50A44" w:rsidP="009F1C95">
      <w:pPr>
        <w:pStyle w:val="01NomTakaclient"/>
      </w:pPr>
      <w:r>
        <w:rPr>
          <w:noProof/>
        </w:rPr>
        <w:drawing>
          <wp:inline distT="0" distB="0" distL="0" distR="0" wp14:anchorId="4267C0F6" wp14:editId="237B2FC2">
            <wp:extent cx="4206875" cy="1139825"/>
            <wp:effectExtent l="0" t="0" r="317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FA1EEC" w14:textId="77777777" w:rsidR="00FD5B30" w:rsidRPr="00FD5B30" w:rsidRDefault="00FD5B30" w:rsidP="00134D8B">
      <w:pPr>
        <w:widowControl w:val="0"/>
      </w:pPr>
    </w:p>
    <w:p w14:paraId="078110B1" w14:textId="77777777" w:rsidR="00FD5B30" w:rsidRDefault="00FD5B30" w:rsidP="00134D8B">
      <w:pPr>
        <w:widowControl w:val="0"/>
      </w:pPr>
    </w:p>
    <w:p w14:paraId="7D69F851" w14:textId="77777777" w:rsidR="00FD5B30" w:rsidRPr="00FD5B30" w:rsidRDefault="00FD5B30" w:rsidP="00134D8B">
      <w:pPr>
        <w:widowControl w:val="0"/>
      </w:pPr>
    </w:p>
    <w:p w14:paraId="65682719" w14:textId="58A73BCA" w:rsidR="00FD5B30" w:rsidRPr="00FD5B30" w:rsidRDefault="00FD5B30" w:rsidP="009F1C95">
      <w:pPr>
        <w:pStyle w:val="02Nomdulot"/>
      </w:pPr>
      <w:r w:rsidRPr="00FD5B30">
        <w:rPr>
          <w:sz w:val="36"/>
        </w:rPr>
        <w:t xml:space="preserve">ASSURANCE </w:t>
      </w:r>
      <w:r w:rsidR="00A62A5D">
        <w:rPr>
          <w:sz w:val="36"/>
        </w:rPr>
        <w:br/>
      </w:r>
      <w:r w:rsidRPr="00FD5B30">
        <w:t>DOMMAGES AUX BIENS ET RISQUES ANNEXES</w:t>
      </w:r>
    </w:p>
    <w:p w14:paraId="67B0C4AB" w14:textId="77777777" w:rsidR="00391873" w:rsidRDefault="00391873">
      <w:pPr>
        <w:widowControl w:val="0"/>
      </w:pPr>
    </w:p>
    <w:p w14:paraId="0375C51E" w14:textId="77777777" w:rsidR="00391873" w:rsidRDefault="00391873">
      <w:pPr>
        <w:widowControl w:val="0"/>
      </w:pPr>
    </w:p>
    <w:p w14:paraId="5817C014" w14:textId="77777777" w:rsidR="00391873" w:rsidRDefault="00391873">
      <w:pPr>
        <w:widowControl w:val="0"/>
      </w:pPr>
    </w:p>
    <w:p w14:paraId="2230913D" w14:textId="77777777" w:rsidR="00FD5B30" w:rsidRPr="00DA3C10" w:rsidRDefault="00FD5B30" w:rsidP="009F1C95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>° 1</w:t>
      </w:r>
    </w:p>
    <w:p w14:paraId="3C40A00F" w14:textId="77777777" w:rsidR="00391873" w:rsidRDefault="00391873">
      <w:pPr>
        <w:widowControl w:val="0"/>
      </w:pPr>
    </w:p>
    <w:p w14:paraId="1649438E" w14:textId="77777777" w:rsidR="00391873" w:rsidRDefault="00391873">
      <w:pPr>
        <w:widowControl w:val="0"/>
      </w:pPr>
    </w:p>
    <w:p w14:paraId="13B16BD7" w14:textId="77777777" w:rsidR="00B65D6D" w:rsidRDefault="00B65D6D" w:rsidP="00B65D6D">
      <w:pPr>
        <w:widowControl w:val="0"/>
      </w:pPr>
    </w:p>
    <w:p w14:paraId="1882D500" w14:textId="77777777" w:rsidR="00B65D6D" w:rsidRDefault="00B65D6D" w:rsidP="00B65D6D">
      <w:pPr>
        <w:widowControl w:val="0"/>
      </w:pPr>
    </w:p>
    <w:p w14:paraId="6E3215D2" w14:textId="77777777" w:rsidR="00FD5B30" w:rsidRPr="009F1C95" w:rsidRDefault="00FD5B30" w:rsidP="009F1C95">
      <w:pPr>
        <w:pStyle w:val="04titreActedengagementDTSIN"/>
      </w:pPr>
      <w:r w:rsidRPr="009F1C95">
        <w:t>DOSSIER TECHNIQUE</w:t>
      </w:r>
    </w:p>
    <w:p w14:paraId="127C1BAB" w14:textId="77777777" w:rsidR="00B65D6D" w:rsidRDefault="00B65D6D" w:rsidP="00B65D6D">
      <w:pPr>
        <w:widowControl w:val="0"/>
      </w:pPr>
    </w:p>
    <w:p w14:paraId="3E3E24B2" w14:textId="77777777" w:rsidR="00B65D6D" w:rsidRDefault="00B65D6D" w:rsidP="00B65D6D">
      <w:pPr>
        <w:widowControl w:val="0"/>
      </w:pPr>
    </w:p>
    <w:p w14:paraId="711295A1" w14:textId="77777777" w:rsidR="00B65D6D" w:rsidRDefault="00B65D6D" w:rsidP="00B65D6D">
      <w:pPr>
        <w:widowControl w:val="0"/>
      </w:pPr>
    </w:p>
    <w:p w14:paraId="710340F0" w14:textId="77777777" w:rsidR="00B65D6D" w:rsidRDefault="00B65D6D" w:rsidP="00134D8B">
      <w:pPr>
        <w:widowControl w:val="0"/>
        <w:ind w:right="-1"/>
      </w:pPr>
    </w:p>
    <w:p w14:paraId="24DF3658" w14:textId="77777777" w:rsidR="00B65D6D" w:rsidRDefault="00B65D6D" w:rsidP="00134D8B">
      <w:pPr>
        <w:widowControl w:val="0"/>
        <w:ind w:right="-1"/>
      </w:pPr>
    </w:p>
    <w:p w14:paraId="22348AE3" w14:textId="77777777" w:rsidR="00B65D6D" w:rsidRDefault="00B65D6D" w:rsidP="00134D8B">
      <w:pPr>
        <w:widowControl w:val="0"/>
        <w:ind w:right="-1"/>
      </w:pPr>
    </w:p>
    <w:p w14:paraId="54C0F3CA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0955779C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2EDA4C60" w14:textId="1FC25242" w:rsidR="00B65D6D" w:rsidRDefault="00B65D6D" w:rsidP="0007226C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4E835D32" w14:textId="5E8C8665" w:rsidR="0007226C" w:rsidRPr="0007226C" w:rsidRDefault="00C82EC6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07226C" w:rsidRPr="0007226C">
        <w:rPr>
          <w:rFonts w:ascii="Arial" w:hAnsi="Arial" w:cs="Arial"/>
        </w:rPr>
        <w:t>léments techniques</w:t>
      </w:r>
    </w:p>
    <w:p w14:paraId="4090CDF8" w14:textId="44BA14EA" w:rsidR="0007226C" w:rsidRPr="0007226C" w:rsidRDefault="00C82EC6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07226C" w:rsidRPr="0007226C">
        <w:rPr>
          <w:rFonts w:ascii="Arial" w:hAnsi="Arial" w:cs="Arial"/>
        </w:rPr>
        <w:t>tatistiques sinistres</w:t>
      </w:r>
    </w:p>
    <w:p w14:paraId="5E474D7A" w14:textId="77777777" w:rsidR="00FD5B30" w:rsidRDefault="00FD5B30" w:rsidP="00B65D6D">
      <w:pPr>
        <w:widowControl w:val="0"/>
        <w:rPr>
          <w:rFonts w:cs="Arial"/>
        </w:rPr>
      </w:pPr>
    </w:p>
    <w:p w14:paraId="70743588" w14:textId="15922C15" w:rsidR="00391873" w:rsidRDefault="00391873">
      <w:pPr>
        <w:widowControl w:val="0"/>
        <w:ind w:left="680" w:right="-1"/>
      </w:pPr>
      <w:r>
        <w:br w:type="page"/>
      </w:r>
    </w:p>
    <w:p w14:paraId="23B1E84A" w14:textId="77777777" w:rsidR="00645BEC" w:rsidRPr="00C01717" w:rsidRDefault="00645BEC">
      <w:pPr>
        <w:widowControl w:val="0"/>
        <w:ind w:left="680" w:right="-1"/>
        <w:rPr>
          <w:sz w:val="16"/>
          <w:szCs w:val="16"/>
        </w:rPr>
      </w:pPr>
    </w:p>
    <w:p w14:paraId="3536980B" w14:textId="1A3BD558" w:rsidR="00FD5B30" w:rsidRPr="00FD5B30" w:rsidRDefault="00C50A44" w:rsidP="009F1C95">
      <w:pPr>
        <w:pStyle w:val="01NomTakaclient"/>
      </w:pPr>
      <w:bookmarkStart w:id="0" w:name="_Hlk29826588"/>
      <w:r>
        <w:rPr>
          <w:noProof/>
        </w:rPr>
        <w:drawing>
          <wp:inline distT="0" distB="0" distL="0" distR="0" wp14:anchorId="43EE80AB" wp14:editId="4025F11A">
            <wp:extent cx="4206875" cy="1139825"/>
            <wp:effectExtent l="0" t="0" r="3175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0A73BEBB" w14:textId="77777777" w:rsidR="00FD5B30" w:rsidRPr="00FD5B30" w:rsidRDefault="00FD5B30" w:rsidP="00134D8B">
      <w:pPr>
        <w:widowControl w:val="0"/>
      </w:pPr>
    </w:p>
    <w:p w14:paraId="1568D285" w14:textId="77777777" w:rsidR="00FD5B30" w:rsidRDefault="00FD5B30" w:rsidP="00134D8B">
      <w:pPr>
        <w:widowControl w:val="0"/>
      </w:pPr>
    </w:p>
    <w:p w14:paraId="7160EFD6" w14:textId="77777777" w:rsidR="00FD5B30" w:rsidRPr="00FD5B30" w:rsidRDefault="00FD5B30" w:rsidP="00134D8B">
      <w:pPr>
        <w:widowControl w:val="0"/>
      </w:pPr>
    </w:p>
    <w:p w14:paraId="2EDDD570" w14:textId="27DC850E" w:rsidR="00FD5B30" w:rsidRPr="00FD5B30" w:rsidRDefault="00FD5B30" w:rsidP="009F1C95">
      <w:pPr>
        <w:pStyle w:val="02Nomdulot"/>
      </w:pPr>
      <w:r w:rsidRPr="00FD5B30">
        <w:rPr>
          <w:sz w:val="36"/>
        </w:rPr>
        <w:t xml:space="preserve">ASSURANCE </w:t>
      </w:r>
      <w:r w:rsidR="009F1C95">
        <w:rPr>
          <w:sz w:val="36"/>
        </w:rPr>
        <w:br/>
      </w:r>
      <w:r w:rsidRPr="00FD5B30">
        <w:t>DOMMAGES AUX BIENS ET RISQUES ANNEXES</w:t>
      </w:r>
    </w:p>
    <w:p w14:paraId="38B68769" w14:textId="77777777" w:rsidR="00391873" w:rsidRPr="00C01717" w:rsidRDefault="00391873">
      <w:pPr>
        <w:widowControl w:val="0"/>
        <w:jc w:val="both"/>
        <w:rPr>
          <w:sz w:val="16"/>
          <w:szCs w:val="16"/>
        </w:rPr>
      </w:pPr>
    </w:p>
    <w:p w14:paraId="4D75A3E8" w14:textId="77777777" w:rsidR="00391873" w:rsidRPr="00C01717" w:rsidRDefault="00391873">
      <w:pPr>
        <w:widowControl w:val="0"/>
        <w:jc w:val="both"/>
        <w:rPr>
          <w:sz w:val="16"/>
          <w:szCs w:val="16"/>
        </w:rPr>
      </w:pPr>
    </w:p>
    <w:p w14:paraId="351DD02D" w14:textId="77777777" w:rsidR="00FD5B30" w:rsidRPr="00FD5B30" w:rsidRDefault="00FD5B30" w:rsidP="009F1C95">
      <w:pPr>
        <w:pStyle w:val="04titreActedengagementDTSIN"/>
      </w:pPr>
      <w:r w:rsidRPr="00FD5B30">
        <w:t>ELEMENTS TECHNIQUES</w:t>
      </w:r>
    </w:p>
    <w:p w14:paraId="53C82078" w14:textId="77777777" w:rsidR="00391873" w:rsidRPr="00C01717" w:rsidRDefault="00391873" w:rsidP="00134D8B">
      <w:pPr>
        <w:widowControl w:val="0"/>
        <w:jc w:val="both"/>
        <w:rPr>
          <w:sz w:val="16"/>
          <w:szCs w:val="16"/>
        </w:rPr>
      </w:pPr>
    </w:p>
    <w:p w14:paraId="3BC5480F" w14:textId="788E741C" w:rsidR="008654E1" w:rsidRDefault="008654E1" w:rsidP="008654E1">
      <w:pPr>
        <w:widowControl w:val="0"/>
        <w:ind w:right="-1"/>
        <w:jc w:val="both"/>
        <w:rPr>
          <w:sz w:val="16"/>
          <w:szCs w:val="16"/>
        </w:rPr>
      </w:pPr>
    </w:p>
    <w:p w14:paraId="0C095B8C" w14:textId="77777777" w:rsidR="00581BE6" w:rsidRPr="00C01717" w:rsidRDefault="00581BE6" w:rsidP="008654E1">
      <w:pPr>
        <w:widowControl w:val="0"/>
        <w:ind w:right="-1"/>
        <w:jc w:val="both"/>
        <w:rPr>
          <w:sz w:val="16"/>
          <w:szCs w:val="16"/>
        </w:rPr>
      </w:pPr>
    </w:p>
    <w:p w14:paraId="77CAD766" w14:textId="55CF31B7" w:rsidR="008654E1" w:rsidRPr="00C01717" w:rsidRDefault="008654E1" w:rsidP="008654E1">
      <w:pPr>
        <w:widowControl w:val="0"/>
        <w:ind w:right="-1"/>
        <w:jc w:val="both"/>
        <w:rPr>
          <w:bCs/>
          <w:sz w:val="22"/>
          <w:szCs w:val="22"/>
        </w:rPr>
      </w:pPr>
      <w:r w:rsidRPr="00C01717">
        <w:rPr>
          <w:b/>
          <w:bCs/>
          <w:sz w:val="22"/>
          <w:szCs w:val="22"/>
          <w:u w:val="single"/>
        </w:rPr>
        <w:t>Depuis le 01/01/202</w:t>
      </w:r>
      <w:r w:rsidR="005179DC" w:rsidRPr="00C01717">
        <w:rPr>
          <w:b/>
          <w:bCs/>
          <w:sz w:val="22"/>
          <w:szCs w:val="22"/>
          <w:u w:val="single"/>
        </w:rPr>
        <w:t>3</w:t>
      </w:r>
      <w:r w:rsidR="00C01717" w:rsidRPr="00C01717">
        <w:rPr>
          <w:bCs/>
        </w:rPr>
        <w:t xml:space="preserve">, </w:t>
      </w:r>
      <w:r w:rsidR="00C01717" w:rsidRPr="00C01717">
        <w:rPr>
          <w:sz w:val="22"/>
          <w:szCs w:val="22"/>
        </w:rPr>
        <w:t>l</w:t>
      </w:r>
      <w:r w:rsidRPr="00C01717">
        <w:rPr>
          <w:sz w:val="22"/>
          <w:szCs w:val="22"/>
        </w:rPr>
        <w:t xml:space="preserve">e </w:t>
      </w:r>
      <w:r w:rsidR="005179DC" w:rsidRPr="00C01717">
        <w:rPr>
          <w:sz w:val="22"/>
          <w:szCs w:val="22"/>
        </w:rPr>
        <w:t>Mucem</w:t>
      </w:r>
      <w:r w:rsidRPr="00C01717">
        <w:rPr>
          <w:sz w:val="22"/>
          <w:szCs w:val="22"/>
        </w:rPr>
        <w:t xml:space="preserve"> est titulaire d’un contrat garantissant les risques, objet de la présente consultation et présentant des garanties de même nature que celles du présent cahier des charges, souscrit auprès </w:t>
      </w:r>
      <w:r w:rsidR="005179DC" w:rsidRPr="00C01717">
        <w:rPr>
          <w:sz w:val="22"/>
          <w:szCs w:val="22"/>
        </w:rPr>
        <w:t>de la</w:t>
      </w:r>
      <w:r w:rsidRPr="00C01717">
        <w:rPr>
          <w:sz w:val="22"/>
          <w:szCs w:val="22"/>
        </w:rPr>
        <w:t xml:space="preserve"> compagnie</w:t>
      </w:r>
      <w:r w:rsidRPr="00C01717">
        <w:rPr>
          <w:b/>
          <w:sz w:val="22"/>
          <w:szCs w:val="22"/>
        </w:rPr>
        <w:t xml:space="preserve"> </w:t>
      </w:r>
      <w:r w:rsidR="005179DC" w:rsidRPr="00C01717">
        <w:rPr>
          <w:b/>
          <w:sz w:val="22"/>
          <w:szCs w:val="22"/>
        </w:rPr>
        <w:t>MAIF</w:t>
      </w:r>
      <w:r w:rsidR="00C01717" w:rsidRPr="00C01717">
        <w:rPr>
          <w:bCs/>
          <w:sz w:val="22"/>
          <w:szCs w:val="22"/>
        </w:rPr>
        <w:t>.</w:t>
      </w:r>
    </w:p>
    <w:p w14:paraId="3BB65D11" w14:textId="77777777" w:rsidR="008654E1" w:rsidRPr="00C01717" w:rsidRDefault="008654E1" w:rsidP="008654E1">
      <w:pPr>
        <w:widowControl w:val="0"/>
        <w:ind w:right="-1"/>
        <w:jc w:val="both"/>
        <w:rPr>
          <w:sz w:val="16"/>
          <w:szCs w:val="16"/>
        </w:rPr>
      </w:pPr>
    </w:p>
    <w:p w14:paraId="5E1D1623" w14:textId="1AF66D25" w:rsidR="008654E1" w:rsidRPr="00C01717" w:rsidRDefault="008654E1" w:rsidP="008654E1">
      <w:pPr>
        <w:widowControl w:val="0"/>
        <w:ind w:right="-1"/>
        <w:jc w:val="both"/>
        <w:rPr>
          <w:b/>
          <w:sz w:val="22"/>
          <w:szCs w:val="22"/>
        </w:rPr>
      </w:pPr>
      <w:r w:rsidRPr="00C01717">
        <w:rPr>
          <w:sz w:val="22"/>
          <w:szCs w:val="22"/>
        </w:rPr>
        <w:t xml:space="preserve">Franchise </w:t>
      </w:r>
      <w:r w:rsidR="005179DC" w:rsidRPr="00C01717">
        <w:rPr>
          <w:b/>
          <w:sz w:val="22"/>
          <w:szCs w:val="22"/>
        </w:rPr>
        <w:t>5</w:t>
      </w:r>
      <w:r w:rsidRPr="00C01717">
        <w:rPr>
          <w:b/>
          <w:sz w:val="22"/>
          <w:szCs w:val="22"/>
        </w:rPr>
        <w:t>0 000 €</w:t>
      </w:r>
      <w:r w:rsidRPr="00C01717">
        <w:rPr>
          <w:sz w:val="22"/>
          <w:szCs w:val="22"/>
        </w:rPr>
        <w:t xml:space="preserve"> sur tous les risques </w:t>
      </w:r>
      <w:r w:rsidRPr="00C01717">
        <w:rPr>
          <w:b/>
          <w:sz w:val="22"/>
          <w:szCs w:val="22"/>
          <w:u w:val="single"/>
        </w:rPr>
        <w:t>sauf</w:t>
      </w:r>
      <w:r w:rsidRPr="00C01717">
        <w:rPr>
          <w:b/>
          <w:sz w:val="22"/>
          <w:szCs w:val="22"/>
        </w:rPr>
        <w:t xml:space="preserve"> :</w:t>
      </w:r>
    </w:p>
    <w:p w14:paraId="1CE72910" w14:textId="77777777" w:rsidR="008654E1" w:rsidRPr="00C01717" w:rsidRDefault="008654E1" w:rsidP="008654E1">
      <w:pPr>
        <w:widowControl w:val="0"/>
        <w:ind w:left="142" w:right="-1"/>
        <w:jc w:val="both"/>
        <w:rPr>
          <w:sz w:val="16"/>
          <w:szCs w:val="16"/>
        </w:rPr>
      </w:pPr>
    </w:p>
    <w:p w14:paraId="6B1F1750" w14:textId="5D5D3619" w:rsidR="008654E1" w:rsidRPr="00C01717" w:rsidRDefault="005179DC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Tous dommages aux matériels informatiques et électroniques </w:t>
      </w:r>
      <w:r w:rsidR="008654E1" w:rsidRPr="00C01717">
        <w:rPr>
          <w:rFonts w:cs="Arial"/>
          <w:sz w:val="22"/>
          <w:szCs w:val="22"/>
        </w:rPr>
        <w:t xml:space="preserve">: </w:t>
      </w:r>
      <w:r w:rsidRPr="00C01717">
        <w:rPr>
          <w:rFonts w:cs="Arial"/>
          <w:b/>
          <w:sz w:val="22"/>
          <w:szCs w:val="22"/>
        </w:rPr>
        <w:t>150</w:t>
      </w:r>
      <w:r w:rsidR="008654E1" w:rsidRPr="00C01717">
        <w:rPr>
          <w:rFonts w:cs="Arial"/>
          <w:b/>
          <w:sz w:val="22"/>
          <w:szCs w:val="22"/>
        </w:rPr>
        <w:t xml:space="preserve"> €</w:t>
      </w:r>
    </w:p>
    <w:p w14:paraId="5BF1569D" w14:textId="115AE137" w:rsidR="005179DC" w:rsidRPr="00C01717" w:rsidRDefault="005179DC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b/>
          <w:bCs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Tous dommages aux matériels en exploitation ;: </w:t>
      </w:r>
      <w:r w:rsidRPr="00C01717">
        <w:rPr>
          <w:rFonts w:cs="Arial"/>
          <w:b/>
          <w:bCs/>
          <w:sz w:val="22"/>
          <w:szCs w:val="22"/>
        </w:rPr>
        <w:t>150 €</w:t>
      </w:r>
    </w:p>
    <w:p w14:paraId="667EB4AC" w14:textId="5514B086" w:rsidR="005179DC" w:rsidRPr="00C01717" w:rsidRDefault="005179DC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Tous dommages en tous lieux : </w:t>
      </w:r>
      <w:r w:rsidRPr="00C01717">
        <w:rPr>
          <w:rFonts w:cs="Arial"/>
          <w:b/>
          <w:bCs/>
          <w:sz w:val="22"/>
          <w:szCs w:val="22"/>
        </w:rPr>
        <w:t>150 €</w:t>
      </w:r>
    </w:p>
    <w:p w14:paraId="15C4F3BA" w14:textId="264569D6" w:rsidR="005179DC" w:rsidRPr="00C01717" w:rsidRDefault="005179DC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b/>
          <w:bCs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Perte du contenu des installations en température contrôlée : </w:t>
      </w:r>
      <w:r w:rsidRPr="00C01717">
        <w:rPr>
          <w:rFonts w:cs="Arial"/>
          <w:b/>
          <w:bCs/>
          <w:sz w:val="22"/>
          <w:szCs w:val="22"/>
        </w:rPr>
        <w:t>1 000 €</w:t>
      </w:r>
    </w:p>
    <w:p w14:paraId="4FF9FE4C" w14:textId="13FFC58D" w:rsidR="005179DC" w:rsidRPr="00C01717" w:rsidRDefault="005179DC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b/>
          <w:bCs/>
          <w:sz w:val="22"/>
          <w:szCs w:val="22"/>
        </w:rPr>
      </w:pPr>
      <w:r w:rsidRPr="00C01717">
        <w:rPr>
          <w:rFonts w:cs="Arial"/>
          <w:sz w:val="22"/>
          <w:szCs w:val="22"/>
        </w:rPr>
        <w:t>Pertes d’exploitation suite à carence des fournisseurs, impossibilité d’accès ou fermeture administrative temporaire</w:t>
      </w:r>
      <w:r w:rsidRPr="00C01717">
        <w:rPr>
          <w:rFonts w:cs="Arial"/>
          <w:b/>
          <w:bCs/>
          <w:sz w:val="22"/>
          <w:szCs w:val="22"/>
        </w:rPr>
        <w:t> : 3 jours de marge brute annuelle du service concerné</w:t>
      </w:r>
    </w:p>
    <w:p w14:paraId="5DFAFE75" w14:textId="77777777" w:rsidR="008654E1" w:rsidRPr="00C01717" w:rsidRDefault="008654E1" w:rsidP="008654E1">
      <w:pPr>
        <w:numPr>
          <w:ilvl w:val="0"/>
          <w:numId w:val="7"/>
        </w:numPr>
        <w:tabs>
          <w:tab w:val="clear" w:pos="2628"/>
          <w:tab w:val="left" w:pos="426"/>
        </w:tabs>
        <w:ind w:left="426"/>
        <w:jc w:val="both"/>
        <w:rPr>
          <w:rFonts w:cs="Arial"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Catastrophes naturelles : </w:t>
      </w:r>
      <w:r w:rsidRPr="00C01717">
        <w:rPr>
          <w:rFonts w:cs="Arial"/>
          <w:b/>
          <w:bCs/>
          <w:sz w:val="22"/>
          <w:szCs w:val="22"/>
        </w:rPr>
        <w:t>Franchise légale</w:t>
      </w:r>
    </w:p>
    <w:p w14:paraId="00EFA166" w14:textId="77777777" w:rsidR="005179DC" w:rsidRPr="00C01717" w:rsidRDefault="005179DC" w:rsidP="008654E1">
      <w:pPr>
        <w:widowControl w:val="0"/>
        <w:ind w:right="-1"/>
        <w:jc w:val="both"/>
        <w:rPr>
          <w:b/>
          <w:i/>
          <w:sz w:val="16"/>
          <w:szCs w:val="16"/>
          <w:u w:val="single"/>
        </w:rPr>
      </w:pPr>
      <w:bookmarkStart w:id="1" w:name="_GoBack"/>
      <w:bookmarkEnd w:id="1"/>
    </w:p>
    <w:p w14:paraId="61830243" w14:textId="14FAE299" w:rsidR="008654E1" w:rsidRPr="00C01717" w:rsidRDefault="005179DC" w:rsidP="008654E1">
      <w:pPr>
        <w:widowControl w:val="0"/>
        <w:ind w:right="-1"/>
        <w:jc w:val="both"/>
        <w:rPr>
          <w:sz w:val="22"/>
          <w:szCs w:val="22"/>
        </w:rPr>
      </w:pPr>
      <w:r w:rsidRPr="00C01717">
        <w:rPr>
          <w:b/>
          <w:iCs/>
          <w:sz w:val="22"/>
          <w:szCs w:val="22"/>
          <w:u w:val="single"/>
        </w:rPr>
        <w:t>Du</w:t>
      </w:r>
      <w:r w:rsidR="008654E1" w:rsidRPr="00C01717">
        <w:rPr>
          <w:b/>
          <w:iCs/>
          <w:sz w:val="22"/>
          <w:szCs w:val="22"/>
          <w:u w:val="single"/>
        </w:rPr>
        <w:t xml:space="preserve"> 01/01/202</w:t>
      </w:r>
      <w:r w:rsidRPr="00C01717">
        <w:rPr>
          <w:b/>
          <w:iCs/>
          <w:sz w:val="22"/>
          <w:szCs w:val="22"/>
          <w:u w:val="single"/>
        </w:rPr>
        <w:t>2 au 31/12/2022</w:t>
      </w:r>
      <w:r w:rsidR="00C01717" w:rsidRPr="00C01717">
        <w:rPr>
          <w:sz w:val="22"/>
          <w:szCs w:val="22"/>
        </w:rPr>
        <w:t>, l</w:t>
      </w:r>
      <w:r w:rsidR="008654E1" w:rsidRPr="00C01717">
        <w:rPr>
          <w:sz w:val="22"/>
          <w:szCs w:val="22"/>
        </w:rPr>
        <w:t xml:space="preserve">e </w:t>
      </w:r>
      <w:r w:rsidRPr="00C01717">
        <w:rPr>
          <w:sz w:val="22"/>
          <w:szCs w:val="22"/>
        </w:rPr>
        <w:t>Mucem</w:t>
      </w:r>
      <w:r w:rsidR="008654E1" w:rsidRPr="00C01717">
        <w:rPr>
          <w:sz w:val="22"/>
          <w:szCs w:val="22"/>
        </w:rPr>
        <w:t xml:space="preserve"> était titulaire d'un contrat souscrit auprès du cabinet </w:t>
      </w:r>
      <w:r w:rsidRPr="00C01717">
        <w:rPr>
          <w:b/>
          <w:sz w:val="22"/>
          <w:szCs w:val="22"/>
        </w:rPr>
        <w:t>SIACI SAINT HONORE</w:t>
      </w:r>
      <w:r w:rsidRPr="00C01717">
        <w:rPr>
          <w:sz w:val="22"/>
          <w:szCs w:val="22"/>
        </w:rPr>
        <w:t xml:space="preserve"> et des compagnies</w:t>
      </w:r>
      <w:r w:rsidRPr="00C01717">
        <w:rPr>
          <w:b/>
          <w:sz w:val="22"/>
          <w:szCs w:val="22"/>
        </w:rPr>
        <w:t xml:space="preserve"> ZURICH (60 %) / GROUPAMA COURTAGE (40 %)</w:t>
      </w:r>
      <w:r w:rsidRPr="00EA7E6E">
        <w:rPr>
          <w:bCs/>
          <w:sz w:val="22"/>
          <w:szCs w:val="22"/>
        </w:rPr>
        <w:t>.</w:t>
      </w:r>
    </w:p>
    <w:p w14:paraId="2320B7FB" w14:textId="77777777" w:rsidR="008654E1" w:rsidRPr="00C01717" w:rsidRDefault="008654E1" w:rsidP="008654E1">
      <w:pPr>
        <w:widowControl w:val="0"/>
        <w:ind w:right="-1"/>
        <w:jc w:val="both"/>
        <w:rPr>
          <w:sz w:val="16"/>
          <w:szCs w:val="16"/>
        </w:rPr>
      </w:pPr>
    </w:p>
    <w:p w14:paraId="36452A4C" w14:textId="77D3D74D" w:rsidR="005179DC" w:rsidRPr="00C01717" w:rsidRDefault="005179DC" w:rsidP="005179DC">
      <w:pPr>
        <w:widowControl w:val="0"/>
        <w:ind w:right="-1"/>
        <w:jc w:val="both"/>
        <w:rPr>
          <w:sz w:val="16"/>
          <w:szCs w:val="16"/>
        </w:rPr>
      </w:pPr>
      <w:r w:rsidRPr="00C01717">
        <w:rPr>
          <w:sz w:val="22"/>
          <w:szCs w:val="22"/>
        </w:rPr>
        <w:t>Franchise</w:t>
      </w:r>
      <w:r w:rsidR="00C01717" w:rsidRPr="00C01717">
        <w:rPr>
          <w:sz w:val="22"/>
          <w:szCs w:val="22"/>
        </w:rPr>
        <w:t>s</w:t>
      </w:r>
      <w:r w:rsidRPr="00C01717">
        <w:rPr>
          <w:sz w:val="22"/>
          <w:szCs w:val="22"/>
        </w:rPr>
        <w:t xml:space="preserve"> :</w:t>
      </w:r>
    </w:p>
    <w:p w14:paraId="167480A6" w14:textId="77777777" w:rsidR="005179DC" w:rsidRPr="00C01717" w:rsidRDefault="005179DC" w:rsidP="005179DC">
      <w:pPr>
        <w:numPr>
          <w:ilvl w:val="0"/>
          <w:numId w:val="7"/>
        </w:numPr>
        <w:tabs>
          <w:tab w:val="clear" w:pos="2628"/>
          <w:tab w:val="left" w:pos="426"/>
          <w:tab w:val="num" w:pos="567"/>
        </w:tabs>
        <w:ind w:left="426"/>
        <w:jc w:val="both"/>
        <w:rPr>
          <w:rFonts w:cs="Arial"/>
          <w:b/>
          <w:bCs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Dommages directs : </w:t>
      </w:r>
      <w:r w:rsidRPr="00C01717">
        <w:rPr>
          <w:rFonts w:cs="Arial"/>
          <w:b/>
          <w:bCs/>
          <w:sz w:val="22"/>
          <w:szCs w:val="22"/>
        </w:rPr>
        <w:t>25 000 €</w:t>
      </w:r>
    </w:p>
    <w:p w14:paraId="0E782E62" w14:textId="77777777" w:rsidR="005179DC" w:rsidRPr="00C01717" w:rsidRDefault="005179DC" w:rsidP="005179DC">
      <w:pPr>
        <w:numPr>
          <w:ilvl w:val="0"/>
          <w:numId w:val="7"/>
        </w:numPr>
        <w:tabs>
          <w:tab w:val="clear" w:pos="2628"/>
          <w:tab w:val="left" w:pos="426"/>
          <w:tab w:val="num" w:pos="567"/>
        </w:tabs>
        <w:ind w:left="426"/>
        <w:jc w:val="both"/>
        <w:rPr>
          <w:rFonts w:cs="Arial"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Pertes financières : </w:t>
      </w:r>
      <w:r w:rsidRPr="00C01717">
        <w:rPr>
          <w:rFonts w:cs="Arial"/>
          <w:b/>
          <w:bCs/>
          <w:sz w:val="22"/>
          <w:szCs w:val="22"/>
        </w:rPr>
        <w:t>3 jours</w:t>
      </w:r>
    </w:p>
    <w:p w14:paraId="3398236B" w14:textId="77777777" w:rsidR="005179DC" w:rsidRPr="00C01717" w:rsidRDefault="005179DC" w:rsidP="005179DC">
      <w:pPr>
        <w:numPr>
          <w:ilvl w:val="0"/>
          <w:numId w:val="7"/>
        </w:numPr>
        <w:tabs>
          <w:tab w:val="clear" w:pos="2628"/>
          <w:tab w:val="left" w:pos="426"/>
          <w:tab w:val="num" w:pos="567"/>
        </w:tabs>
        <w:ind w:left="426"/>
        <w:jc w:val="both"/>
        <w:rPr>
          <w:rFonts w:cs="Arial"/>
          <w:b/>
          <w:bCs/>
          <w:sz w:val="22"/>
          <w:szCs w:val="22"/>
        </w:rPr>
      </w:pPr>
      <w:r w:rsidRPr="00C01717">
        <w:rPr>
          <w:rFonts w:cs="Arial"/>
          <w:sz w:val="22"/>
          <w:szCs w:val="22"/>
        </w:rPr>
        <w:t xml:space="preserve">Evénements naturels hors Catastrophes naturelles : </w:t>
      </w:r>
      <w:r w:rsidRPr="00C01717">
        <w:rPr>
          <w:rFonts w:cs="Arial"/>
          <w:b/>
          <w:bCs/>
          <w:sz w:val="22"/>
          <w:szCs w:val="22"/>
        </w:rPr>
        <w:t>50 000 €</w:t>
      </w:r>
    </w:p>
    <w:p w14:paraId="2B675ECE" w14:textId="77777777" w:rsidR="008654E1" w:rsidRPr="00C01717" w:rsidRDefault="008654E1" w:rsidP="008654E1">
      <w:pPr>
        <w:widowControl w:val="0"/>
        <w:ind w:right="-1"/>
        <w:jc w:val="both"/>
        <w:rPr>
          <w:sz w:val="16"/>
          <w:szCs w:val="16"/>
        </w:rPr>
      </w:pPr>
    </w:p>
    <w:p w14:paraId="7F02638A" w14:textId="4C9CB1F5" w:rsidR="005179DC" w:rsidRPr="00C01717" w:rsidRDefault="005179DC" w:rsidP="005179DC">
      <w:pPr>
        <w:widowControl w:val="0"/>
        <w:ind w:right="-1"/>
        <w:jc w:val="both"/>
        <w:rPr>
          <w:sz w:val="22"/>
          <w:szCs w:val="22"/>
        </w:rPr>
      </w:pPr>
      <w:r w:rsidRPr="00C01717">
        <w:rPr>
          <w:b/>
          <w:iCs/>
          <w:sz w:val="22"/>
          <w:szCs w:val="22"/>
          <w:u w:val="single"/>
        </w:rPr>
        <w:t>Avant le 01/01/2022</w:t>
      </w:r>
      <w:r w:rsidR="00C01717">
        <w:rPr>
          <w:iCs/>
          <w:sz w:val="22"/>
          <w:szCs w:val="22"/>
        </w:rPr>
        <w:t>, l</w:t>
      </w:r>
      <w:r w:rsidRPr="00C01717">
        <w:rPr>
          <w:sz w:val="22"/>
          <w:szCs w:val="22"/>
        </w:rPr>
        <w:t xml:space="preserve">e Mucem était titulaire d'un contrat souscrit auprès du cabinet </w:t>
      </w:r>
      <w:r w:rsidRPr="00C01717">
        <w:rPr>
          <w:b/>
          <w:sz w:val="22"/>
          <w:szCs w:val="22"/>
        </w:rPr>
        <w:t>SIACI SAINT HONORE</w:t>
      </w:r>
      <w:r w:rsidRPr="00C01717">
        <w:rPr>
          <w:sz w:val="22"/>
          <w:szCs w:val="22"/>
        </w:rPr>
        <w:t xml:space="preserve"> et de la compagnie</w:t>
      </w:r>
      <w:r w:rsidRPr="00C01717">
        <w:rPr>
          <w:b/>
          <w:sz w:val="22"/>
          <w:szCs w:val="22"/>
        </w:rPr>
        <w:t xml:space="preserve"> ZURICH INSURANCE</w:t>
      </w:r>
    </w:p>
    <w:p w14:paraId="19B1A556" w14:textId="77777777" w:rsidR="005179DC" w:rsidRPr="00C01717" w:rsidRDefault="005179DC" w:rsidP="005179DC">
      <w:pPr>
        <w:widowControl w:val="0"/>
        <w:ind w:right="-1"/>
        <w:jc w:val="both"/>
        <w:rPr>
          <w:rFonts w:cs="Arial"/>
          <w:sz w:val="22"/>
          <w:szCs w:val="22"/>
        </w:rPr>
      </w:pPr>
      <w:r w:rsidRPr="00C01717">
        <w:rPr>
          <w:sz w:val="22"/>
          <w:szCs w:val="22"/>
        </w:rPr>
        <w:t>Les franchises étaient identiques à celles du contrat en cours.</w:t>
      </w:r>
    </w:p>
    <w:p w14:paraId="37ACDBAE" w14:textId="552FE268" w:rsidR="008654E1" w:rsidRPr="00C01717" w:rsidRDefault="008654E1" w:rsidP="008654E1">
      <w:pPr>
        <w:widowControl w:val="0"/>
        <w:ind w:right="-1"/>
        <w:jc w:val="both"/>
        <w:rPr>
          <w:sz w:val="22"/>
          <w:szCs w:val="22"/>
        </w:rPr>
      </w:pPr>
    </w:p>
    <w:p w14:paraId="1DEDA0B8" w14:textId="77777777" w:rsidR="005179DC" w:rsidRPr="00EC194E" w:rsidRDefault="005179DC" w:rsidP="005179DC">
      <w:pPr>
        <w:widowControl w:val="0"/>
        <w:ind w:right="-1"/>
        <w:jc w:val="both"/>
        <w:rPr>
          <w:sz w:val="22"/>
          <w:szCs w:val="22"/>
        </w:rPr>
      </w:pPr>
      <w:r w:rsidRPr="00C01717">
        <w:rPr>
          <w:sz w:val="22"/>
          <w:szCs w:val="22"/>
          <w:u w:val="single"/>
        </w:rPr>
        <w:t>Franchise</w:t>
      </w:r>
      <w:r w:rsidRPr="00C01717">
        <w:rPr>
          <w:sz w:val="22"/>
          <w:szCs w:val="22"/>
        </w:rPr>
        <w:t xml:space="preserve"> :</w:t>
      </w:r>
      <w:r w:rsidRPr="00C01717">
        <w:rPr>
          <w:b/>
          <w:bCs/>
          <w:sz w:val="22"/>
          <w:szCs w:val="22"/>
        </w:rPr>
        <w:t xml:space="preserve"> 1 500 €</w:t>
      </w:r>
      <w:r w:rsidRPr="00C01717">
        <w:rPr>
          <w:sz w:val="22"/>
          <w:szCs w:val="22"/>
        </w:rPr>
        <w:t xml:space="preserve"> sauf catastrophes naturelles : </w:t>
      </w:r>
      <w:r w:rsidRPr="00C01717">
        <w:rPr>
          <w:b/>
          <w:bCs/>
          <w:sz w:val="22"/>
          <w:szCs w:val="22"/>
        </w:rPr>
        <w:t>franchises légales</w:t>
      </w:r>
    </w:p>
    <w:p w14:paraId="290D8953" w14:textId="0759EAF4" w:rsidR="005179DC" w:rsidRPr="00C01717" w:rsidRDefault="005179DC" w:rsidP="008654E1">
      <w:pPr>
        <w:widowControl w:val="0"/>
        <w:ind w:right="-1"/>
        <w:jc w:val="both"/>
        <w:rPr>
          <w:sz w:val="16"/>
          <w:szCs w:val="16"/>
        </w:rPr>
      </w:pPr>
    </w:p>
    <w:p w14:paraId="7A4B16D3" w14:textId="3263E988" w:rsidR="00B65D6D" w:rsidRPr="0099360C" w:rsidRDefault="008654E1" w:rsidP="00C01717">
      <w:pPr>
        <w:widowControl w:val="0"/>
        <w:ind w:right="-1"/>
        <w:jc w:val="both"/>
        <w:rPr>
          <w:sz w:val="22"/>
          <w:szCs w:val="22"/>
        </w:rPr>
      </w:pPr>
      <w:r w:rsidRPr="00FD5B30">
        <w:rPr>
          <w:sz w:val="22"/>
          <w:szCs w:val="22"/>
        </w:rPr>
        <w:t xml:space="preserve">Les </w:t>
      </w:r>
      <w:r w:rsidRPr="00983029">
        <w:rPr>
          <w:sz w:val="22"/>
          <w:szCs w:val="22"/>
        </w:rPr>
        <w:t>éléments de statistiques sinistres sont communiqués sur la base des garanties et des franchises des contrats.</w:t>
      </w:r>
    </w:p>
    <w:sectPr w:rsidR="00B65D6D" w:rsidRPr="0099360C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30499" w14:textId="77777777" w:rsidR="003E7B61" w:rsidRDefault="003E7B61">
      <w:r>
        <w:separator/>
      </w:r>
    </w:p>
  </w:endnote>
  <w:endnote w:type="continuationSeparator" w:id="0">
    <w:p w14:paraId="62459630" w14:textId="77777777" w:rsidR="003E7B61" w:rsidRDefault="003E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490D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A9246D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8B4C57B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0866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6C1877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85EED" w14:textId="77777777" w:rsidR="003E7B61" w:rsidRDefault="003E7B61">
      <w:r>
        <w:separator/>
      </w:r>
    </w:p>
  </w:footnote>
  <w:footnote w:type="continuationSeparator" w:id="0">
    <w:p w14:paraId="13EA3852" w14:textId="77777777" w:rsidR="003E7B61" w:rsidRDefault="003E7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F1DE0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05DA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1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28EC2E87"/>
    <w:multiLevelType w:val="singleLevel"/>
    <w:tmpl w:val="34D42618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FD22550"/>
    <w:multiLevelType w:val="hybridMultilevel"/>
    <w:tmpl w:val="D38AF438"/>
    <w:lvl w:ilvl="0" w:tplc="667060FE">
      <w:start w:val="2"/>
      <w:numFmt w:val="bullet"/>
      <w:lvlText w:val=""/>
      <w:lvlJc w:val="left"/>
      <w:pPr>
        <w:tabs>
          <w:tab w:val="num" w:pos="2628"/>
        </w:tabs>
        <w:ind w:left="2552" w:hanging="284"/>
      </w:pPr>
      <w:rPr>
        <w:rFonts w:ascii="Wingdings" w:eastAsia="Times New Roman" w:hAnsi="Wingdings" w:hint="default"/>
      </w:rPr>
    </w:lvl>
    <w:lvl w:ilvl="1" w:tplc="587E6C88">
      <w:start w:val="1"/>
      <w:numFmt w:val="bullet"/>
      <w:lvlText w:val=""/>
      <w:legacy w:legacy="1" w:legacySpace="0" w:legacyIndent="283"/>
      <w:lvlJc w:val="left"/>
      <w:pPr>
        <w:ind w:left="1930" w:hanging="283"/>
      </w:pPr>
      <w:rPr>
        <w:rFonts w:ascii="Symbol" w:hAnsi="Symbol" w:hint="default"/>
      </w:rPr>
    </w:lvl>
    <w:lvl w:ilvl="2" w:tplc="3E68AA62">
      <w:numFmt w:val="bullet"/>
      <w:lvlText w:val="*"/>
      <w:lvlJc w:val="left"/>
      <w:pPr>
        <w:ind w:left="2727" w:hanging="360"/>
      </w:pPr>
      <w:rPr>
        <w:rFonts w:ascii="Symbol" w:eastAsia="Times New Roman" w:hAnsi="Symbol" w:hint="default"/>
      </w:rPr>
    </w:lvl>
    <w:lvl w:ilvl="3" w:tplc="DDA22B9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2046F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6DCA5E8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E244AD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FFA252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2D2E8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766292"/>
    <w:multiLevelType w:val="multilevel"/>
    <w:tmpl w:val="8288FF1C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5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Titre3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Titre4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1"/>
  </w:num>
  <w:num w:numId="7">
    <w:abstractNumId w:val="4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437"/>
    <w:rsid w:val="000335D3"/>
    <w:rsid w:val="00046A2A"/>
    <w:rsid w:val="00046AB7"/>
    <w:rsid w:val="00051743"/>
    <w:rsid w:val="00052CF2"/>
    <w:rsid w:val="00052DD4"/>
    <w:rsid w:val="00055683"/>
    <w:rsid w:val="00063913"/>
    <w:rsid w:val="0007226C"/>
    <w:rsid w:val="00075238"/>
    <w:rsid w:val="000838EB"/>
    <w:rsid w:val="000856D4"/>
    <w:rsid w:val="00094399"/>
    <w:rsid w:val="00096C6D"/>
    <w:rsid w:val="000A5C4D"/>
    <w:rsid w:val="000A7213"/>
    <w:rsid w:val="000B2873"/>
    <w:rsid w:val="000B3E95"/>
    <w:rsid w:val="000B518C"/>
    <w:rsid w:val="000C1809"/>
    <w:rsid w:val="000C1E72"/>
    <w:rsid w:val="000C26C0"/>
    <w:rsid w:val="000C7DB2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4D8B"/>
    <w:rsid w:val="00135D35"/>
    <w:rsid w:val="00155613"/>
    <w:rsid w:val="0015730E"/>
    <w:rsid w:val="00160030"/>
    <w:rsid w:val="001711C5"/>
    <w:rsid w:val="0017150C"/>
    <w:rsid w:val="001764A3"/>
    <w:rsid w:val="00192DEA"/>
    <w:rsid w:val="00195125"/>
    <w:rsid w:val="001A2363"/>
    <w:rsid w:val="001A3AF1"/>
    <w:rsid w:val="001C24C9"/>
    <w:rsid w:val="001C7275"/>
    <w:rsid w:val="001C72D0"/>
    <w:rsid w:val="001E3112"/>
    <w:rsid w:val="001E5D21"/>
    <w:rsid w:val="001E77A1"/>
    <w:rsid w:val="001F032F"/>
    <w:rsid w:val="00200CE8"/>
    <w:rsid w:val="0020573E"/>
    <w:rsid w:val="00214368"/>
    <w:rsid w:val="00214695"/>
    <w:rsid w:val="00231034"/>
    <w:rsid w:val="002326CE"/>
    <w:rsid w:val="00233297"/>
    <w:rsid w:val="00237CBB"/>
    <w:rsid w:val="002412CC"/>
    <w:rsid w:val="0024512F"/>
    <w:rsid w:val="0024793C"/>
    <w:rsid w:val="00250450"/>
    <w:rsid w:val="002578B8"/>
    <w:rsid w:val="00260387"/>
    <w:rsid w:val="00265252"/>
    <w:rsid w:val="002660C7"/>
    <w:rsid w:val="00276428"/>
    <w:rsid w:val="00276DBE"/>
    <w:rsid w:val="00282137"/>
    <w:rsid w:val="002A1E9F"/>
    <w:rsid w:val="002A49FA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05A2B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A60"/>
    <w:rsid w:val="003B3F6F"/>
    <w:rsid w:val="003B515F"/>
    <w:rsid w:val="003B64FC"/>
    <w:rsid w:val="003B75C5"/>
    <w:rsid w:val="003D29E8"/>
    <w:rsid w:val="003D30DC"/>
    <w:rsid w:val="003E2948"/>
    <w:rsid w:val="003E54B2"/>
    <w:rsid w:val="003E7B61"/>
    <w:rsid w:val="003F3117"/>
    <w:rsid w:val="00401050"/>
    <w:rsid w:val="00401B01"/>
    <w:rsid w:val="00402488"/>
    <w:rsid w:val="00404DD4"/>
    <w:rsid w:val="0041194A"/>
    <w:rsid w:val="004125E2"/>
    <w:rsid w:val="00413517"/>
    <w:rsid w:val="004140C8"/>
    <w:rsid w:val="004154CF"/>
    <w:rsid w:val="00417174"/>
    <w:rsid w:val="004327DA"/>
    <w:rsid w:val="0044083C"/>
    <w:rsid w:val="00451268"/>
    <w:rsid w:val="00455470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27BE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17465"/>
    <w:rsid w:val="005179DC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1BE6"/>
    <w:rsid w:val="0058477E"/>
    <w:rsid w:val="00597E59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4DDF"/>
    <w:rsid w:val="00633B76"/>
    <w:rsid w:val="006352F6"/>
    <w:rsid w:val="00636C71"/>
    <w:rsid w:val="00637FBB"/>
    <w:rsid w:val="00645BEC"/>
    <w:rsid w:val="006466AF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142A"/>
    <w:rsid w:val="006A41E2"/>
    <w:rsid w:val="006A4BF4"/>
    <w:rsid w:val="006C389C"/>
    <w:rsid w:val="006C5A56"/>
    <w:rsid w:val="006C7637"/>
    <w:rsid w:val="006D1D39"/>
    <w:rsid w:val="006D1F68"/>
    <w:rsid w:val="006D3D6A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F61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54E1"/>
    <w:rsid w:val="00866310"/>
    <w:rsid w:val="00867AC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0664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029"/>
    <w:rsid w:val="00983641"/>
    <w:rsid w:val="00991936"/>
    <w:rsid w:val="0099360C"/>
    <w:rsid w:val="00993DCC"/>
    <w:rsid w:val="009C07E6"/>
    <w:rsid w:val="009D3D30"/>
    <w:rsid w:val="009E24F1"/>
    <w:rsid w:val="009E631B"/>
    <w:rsid w:val="009F09C6"/>
    <w:rsid w:val="009F1C95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62A5D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2BC6"/>
    <w:rsid w:val="00AD4B28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92074"/>
    <w:rsid w:val="00BB2F22"/>
    <w:rsid w:val="00BB5F0A"/>
    <w:rsid w:val="00BB6F1E"/>
    <w:rsid w:val="00BD31BA"/>
    <w:rsid w:val="00BD7CE6"/>
    <w:rsid w:val="00C01717"/>
    <w:rsid w:val="00C04588"/>
    <w:rsid w:val="00C06BF7"/>
    <w:rsid w:val="00C27849"/>
    <w:rsid w:val="00C30704"/>
    <w:rsid w:val="00C50A44"/>
    <w:rsid w:val="00C53BC2"/>
    <w:rsid w:val="00C606F7"/>
    <w:rsid w:val="00C60A64"/>
    <w:rsid w:val="00C618CC"/>
    <w:rsid w:val="00C65F2C"/>
    <w:rsid w:val="00C66335"/>
    <w:rsid w:val="00C73BFA"/>
    <w:rsid w:val="00C75DDC"/>
    <w:rsid w:val="00C81826"/>
    <w:rsid w:val="00C82EC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00E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3B01"/>
    <w:rsid w:val="00E6706F"/>
    <w:rsid w:val="00E721A3"/>
    <w:rsid w:val="00E93C1C"/>
    <w:rsid w:val="00EA3D09"/>
    <w:rsid w:val="00EA7E6E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602"/>
    <w:rsid w:val="00F249A8"/>
    <w:rsid w:val="00F27840"/>
    <w:rsid w:val="00F27D57"/>
    <w:rsid w:val="00F457DC"/>
    <w:rsid w:val="00F47D91"/>
    <w:rsid w:val="00F54E0F"/>
    <w:rsid w:val="00F64585"/>
    <w:rsid w:val="00F67687"/>
    <w:rsid w:val="00FB3141"/>
    <w:rsid w:val="00FC19BB"/>
    <w:rsid w:val="00FC1AC1"/>
    <w:rsid w:val="00FC4252"/>
    <w:rsid w:val="00FD1614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D32F9"/>
  <w15:chartTrackingRefBased/>
  <w15:docId w15:val="{A686BE6B-699E-4B80-8D08-1BEE418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4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tabs>
        <w:tab w:val="clear" w:pos="2835"/>
        <w:tab w:val="num" w:pos="2410"/>
      </w:tabs>
      <w:ind w:left="2410" w:hanging="709"/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F1C95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F1C95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F1C95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-TitreSommaire">
    <w:name w:val="04 - Titre Sommaire"/>
    <w:basedOn w:val="Normal"/>
    <w:qFormat/>
    <w:rsid w:val="009F1C95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4titreActedengagementDTSIN">
    <w:name w:val="04 titre Acte d'engagement / DT / SIN"/>
    <w:basedOn w:val="Normal"/>
    <w:qFormat/>
    <w:rsid w:val="009F1C95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2E2D-91F7-4ED8-A13D-DE0FEFD33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46</cp:revision>
  <cp:lastPrinted>2011-03-08T09:11:00Z</cp:lastPrinted>
  <dcterms:created xsi:type="dcterms:W3CDTF">2020-04-06T18:07:00Z</dcterms:created>
  <dcterms:modified xsi:type="dcterms:W3CDTF">2025-03-31T13:50:00Z</dcterms:modified>
</cp:coreProperties>
</file>