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FE6DB4" w:rsidRDefault="007935A0" w:rsidP="00FE6DB4">
      <w:pPr>
        <w:pStyle w:val="En-tte"/>
        <w:tabs>
          <w:tab w:val="clear" w:pos="4536"/>
          <w:tab w:val="clear" w:pos="9072"/>
        </w:tabs>
        <w:rPr>
          <w:snapToGrid w:val="0"/>
        </w:rPr>
      </w:pPr>
      <w:r>
        <w:rPr>
          <w:rFonts w:asciiTheme="minorHAnsi" w:hAnsiTheme="minorHAnsi" w:cstheme="minorHAnsi"/>
          <w:iCs/>
        </w:rPr>
        <w:t xml:space="preserve">      </w:t>
      </w:r>
      <w:r w:rsidR="00FE6DB4" w:rsidRPr="008136B0">
        <w:rPr>
          <w:rFonts w:ascii="Arial" w:hAnsi="Arial" w:cs="Arial"/>
        </w:rPr>
        <w:t>Travaux d’entretien et de rénovation des bâtiments de la CPAM de la Haute-Garonne</w:t>
      </w:r>
    </w:p>
    <w:p w:rsidR="00971E76" w:rsidRPr="008D7FE7" w:rsidRDefault="008D7FE7" w:rsidP="008D7FE7">
      <w:pPr>
        <w:pStyle w:val="Corpsdetexte"/>
        <w:ind w:firstLine="720"/>
        <w:rPr>
          <w:rFonts w:ascii="Arial" w:hAnsi="Arial" w:cs="Arial"/>
          <w:sz w:val="22"/>
          <w:szCs w:val="22"/>
        </w:rPr>
      </w:pPr>
      <w:r>
        <w:rPr>
          <w:rFonts w:ascii="Arial" w:hAnsi="Arial" w:cs="Arial"/>
          <w:sz w:val="22"/>
          <w:szCs w:val="22"/>
        </w:rPr>
        <w:t>L</w:t>
      </w:r>
      <w:bookmarkStart w:id="0" w:name="_GoBack"/>
      <w:bookmarkEnd w:id="0"/>
      <w:r w:rsidRPr="008D7FE7">
        <w:rPr>
          <w:rFonts w:ascii="Arial" w:hAnsi="Arial" w:cs="Arial"/>
          <w:sz w:val="22"/>
          <w:szCs w:val="22"/>
        </w:rPr>
        <w:t>ot 1 : Plomberie – sanitaire - Robinetterie </w:t>
      </w:r>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7935A0"/>
    <w:rsid w:val="008D7FE7"/>
    <w:rsid w:val="00971E76"/>
    <w:rsid w:val="009B2621"/>
    <w:rsid w:val="00B91645"/>
    <w:rsid w:val="00C67A3F"/>
    <w:rsid w:val="00FE4158"/>
    <w:rsid w:val="00FE6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F5843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4422F9"/>
    <w:pPr>
      <w:tabs>
        <w:tab w:val="center" w:pos="4536"/>
        <w:tab w:val="right" w:pos="9072"/>
      </w:tabs>
    </w:pPr>
  </w:style>
  <w:style w:type="character" w:customStyle="1" w:styleId="En-tteCar">
    <w:name w:val="En-tête Car"/>
    <w:basedOn w:val="Policepardfaut"/>
    <w:link w:val="En-tte"/>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2765</Words>
  <Characters>15209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4</cp:revision>
  <dcterms:created xsi:type="dcterms:W3CDTF">2024-05-17T12:11:00Z</dcterms:created>
  <dcterms:modified xsi:type="dcterms:W3CDTF">2025-05-16T15:23:00Z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