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701EB7" w14:paraId="60C57122" w14:textId="77777777" w:rsidTr="009823D6">
        <w:trPr>
          <w:trHeight w:val="524"/>
        </w:trPr>
        <w:tc>
          <w:tcPr>
            <w:tcW w:w="5000" w:type="pct"/>
            <w:vAlign w:val="center"/>
          </w:tcPr>
          <w:p w14:paraId="28946A79" w14:textId="32BC5EC1" w:rsidR="00701EB7" w:rsidRPr="00701EB7" w:rsidRDefault="00701EB7" w:rsidP="00701EB7">
            <w:pPr>
              <w:spacing w:after="0"/>
              <w:rPr>
                <w:b/>
                <w:bCs/>
                <w:lang w:eastAsia="fr-FR"/>
              </w:rPr>
            </w:pPr>
            <w:bookmarkStart w:id="0" w:name="_Toc9501511"/>
            <w:r w:rsidRPr="00701EB7">
              <w:rPr>
                <w:rFonts w:ascii="Arial" w:hAnsi="Arial" w:cs="Arial"/>
                <w:b/>
                <w:bCs/>
                <w:sz w:val="28"/>
                <w:szCs w:val="28"/>
              </w:rPr>
              <w:t>Fiche de Tarification</w:t>
            </w:r>
            <w:r w:rsidRPr="00701EB7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Pr="00701EB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– </w:t>
            </w:r>
            <w:bookmarkEnd w:id="0"/>
            <w:r w:rsidRPr="00701EB7">
              <w:rPr>
                <w:rFonts w:ascii="Arial" w:hAnsi="Arial" w:cs="Arial"/>
                <w:b/>
                <w:bCs/>
                <w:sz w:val="24"/>
                <w:szCs w:val="24"/>
              </w:rPr>
              <w:t>Lot n°</w:t>
            </w:r>
            <w:r w:rsidR="00DE101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01EB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Responsabilité Civile du Promoteur de recherche</w:t>
            </w:r>
          </w:p>
        </w:tc>
      </w:tr>
    </w:tbl>
    <w:p w14:paraId="77A4439A" w14:textId="77777777" w:rsidR="00701EB7" w:rsidRDefault="00701EB7" w:rsidP="00003971">
      <w:pPr>
        <w:spacing w:after="60" w:line="288" w:lineRule="auto"/>
        <w:jc w:val="center"/>
        <w:rPr>
          <w:rFonts w:ascii="Arial" w:hAnsi="Arial" w:cs="Arial"/>
          <w:sz w:val="18"/>
          <w:szCs w:val="18"/>
        </w:rPr>
      </w:pPr>
    </w:p>
    <w:p w14:paraId="2AEB9065" w14:textId="77777777" w:rsidR="009823D6" w:rsidRPr="009823D6" w:rsidRDefault="009823D6" w:rsidP="009823D6">
      <w:pPr>
        <w:spacing w:after="120"/>
        <w:jc w:val="center"/>
        <w:rPr>
          <w:rFonts w:ascii="Arial" w:hAnsi="Arial" w:cs="Arial"/>
          <w:sz w:val="18"/>
          <w:szCs w:val="18"/>
          <w:u w:val="single"/>
        </w:rPr>
      </w:pPr>
      <w:r w:rsidRPr="009823D6">
        <w:rPr>
          <w:rFonts w:ascii="Arial" w:hAnsi="Arial" w:cs="Arial"/>
          <w:sz w:val="18"/>
          <w:szCs w:val="18"/>
          <w:u w:val="single"/>
        </w:rPr>
        <w:t>CONDITIONS FINANCIERES (en euros)</w:t>
      </w:r>
    </w:p>
    <w:p w14:paraId="2A0F2D96" w14:textId="77777777" w:rsidR="009823D6" w:rsidRPr="009823D6" w:rsidRDefault="009823D6" w:rsidP="009823D6">
      <w:pPr>
        <w:jc w:val="center"/>
        <w:rPr>
          <w:rFonts w:ascii="Arial" w:hAnsi="Arial" w:cs="Arial"/>
          <w:sz w:val="18"/>
          <w:szCs w:val="18"/>
        </w:rPr>
      </w:pPr>
    </w:p>
    <w:p w14:paraId="2354A47E" w14:textId="77777777" w:rsidR="009823D6" w:rsidRPr="009823D6" w:rsidRDefault="009823D6" w:rsidP="009823D6">
      <w:pPr>
        <w:spacing w:after="120"/>
        <w:jc w:val="center"/>
        <w:rPr>
          <w:rFonts w:ascii="Arial" w:hAnsi="Arial" w:cs="Arial"/>
          <w:sz w:val="18"/>
          <w:szCs w:val="18"/>
        </w:rPr>
      </w:pPr>
      <w:r w:rsidRPr="009823D6">
        <w:rPr>
          <w:rFonts w:ascii="Arial" w:hAnsi="Arial" w:cs="Arial"/>
          <w:sz w:val="18"/>
          <w:szCs w:val="18"/>
        </w:rPr>
        <w:t>Les montants indiqués en euros sont provisionnels et peuvent varier avec l’assiette de cotisation</w:t>
      </w:r>
    </w:p>
    <w:p w14:paraId="013736D1" w14:textId="77777777" w:rsidR="009823D6" w:rsidRPr="007C67F1" w:rsidRDefault="009823D6" w:rsidP="009823D6">
      <w:pPr>
        <w:jc w:val="center"/>
        <w:rPr>
          <w:rFonts w:cs="Arial"/>
          <w:b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8333"/>
      </w:tblGrid>
      <w:tr w:rsidR="009823D6" w14:paraId="02210E57" w14:textId="77777777" w:rsidTr="009823D6">
        <w:trPr>
          <w:trHeight w:val="41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155C6F" w:themeFill="text2" w:themeFillShade="BF"/>
            <w:vAlign w:val="center"/>
          </w:tcPr>
          <w:p w14:paraId="3E3E9684" w14:textId="77777777" w:rsidR="009823D6" w:rsidRPr="009823D6" w:rsidRDefault="009823D6" w:rsidP="009823D6">
            <w:pPr>
              <w:spacing w:before="240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9823D6">
              <w:rPr>
                <w:rFonts w:ascii="Arial" w:hAnsi="Arial" w:cs="Arial"/>
                <w:color w:val="FFFFFF"/>
                <w:sz w:val="18"/>
                <w:szCs w:val="18"/>
              </w:rPr>
              <w:t>RESPONSABILITE DU PROMOTEUR </w:t>
            </w:r>
          </w:p>
        </w:tc>
      </w:tr>
      <w:tr w:rsidR="009823D6" w:rsidRPr="00FB6F23" w14:paraId="619AD398" w14:textId="77777777" w:rsidTr="009823D6">
        <w:trPr>
          <w:trHeight w:val="538"/>
          <w:jc w:val="center"/>
        </w:trPr>
        <w:tc>
          <w:tcPr>
            <w:tcW w:w="1015" w:type="pct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92FCA04" w14:textId="77777777" w:rsidR="009823D6" w:rsidRPr="009823D6" w:rsidRDefault="009823D6" w:rsidP="009823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3D6">
              <w:rPr>
                <w:rFonts w:ascii="Arial" w:hAnsi="Arial" w:cs="Arial"/>
                <w:sz w:val="18"/>
                <w:szCs w:val="18"/>
              </w:rPr>
              <w:t>CLASSE</w:t>
            </w:r>
          </w:p>
        </w:tc>
        <w:tc>
          <w:tcPr>
            <w:tcW w:w="3985" w:type="pct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965CDF4" w14:textId="77777777" w:rsidR="009823D6" w:rsidRPr="009823D6" w:rsidRDefault="009823D6" w:rsidP="009823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3D6">
              <w:rPr>
                <w:rFonts w:ascii="Arial" w:hAnsi="Arial" w:cs="Arial"/>
                <w:sz w:val="18"/>
                <w:szCs w:val="18"/>
              </w:rPr>
              <w:t>Cotisation forfaitaire TTC par protocole</w:t>
            </w:r>
          </w:p>
        </w:tc>
      </w:tr>
      <w:tr w:rsidR="009823D6" w:rsidRPr="00FB6F23" w14:paraId="471A5A04" w14:textId="77777777" w:rsidTr="009823D6">
        <w:trPr>
          <w:trHeight w:val="842"/>
          <w:jc w:val="center"/>
        </w:trPr>
        <w:tc>
          <w:tcPr>
            <w:tcW w:w="1015" w:type="pct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BB452C7" w14:textId="77777777" w:rsidR="009823D6" w:rsidRPr="009823D6" w:rsidRDefault="009823D6" w:rsidP="009823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3D6">
              <w:rPr>
                <w:rFonts w:ascii="Arial" w:hAnsi="Arial" w:cs="Arial"/>
                <w:sz w:val="18"/>
                <w:szCs w:val="18"/>
              </w:rPr>
              <w:t>Classe 0</w:t>
            </w:r>
          </w:p>
        </w:tc>
        <w:tc>
          <w:tcPr>
            <w:tcW w:w="3985" w:type="pct"/>
            <w:tcBorders>
              <w:lef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FD846A1" w14:textId="77777777" w:rsidR="009823D6" w:rsidRPr="009823D6" w:rsidRDefault="009823D6" w:rsidP="00641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3D6" w:rsidRPr="00FB6F23" w14:paraId="527F0E83" w14:textId="77777777" w:rsidTr="009823D6">
        <w:trPr>
          <w:trHeight w:val="839"/>
          <w:jc w:val="center"/>
        </w:trPr>
        <w:tc>
          <w:tcPr>
            <w:tcW w:w="1015" w:type="pct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8FC28E3" w14:textId="77777777" w:rsidR="009823D6" w:rsidRPr="009823D6" w:rsidRDefault="009823D6" w:rsidP="009823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3D6">
              <w:rPr>
                <w:rFonts w:ascii="Arial" w:hAnsi="Arial" w:cs="Arial"/>
                <w:sz w:val="18"/>
                <w:szCs w:val="18"/>
              </w:rPr>
              <w:t>Classe 1</w:t>
            </w:r>
          </w:p>
        </w:tc>
        <w:tc>
          <w:tcPr>
            <w:tcW w:w="3985" w:type="pct"/>
            <w:tcBorders>
              <w:lef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B979B5" w14:textId="77777777" w:rsidR="009823D6" w:rsidRPr="009823D6" w:rsidRDefault="009823D6" w:rsidP="00641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3D6" w:rsidRPr="00FB6F23" w14:paraId="61541B05" w14:textId="77777777" w:rsidTr="009823D6">
        <w:trPr>
          <w:trHeight w:val="837"/>
          <w:jc w:val="center"/>
        </w:trPr>
        <w:tc>
          <w:tcPr>
            <w:tcW w:w="1015" w:type="pct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F5C97CC" w14:textId="77777777" w:rsidR="009823D6" w:rsidRPr="009823D6" w:rsidRDefault="009823D6" w:rsidP="009823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3D6">
              <w:rPr>
                <w:rFonts w:ascii="Arial" w:hAnsi="Arial" w:cs="Arial"/>
                <w:sz w:val="18"/>
                <w:szCs w:val="18"/>
              </w:rPr>
              <w:t>Classe 2</w:t>
            </w:r>
          </w:p>
        </w:tc>
        <w:tc>
          <w:tcPr>
            <w:tcW w:w="3985" w:type="pct"/>
            <w:tcBorders>
              <w:lef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E384FA4" w14:textId="77777777" w:rsidR="009823D6" w:rsidRPr="009823D6" w:rsidRDefault="009823D6" w:rsidP="009823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3D6" w:rsidRPr="00FB6F23" w14:paraId="44DFE72A" w14:textId="77777777" w:rsidTr="009823D6">
        <w:trPr>
          <w:trHeight w:val="849"/>
          <w:jc w:val="center"/>
        </w:trPr>
        <w:tc>
          <w:tcPr>
            <w:tcW w:w="1015" w:type="pct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29D83DA" w14:textId="77777777" w:rsidR="009823D6" w:rsidRPr="009823D6" w:rsidRDefault="009823D6" w:rsidP="009823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3D6">
              <w:rPr>
                <w:rFonts w:ascii="Arial" w:hAnsi="Arial" w:cs="Arial"/>
                <w:sz w:val="18"/>
                <w:szCs w:val="18"/>
              </w:rPr>
              <w:t>Classe 3</w:t>
            </w:r>
          </w:p>
        </w:tc>
        <w:tc>
          <w:tcPr>
            <w:tcW w:w="3985" w:type="pct"/>
            <w:tcBorders>
              <w:lef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FD837C3" w14:textId="77777777" w:rsidR="009823D6" w:rsidRPr="009823D6" w:rsidRDefault="009823D6" w:rsidP="009823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3D6" w:rsidRPr="00FB6F23" w14:paraId="086E67C8" w14:textId="77777777" w:rsidTr="009823D6">
        <w:trPr>
          <w:trHeight w:val="845"/>
          <w:jc w:val="center"/>
        </w:trPr>
        <w:tc>
          <w:tcPr>
            <w:tcW w:w="1015" w:type="pct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CB4205B" w14:textId="77777777" w:rsidR="009823D6" w:rsidRPr="009823D6" w:rsidRDefault="009823D6" w:rsidP="009823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3D6">
              <w:rPr>
                <w:rFonts w:ascii="Arial" w:hAnsi="Arial" w:cs="Arial"/>
                <w:sz w:val="18"/>
                <w:szCs w:val="18"/>
              </w:rPr>
              <w:t>Classe 4</w:t>
            </w:r>
          </w:p>
        </w:tc>
        <w:tc>
          <w:tcPr>
            <w:tcW w:w="3985" w:type="pct"/>
            <w:tcBorders>
              <w:lef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54A24B2" w14:textId="77777777" w:rsidR="009823D6" w:rsidRPr="009823D6" w:rsidRDefault="009823D6" w:rsidP="009823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3D6" w:rsidRPr="00FB6F23" w14:paraId="148DEEDA" w14:textId="77777777" w:rsidTr="009823D6">
        <w:trPr>
          <w:trHeight w:val="973"/>
          <w:jc w:val="center"/>
        </w:trPr>
        <w:tc>
          <w:tcPr>
            <w:tcW w:w="1015" w:type="pct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E901018" w14:textId="77777777" w:rsidR="009823D6" w:rsidRPr="009823D6" w:rsidRDefault="009823D6" w:rsidP="009823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3D6">
              <w:rPr>
                <w:rFonts w:ascii="Arial" w:hAnsi="Arial" w:cs="Arial"/>
                <w:sz w:val="18"/>
                <w:szCs w:val="18"/>
              </w:rPr>
              <w:t>Hors classe</w:t>
            </w:r>
          </w:p>
        </w:tc>
        <w:tc>
          <w:tcPr>
            <w:tcW w:w="3985" w:type="pct"/>
            <w:tcBorders>
              <w:lef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7C6112E" w14:textId="77777777" w:rsidR="009823D6" w:rsidRPr="009823D6" w:rsidRDefault="009823D6" w:rsidP="00641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10CC35" w14:textId="77777777" w:rsidR="009823D6" w:rsidRDefault="009823D6" w:rsidP="009823D6">
      <w:pPr>
        <w:jc w:val="center"/>
        <w:rPr>
          <w:rFonts w:cs="Arial"/>
          <w:sz w:val="18"/>
          <w:szCs w:val="18"/>
        </w:rPr>
      </w:pPr>
    </w:p>
    <w:p w14:paraId="68B256B1" w14:textId="77777777" w:rsidR="009823D6" w:rsidRPr="00C144B6" w:rsidRDefault="009823D6" w:rsidP="00D25E30">
      <w:pPr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282"/>
        <w:gridCol w:w="5178"/>
      </w:tblGrid>
      <w:tr w:rsidR="00D25E30" w:rsidRPr="00C144B6" w14:paraId="3D0A801A" w14:textId="77777777" w:rsidTr="009823D6">
        <w:trPr>
          <w:trHeight w:val="1521"/>
          <w:jc w:val="center"/>
        </w:trPr>
        <w:tc>
          <w:tcPr>
            <w:tcW w:w="2525" w:type="pct"/>
            <w:shd w:val="clear" w:color="auto" w:fill="FFFFFF"/>
            <w:vAlign w:val="center"/>
          </w:tcPr>
          <w:p w14:paraId="5D15CE55" w14:textId="77777777" w:rsidR="00D25E30" w:rsidRPr="009823D6" w:rsidRDefault="00D25E30" w:rsidP="00BF6CF6">
            <w:pPr>
              <w:spacing w:after="0" w:line="288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9823D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Fait à : </w:t>
            </w:r>
          </w:p>
          <w:p w14:paraId="28998B37" w14:textId="77777777" w:rsidR="00D25E30" w:rsidRPr="009823D6" w:rsidRDefault="00D25E30" w:rsidP="00BF6CF6">
            <w:pPr>
              <w:spacing w:after="0" w:line="288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257E8BE2" w14:textId="77777777" w:rsidR="00D25E30" w:rsidRPr="009823D6" w:rsidRDefault="00D25E30" w:rsidP="00BF6CF6">
            <w:pPr>
              <w:spacing w:after="0" w:line="288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9823D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Le :   </w:t>
            </w:r>
          </w:p>
        </w:tc>
        <w:tc>
          <w:tcPr>
            <w:tcW w:w="2475" w:type="pct"/>
            <w:shd w:val="clear" w:color="auto" w:fill="FFFFFF"/>
          </w:tcPr>
          <w:p w14:paraId="02C91AD9" w14:textId="77777777" w:rsidR="00D25E30" w:rsidRPr="009823D6" w:rsidRDefault="00D25E30" w:rsidP="00BF6CF6">
            <w:pPr>
              <w:spacing w:after="0" w:line="288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78179DB7" w14:textId="77777777" w:rsidR="00D25E30" w:rsidRPr="009823D6" w:rsidRDefault="00292EF9" w:rsidP="00BF6CF6">
            <w:pPr>
              <w:spacing w:after="0" w:line="288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9823D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Nom </w:t>
            </w:r>
            <w:r w:rsidR="00D25E30" w:rsidRPr="009823D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du candidat et cachet :</w:t>
            </w:r>
          </w:p>
        </w:tc>
      </w:tr>
    </w:tbl>
    <w:p w14:paraId="31BD3A50" w14:textId="74946E49" w:rsidR="00877956" w:rsidRDefault="00877956">
      <w:pPr>
        <w:spacing w:after="144"/>
        <w:rPr>
          <w:rFonts w:ascii="Arial" w:hAnsi="Arial" w:cs="Arial"/>
        </w:rPr>
      </w:pPr>
    </w:p>
    <w:sectPr w:rsidR="00877956" w:rsidSect="00292E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720" w:bottom="720" w:left="720" w:header="568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B32F0" w14:textId="77777777" w:rsidR="0098012B" w:rsidRDefault="0098012B" w:rsidP="00415AE7">
      <w:pPr>
        <w:spacing w:after="0" w:line="240" w:lineRule="auto"/>
      </w:pPr>
      <w:r>
        <w:separator/>
      </w:r>
    </w:p>
  </w:endnote>
  <w:endnote w:type="continuationSeparator" w:id="0">
    <w:p w14:paraId="1521DFA3" w14:textId="77777777" w:rsidR="0098012B" w:rsidRDefault="0098012B" w:rsidP="0041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3367E" w14:textId="77777777" w:rsidR="00415AE7" w:rsidRDefault="00415A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F3EB8" w14:textId="77777777" w:rsidR="000D5B06" w:rsidRPr="00B34987" w:rsidRDefault="003A11C4" w:rsidP="007D7B1B">
    <w:pPr>
      <w:pStyle w:val="Pieddepage"/>
      <w:pBdr>
        <w:top w:val="single" w:sz="4" w:space="2" w:color="808080" w:themeColor="background1" w:themeShade="80"/>
      </w:pBdr>
      <w:spacing w:after="144"/>
      <w:jc w:val="center"/>
      <w:rPr>
        <w:rStyle w:val="Numrodepage"/>
        <w:color w:val="132C48" w:themeColor="accent3" w:themeShade="80"/>
        <w:sz w:val="16"/>
        <w:szCs w:val="16"/>
      </w:rPr>
    </w:pPr>
    <w:r w:rsidRPr="00B34987">
      <w:rPr>
        <w:rStyle w:val="Numrodepage"/>
        <w:color w:val="132C48" w:themeColor="accent3" w:themeShade="80"/>
        <w:sz w:val="16"/>
        <w:szCs w:val="16"/>
      </w:rPr>
      <w:t xml:space="preserve">Page </w:t>
    </w:r>
    <w:r w:rsidRPr="00B34987">
      <w:rPr>
        <w:rStyle w:val="Numrodepage"/>
        <w:color w:val="132C48" w:themeColor="accent3" w:themeShade="80"/>
        <w:sz w:val="16"/>
        <w:szCs w:val="16"/>
      </w:rPr>
      <w:fldChar w:fldCharType="begin"/>
    </w:r>
    <w:r w:rsidRPr="00B34987">
      <w:rPr>
        <w:rStyle w:val="Numrodepage"/>
        <w:color w:val="132C48" w:themeColor="accent3" w:themeShade="80"/>
        <w:sz w:val="16"/>
        <w:szCs w:val="16"/>
      </w:rPr>
      <w:instrText xml:space="preserve"> PAGE </w:instrText>
    </w:r>
    <w:r w:rsidRPr="00B34987">
      <w:rPr>
        <w:rStyle w:val="Numrodepage"/>
        <w:color w:val="132C48" w:themeColor="accent3" w:themeShade="80"/>
        <w:sz w:val="16"/>
        <w:szCs w:val="16"/>
      </w:rPr>
      <w:fldChar w:fldCharType="separate"/>
    </w:r>
    <w:r>
      <w:rPr>
        <w:rStyle w:val="Numrodepage"/>
        <w:color w:val="132C48" w:themeColor="accent3" w:themeShade="80"/>
        <w:sz w:val="16"/>
        <w:szCs w:val="16"/>
      </w:rPr>
      <w:t>1</w:t>
    </w:r>
    <w:r w:rsidRPr="00B34987">
      <w:rPr>
        <w:rStyle w:val="Numrodepage"/>
        <w:color w:val="132C48" w:themeColor="accent3" w:themeShade="80"/>
        <w:sz w:val="16"/>
        <w:szCs w:val="16"/>
      </w:rPr>
      <w:fldChar w:fldCharType="end"/>
    </w:r>
    <w:r w:rsidRPr="00B34987">
      <w:rPr>
        <w:rStyle w:val="Numrodepage"/>
        <w:color w:val="132C48" w:themeColor="accent3" w:themeShade="80"/>
        <w:sz w:val="16"/>
        <w:szCs w:val="16"/>
      </w:rPr>
      <w:t xml:space="preserve"> sur </w:t>
    </w:r>
    <w:r w:rsidRPr="00B34987">
      <w:rPr>
        <w:rStyle w:val="Numrodepage"/>
        <w:color w:val="132C48" w:themeColor="accent3" w:themeShade="80"/>
        <w:sz w:val="16"/>
        <w:szCs w:val="16"/>
      </w:rPr>
      <w:fldChar w:fldCharType="begin"/>
    </w:r>
    <w:r w:rsidRPr="00B34987">
      <w:rPr>
        <w:rStyle w:val="Numrodepage"/>
        <w:color w:val="132C48" w:themeColor="accent3" w:themeShade="80"/>
        <w:sz w:val="16"/>
        <w:szCs w:val="16"/>
      </w:rPr>
      <w:instrText xml:space="preserve"> NUMPAGES </w:instrText>
    </w:r>
    <w:r w:rsidRPr="00B34987">
      <w:rPr>
        <w:rStyle w:val="Numrodepage"/>
        <w:color w:val="132C48" w:themeColor="accent3" w:themeShade="80"/>
        <w:sz w:val="16"/>
        <w:szCs w:val="16"/>
      </w:rPr>
      <w:fldChar w:fldCharType="separate"/>
    </w:r>
    <w:r>
      <w:rPr>
        <w:rStyle w:val="Numrodepage"/>
        <w:color w:val="132C48" w:themeColor="accent3" w:themeShade="80"/>
        <w:sz w:val="16"/>
        <w:szCs w:val="16"/>
      </w:rPr>
      <w:t>22</w:t>
    </w:r>
    <w:r w:rsidRPr="00B34987">
      <w:rPr>
        <w:rStyle w:val="Numrodepage"/>
        <w:color w:val="132C48" w:themeColor="accent3" w:themeShade="80"/>
        <w:sz w:val="16"/>
        <w:szCs w:val="16"/>
      </w:rPr>
      <w:fldChar w:fldCharType="end"/>
    </w:r>
  </w:p>
  <w:p w14:paraId="5AA197D8" w14:textId="20A6A0F4" w:rsidR="009A5906" w:rsidRPr="00FC7A89" w:rsidRDefault="009A5906" w:rsidP="009A5906">
    <w:pPr>
      <w:pStyle w:val="Pieddepage"/>
      <w:jc w:val="center"/>
      <w:rPr>
        <w:color w:val="525252"/>
        <w:sz w:val="16"/>
        <w:szCs w:val="16"/>
      </w:rPr>
    </w:pPr>
    <w:r w:rsidRPr="00D756CA">
      <w:rPr>
        <w:color w:val="525252"/>
        <w:sz w:val="16"/>
        <w:szCs w:val="16"/>
      </w:rPr>
      <w:t>Assurances pour les besoins d</w:t>
    </w:r>
    <w:r w:rsidR="000D5B06">
      <w:rPr>
        <w:color w:val="525252"/>
        <w:sz w:val="16"/>
        <w:szCs w:val="16"/>
      </w:rPr>
      <w:t>e l’Université Gustave EIFFEL</w:t>
    </w:r>
  </w:p>
  <w:p w14:paraId="3F63E6F8" w14:textId="57CB2D7A" w:rsidR="000D5B06" w:rsidRPr="007D7B1B" w:rsidRDefault="009A5906" w:rsidP="009A5906">
    <w:pPr>
      <w:pStyle w:val="Pieddepage"/>
      <w:jc w:val="center"/>
      <w:rPr>
        <w:b/>
        <w:color w:val="132C48" w:themeColor="accent3" w:themeShade="80"/>
        <w:sz w:val="16"/>
        <w:szCs w:val="16"/>
      </w:rPr>
    </w:pPr>
    <w:r>
      <w:rPr>
        <w:b/>
        <w:color w:val="132C48" w:themeColor="accent3" w:themeShade="80"/>
        <w:sz w:val="16"/>
        <w:szCs w:val="16"/>
      </w:rPr>
      <w:t xml:space="preserve">Fiche de </w:t>
    </w:r>
    <w:r w:rsidR="00003971">
      <w:rPr>
        <w:b/>
        <w:color w:val="132C48" w:themeColor="accent3" w:themeShade="80"/>
        <w:sz w:val="16"/>
        <w:szCs w:val="16"/>
      </w:rPr>
      <w:t>Tarification</w:t>
    </w:r>
    <w:r>
      <w:rPr>
        <w:b/>
        <w:color w:val="132C48" w:themeColor="accent3" w:themeShade="80"/>
        <w:sz w:val="16"/>
        <w:szCs w:val="16"/>
      </w:rPr>
      <w:t xml:space="preserve"> Lot n°</w:t>
    </w:r>
    <w:r w:rsidR="000D5B06">
      <w:rPr>
        <w:b/>
        <w:color w:val="132C48" w:themeColor="accent3" w:themeShade="80"/>
        <w:sz w:val="16"/>
        <w:szCs w:val="16"/>
      </w:rPr>
      <w:t>2</w:t>
    </w:r>
    <w:r>
      <w:rPr>
        <w:b/>
        <w:color w:val="132C48" w:themeColor="accent3" w:themeShade="80"/>
        <w:sz w:val="16"/>
        <w:szCs w:val="16"/>
      </w:rPr>
      <w:t xml:space="preserve"> – </w:t>
    </w:r>
    <w:r w:rsidR="00003971">
      <w:rPr>
        <w:b/>
        <w:color w:val="132C48" w:themeColor="accent3" w:themeShade="80"/>
        <w:sz w:val="16"/>
        <w:szCs w:val="16"/>
      </w:rPr>
      <w:t>R</w:t>
    </w:r>
    <w:r w:rsidR="00701EB7">
      <w:rPr>
        <w:b/>
        <w:color w:val="132C48" w:themeColor="accent3" w:themeShade="80"/>
        <w:sz w:val="16"/>
        <w:szCs w:val="16"/>
      </w:rPr>
      <w:t>esponsabilité du promoteur de recherche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4870A" w14:textId="77777777" w:rsidR="00415AE7" w:rsidRDefault="00415A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2DDAA" w14:textId="77777777" w:rsidR="0098012B" w:rsidRDefault="0098012B" w:rsidP="00415AE7">
      <w:pPr>
        <w:spacing w:after="0" w:line="240" w:lineRule="auto"/>
      </w:pPr>
      <w:r>
        <w:separator/>
      </w:r>
    </w:p>
  </w:footnote>
  <w:footnote w:type="continuationSeparator" w:id="0">
    <w:p w14:paraId="4B16E9A5" w14:textId="77777777" w:rsidR="0098012B" w:rsidRDefault="0098012B" w:rsidP="0041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28006" w14:textId="77777777" w:rsidR="00415AE7" w:rsidRDefault="00415A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9EFAA" w14:textId="272E9E3E" w:rsidR="00292EF9" w:rsidRDefault="000D5B06" w:rsidP="00292EF9">
    <w:pPr>
      <w:pStyle w:val="En-tte"/>
      <w:rPr>
        <w:rStyle w:val="Accentuation"/>
        <w:rFonts w:ascii="Arial" w:eastAsia="Times New Roman" w:hAnsi="Arial" w:cs="Arial"/>
        <w:sz w:val="16"/>
        <w:szCs w:val="16"/>
        <w:lang w:eastAsia="fr-FR"/>
      </w:rPr>
    </w:pPr>
    <w:r>
      <w:rPr>
        <w:rStyle w:val="Accentuation"/>
        <w:rFonts w:ascii="Arial" w:eastAsia="Times New Roman" w:hAnsi="Arial" w:cs="Arial"/>
        <w:sz w:val="16"/>
        <w:szCs w:val="16"/>
        <w:lang w:eastAsia="fr-FR"/>
      </w:rPr>
      <w:t>Université Gustave EIFFEL</w:t>
    </w:r>
    <w:r w:rsidR="009A5906">
      <w:rPr>
        <w:rStyle w:val="Accentuation"/>
        <w:rFonts w:ascii="Arial" w:eastAsia="Times New Roman" w:hAnsi="Arial" w:cs="Arial"/>
        <w:sz w:val="16"/>
        <w:szCs w:val="16"/>
        <w:lang w:eastAsia="fr-FR"/>
      </w:rPr>
      <w:t xml:space="preserve"> </w:t>
    </w:r>
    <w:r w:rsidR="009A5906">
      <w:rPr>
        <w:rStyle w:val="Accentuation"/>
        <w:rFonts w:ascii="Arial" w:eastAsia="Times New Roman" w:hAnsi="Arial" w:cs="Arial"/>
        <w:sz w:val="16"/>
        <w:szCs w:val="16"/>
        <w:lang w:eastAsia="fr-FR"/>
      </w:rPr>
      <w:tab/>
    </w:r>
    <w:r w:rsidR="009A5906">
      <w:rPr>
        <w:rStyle w:val="Accentuation"/>
        <w:rFonts w:ascii="Arial" w:eastAsia="Times New Roman" w:hAnsi="Arial" w:cs="Arial"/>
        <w:sz w:val="16"/>
        <w:szCs w:val="16"/>
        <w:lang w:eastAsia="fr-FR"/>
      </w:rPr>
      <w:tab/>
    </w:r>
    <w:r w:rsidR="00292EF9" w:rsidRPr="00C91BE0">
      <w:rPr>
        <w:rStyle w:val="Accentuation"/>
        <w:rFonts w:ascii="Arial" w:eastAsia="Times New Roman" w:hAnsi="Arial" w:cs="Arial"/>
        <w:sz w:val="16"/>
        <w:szCs w:val="16"/>
        <w:lang w:eastAsia="fr-FR"/>
      </w:rPr>
      <w:t>Annexe N°</w:t>
    </w:r>
    <w:r w:rsidR="00003971">
      <w:rPr>
        <w:rStyle w:val="Accentuation"/>
        <w:rFonts w:ascii="Arial" w:eastAsia="Times New Roman" w:hAnsi="Arial" w:cs="Arial"/>
        <w:sz w:val="16"/>
        <w:szCs w:val="16"/>
        <w:lang w:eastAsia="fr-FR"/>
      </w:rPr>
      <w:t>1</w:t>
    </w:r>
    <w:r w:rsidR="00292EF9" w:rsidRPr="00C91BE0">
      <w:rPr>
        <w:rStyle w:val="Accentuation"/>
        <w:rFonts w:ascii="Arial" w:eastAsia="Times New Roman" w:hAnsi="Arial" w:cs="Arial"/>
        <w:sz w:val="16"/>
        <w:szCs w:val="16"/>
        <w:lang w:eastAsia="fr-FR"/>
      </w:rPr>
      <w:t xml:space="preserve"> à l'acte d'engagement</w:t>
    </w:r>
  </w:p>
  <w:p w14:paraId="289C0C39" w14:textId="77777777" w:rsidR="00415AE7" w:rsidRPr="00292EF9" w:rsidRDefault="00415AE7" w:rsidP="00292EF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1FD99" w14:textId="77777777" w:rsidR="00415AE7" w:rsidRDefault="00415AE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F13F1"/>
    <w:multiLevelType w:val="hybridMultilevel"/>
    <w:tmpl w:val="55D647DE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03299"/>
    <w:multiLevelType w:val="hybridMultilevel"/>
    <w:tmpl w:val="C36800A6"/>
    <w:lvl w:ilvl="0" w:tplc="33F0F1DC">
      <w:start w:val="1"/>
      <w:numFmt w:val="bullet"/>
      <w:lvlText w:val="-"/>
      <w:lvlJc w:val="left"/>
      <w:pPr>
        <w:ind w:left="894" w:hanging="143"/>
      </w:pPr>
      <w:rPr>
        <w:rFonts w:ascii="Arial" w:eastAsia="Arial" w:hAnsi="Arial" w:hint="default"/>
        <w:color w:val="383838"/>
        <w:w w:val="105"/>
        <w:sz w:val="18"/>
        <w:szCs w:val="18"/>
      </w:rPr>
    </w:lvl>
    <w:lvl w:ilvl="1" w:tplc="4836BC96">
      <w:start w:val="1"/>
      <w:numFmt w:val="bullet"/>
      <w:lvlText w:val="•"/>
      <w:lvlJc w:val="left"/>
      <w:pPr>
        <w:ind w:left="1322" w:hanging="143"/>
      </w:pPr>
      <w:rPr>
        <w:rFonts w:hint="default"/>
      </w:rPr>
    </w:lvl>
    <w:lvl w:ilvl="2" w:tplc="35345BC2">
      <w:start w:val="1"/>
      <w:numFmt w:val="bullet"/>
      <w:lvlText w:val="•"/>
      <w:lvlJc w:val="left"/>
      <w:pPr>
        <w:ind w:left="1750" w:hanging="143"/>
      </w:pPr>
      <w:rPr>
        <w:rFonts w:hint="default"/>
      </w:rPr>
    </w:lvl>
    <w:lvl w:ilvl="3" w:tplc="854EAAA0">
      <w:start w:val="1"/>
      <w:numFmt w:val="bullet"/>
      <w:lvlText w:val="•"/>
      <w:lvlJc w:val="left"/>
      <w:pPr>
        <w:ind w:left="2179" w:hanging="143"/>
      </w:pPr>
      <w:rPr>
        <w:rFonts w:hint="default"/>
      </w:rPr>
    </w:lvl>
    <w:lvl w:ilvl="4" w:tplc="70804A18">
      <w:start w:val="1"/>
      <w:numFmt w:val="bullet"/>
      <w:lvlText w:val="•"/>
      <w:lvlJc w:val="left"/>
      <w:pPr>
        <w:ind w:left="2607" w:hanging="143"/>
      </w:pPr>
      <w:rPr>
        <w:rFonts w:hint="default"/>
      </w:rPr>
    </w:lvl>
    <w:lvl w:ilvl="5" w:tplc="EC0E62AC">
      <w:start w:val="1"/>
      <w:numFmt w:val="bullet"/>
      <w:lvlText w:val="•"/>
      <w:lvlJc w:val="left"/>
      <w:pPr>
        <w:ind w:left="3035" w:hanging="143"/>
      </w:pPr>
      <w:rPr>
        <w:rFonts w:hint="default"/>
      </w:rPr>
    </w:lvl>
    <w:lvl w:ilvl="6" w:tplc="BEBA8FDC">
      <w:start w:val="1"/>
      <w:numFmt w:val="bullet"/>
      <w:lvlText w:val="•"/>
      <w:lvlJc w:val="left"/>
      <w:pPr>
        <w:ind w:left="3463" w:hanging="143"/>
      </w:pPr>
      <w:rPr>
        <w:rFonts w:hint="default"/>
      </w:rPr>
    </w:lvl>
    <w:lvl w:ilvl="7" w:tplc="611848BE">
      <w:start w:val="1"/>
      <w:numFmt w:val="bullet"/>
      <w:lvlText w:val="•"/>
      <w:lvlJc w:val="left"/>
      <w:pPr>
        <w:ind w:left="3891" w:hanging="143"/>
      </w:pPr>
      <w:rPr>
        <w:rFonts w:hint="default"/>
      </w:rPr>
    </w:lvl>
    <w:lvl w:ilvl="8" w:tplc="2BE0A188">
      <w:start w:val="1"/>
      <w:numFmt w:val="bullet"/>
      <w:lvlText w:val="•"/>
      <w:lvlJc w:val="left"/>
      <w:pPr>
        <w:ind w:left="4319" w:hanging="14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7"/>
    <w:rsid w:val="00003971"/>
    <w:rsid w:val="000C1878"/>
    <w:rsid w:val="000D5B06"/>
    <w:rsid w:val="00133274"/>
    <w:rsid w:val="00292EF9"/>
    <w:rsid w:val="002E4A8D"/>
    <w:rsid w:val="003A11C4"/>
    <w:rsid w:val="00415AE7"/>
    <w:rsid w:val="00541201"/>
    <w:rsid w:val="00667B06"/>
    <w:rsid w:val="006A2BE8"/>
    <w:rsid w:val="00701EB7"/>
    <w:rsid w:val="007A7CC1"/>
    <w:rsid w:val="008125E2"/>
    <w:rsid w:val="00877956"/>
    <w:rsid w:val="008F555E"/>
    <w:rsid w:val="00934F5B"/>
    <w:rsid w:val="0098012B"/>
    <w:rsid w:val="009823D6"/>
    <w:rsid w:val="009A5906"/>
    <w:rsid w:val="009E786A"/>
    <w:rsid w:val="00A133D0"/>
    <w:rsid w:val="00A56730"/>
    <w:rsid w:val="00AA1E65"/>
    <w:rsid w:val="00AC7A35"/>
    <w:rsid w:val="00B83F0B"/>
    <w:rsid w:val="00BB1DFD"/>
    <w:rsid w:val="00BE76E0"/>
    <w:rsid w:val="00BF1EE1"/>
    <w:rsid w:val="00C144B6"/>
    <w:rsid w:val="00CB7C42"/>
    <w:rsid w:val="00D25E30"/>
    <w:rsid w:val="00DE101B"/>
    <w:rsid w:val="00EB0B9C"/>
    <w:rsid w:val="00FA0FB1"/>
    <w:rsid w:val="00FF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35E894D"/>
  <w15:chartTrackingRefBased/>
  <w15:docId w15:val="{6FB44094-6F83-4363-AC57-C8668E7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Lines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E7"/>
    <w:pPr>
      <w:spacing w:afterLines="0" w:after="160" w:line="259" w:lineRule="auto"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5AE7"/>
    <w:rPr>
      <w:rFonts w:eastAsiaTheme="minorEastAsia"/>
    </w:rPr>
  </w:style>
  <w:style w:type="character" w:styleId="Numrodepage">
    <w:name w:val="page number"/>
    <w:uiPriority w:val="99"/>
    <w:rsid w:val="00415AE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AE7"/>
    <w:rPr>
      <w:rFonts w:eastAsiaTheme="minorEastAsia"/>
    </w:rPr>
  </w:style>
  <w:style w:type="paragraph" w:customStyle="1" w:styleId="article1">
    <w:name w:val="article1"/>
    <w:basedOn w:val="Normal"/>
    <w:next w:val="Normal"/>
    <w:rsid w:val="00415A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 w:line="240" w:lineRule="auto"/>
    </w:pPr>
    <w:rPr>
      <w:rFonts w:ascii="Arial" w:eastAsia="Times New Roman" w:hAnsi="Arial" w:cs="Times New Roman"/>
      <w:b/>
      <w:i/>
      <w:sz w:val="28"/>
      <w:szCs w:val="24"/>
      <w:lang w:eastAsia="fr-FR"/>
    </w:rPr>
  </w:style>
  <w:style w:type="table" w:styleId="Grilledutableau">
    <w:name w:val="Table Grid"/>
    <w:basedOn w:val="TableauNormal"/>
    <w:uiPriority w:val="59"/>
    <w:rsid w:val="00D25E30"/>
    <w:pPr>
      <w:spacing w:afterLines="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292EF9"/>
    <w:rPr>
      <w:i/>
      <w:iCs/>
    </w:rPr>
  </w:style>
  <w:style w:type="paragraph" w:styleId="Sansinterligne">
    <w:name w:val="No Spacing"/>
    <w:uiPriority w:val="1"/>
    <w:qFormat/>
    <w:rsid w:val="002E4A8D"/>
    <w:pPr>
      <w:spacing w:afterLines="0" w:after="0" w:line="240" w:lineRule="auto"/>
    </w:pPr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2E4A8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B7C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B7C4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B7C42"/>
    <w:rPr>
      <w:rFonts w:eastAsiaTheme="minorEastAsi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B7C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B7C42"/>
    <w:rPr>
      <w:rFonts w:eastAsiaTheme="minorEastAsi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3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3F0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BERTAINA Marie-odile</cp:lastModifiedBy>
  <cp:revision>3</cp:revision>
  <dcterms:created xsi:type="dcterms:W3CDTF">2025-05-26T14:26:00Z</dcterms:created>
  <dcterms:modified xsi:type="dcterms:W3CDTF">2025-05-27T08:20:00Z</dcterms:modified>
</cp:coreProperties>
</file>