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000000"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000000"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000000"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000000"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000000"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000000"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000000"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000000"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000000"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3EBB873C" w14:textId="188EB344" w:rsidR="004243C7" w:rsidRPr="00590EC8" w:rsidRDefault="00590EC8" w:rsidP="00F11652">
      <w:pPr>
        <w:pStyle w:val="Paragraphedeliste"/>
        <w:numPr>
          <w:ilvl w:val="0"/>
          <w:numId w:val="12"/>
        </w:numPr>
        <w:spacing w:after="0"/>
        <w:jc w:val="both"/>
        <w:rPr>
          <w:rFonts w:cstheme="minorHAnsi"/>
          <w:sz w:val="20"/>
          <w:szCs w:val="20"/>
        </w:rPr>
      </w:pPr>
      <w:r>
        <w:rPr>
          <w:rFonts w:cstheme="minorHAnsi"/>
          <w:sz w:val="20"/>
          <w:szCs w:val="20"/>
        </w:rPr>
        <w:t>L</w:t>
      </w:r>
      <w:r w:rsidR="003E5569" w:rsidRPr="00590EC8">
        <w:rPr>
          <w:rFonts w:cstheme="minorHAnsi"/>
          <w:sz w:val="20"/>
          <w:szCs w:val="20"/>
        </w:rPr>
        <w:t>e sous-traitant dispose de l’autorisation générale du responsable du traitement pour ce qui est du recrutement de sous-traitants ultérieurs sur la base d’une liste convenue</w:t>
      </w:r>
      <w:r w:rsidR="00661DFC" w:rsidRPr="00590EC8">
        <w:rPr>
          <w:rFonts w:cstheme="minorHAnsi"/>
          <w:sz w:val="20"/>
          <w:szCs w:val="20"/>
        </w:rPr>
        <w:t xml:space="preserve"> (cf. annexe IV)</w:t>
      </w:r>
      <w:r w:rsidR="003E5569" w:rsidRPr="00590EC8">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Pr>
          <w:rFonts w:cstheme="minorHAnsi"/>
          <w:sz w:val="20"/>
          <w:szCs w:val="20"/>
        </w:rPr>
        <w:t xml:space="preserve">deux mois </w:t>
      </w:r>
      <w:r w:rsidR="003E5569" w:rsidRPr="00590EC8">
        <w:rPr>
          <w:rFonts w:cstheme="minorHAnsi"/>
          <w:sz w:val="20"/>
          <w:szCs w:val="20"/>
        </w:rPr>
        <w:t>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C60B49"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5753D0CD" w14:textId="13713B0A" w:rsidR="00C60B49" w:rsidRDefault="00C60B49" w:rsidP="00C60B49">
      <w:pPr>
        <w:pStyle w:val="Paragraphedeliste"/>
        <w:jc w:val="both"/>
        <w:rPr>
          <w:rFonts w:cstheme="minorHAnsi"/>
          <w:sz w:val="20"/>
          <w:szCs w:val="20"/>
        </w:rPr>
      </w:pPr>
      <w:r w:rsidRPr="00C60B49">
        <w:rPr>
          <w:rFonts w:cstheme="minorHAnsi"/>
          <w:sz w:val="20"/>
          <w:szCs w:val="20"/>
        </w:rPr>
        <w:t>Monsieur Aurelien LEPINE-KOUAS</w:t>
      </w:r>
      <w:r>
        <w:rPr>
          <w:rFonts w:cstheme="minorHAnsi"/>
          <w:sz w:val="20"/>
          <w:szCs w:val="20"/>
        </w:rPr>
        <w:t>,</w:t>
      </w:r>
    </w:p>
    <w:p w14:paraId="6B4D88D6" w14:textId="5D475536" w:rsidR="003C7220" w:rsidRDefault="003C7220" w:rsidP="00C60B49">
      <w:pPr>
        <w:pStyle w:val="Paragraphedeliste"/>
        <w:jc w:val="both"/>
        <w:rPr>
          <w:rFonts w:cstheme="minorHAnsi"/>
          <w:sz w:val="20"/>
          <w:szCs w:val="20"/>
        </w:rPr>
      </w:pPr>
      <w:r w:rsidRPr="003C7220">
        <w:rPr>
          <w:rFonts w:cstheme="minorHAnsi"/>
          <w:sz w:val="20"/>
          <w:szCs w:val="20"/>
        </w:rPr>
        <w:t xml:space="preserve">Responsable de l'action et la protection sociales </w:t>
      </w:r>
      <w:r w:rsidRPr="003C7220">
        <w:rPr>
          <w:rFonts w:ascii="Cambria Math" w:hAnsi="Cambria Math" w:cs="Cambria Math"/>
          <w:sz w:val="20"/>
          <w:szCs w:val="20"/>
        </w:rPr>
        <w:t>‑</w:t>
      </w:r>
      <w:r w:rsidRPr="003C7220">
        <w:rPr>
          <w:rFonts w:cstheme="minorHAnsi"/>
          <w:sz w:val="20"/>
          <w:szCs w:val="20"/>
        </w:rPr>
        <w:t xml:space="preserve"> RDCP</w:t>
      </w:r>
      <w:r w:rsidR="000D6404">
        <w:rPr>
          <w:rFonts w:cstheme="minorHAnsi"/>
          <w:sz w:val="20"/>
          <w:szCs w:val="20"/>
        </w:rPr>
        <w:t>,</w:t>
      </w:r>
    </w:p>
    <w:p w14:paraId="46AA7B20" w14:textId="6FC80679" w:rsidR="00C60B49" w:rsidRDefault="00C60B49" w:rsidP="00C60B49">
      <w:pPr>
        <w:pStyle w:val="Paragraphedeliste"/>
        <w:jc w:val="both"/>
        <w:rPr>
          <w:rFonts w:cstheme="minorHAnsi"/>
          <w:sz w:val="20"/>
          <w:szCs w:val="20"/>
        </w:rPr>
      </w:pPr>
      <w:r>
        <w:rPr>
          <w:rFonts w:cstheme="minorHAnsi"/>
          <w:sz w:val="20"/>
          <w:szCs w:val="20"/>
        </w:rPr>
        <w:t xml:space="preserve">Direction des Ressources Humaines </w:t>
      </w:r>
      <w:r w:rsidR="000D6404">
        <w:rPr>
          <w:rFonts w:cstheme="minorHAnsi"/>
          <w:sz w:val="20"/>
          <w:szCs w:val="20"/>
        </w:rPr>
        <w:t xml:space="preserve">- </w:t>
      </w:r>
      <w:r w:rsidR="000D6404" w:rsidRPr="000D6404">
        <w:rPr>
          <w:rFonts w:cstheme="minorHAnsi"/>
          <w:sz w:val="20"/>
          <w:szCs w:val="20"/>
        </w:rPr>
        <w:t>Département Relations sociales et vie au travail</w:t>
      </w:r>
      <w:r>
        <w:rPr>
          <w:rFonts w:cstheme="minorHAnsi"/>
          <w:sz w:val="20"/>
          <w:szCs w:val="20"/>
        </w:rPr>
        <w:t>,</w:t>
      </w:r>
    </w:p>
    <w:p w14:paraId="3B79567A" w14:textId="4FF02FAA" w:rsidR="00C60B49" w:rsidRDefault="00C60B49" w:rsidP="00C60B49">
      <w:pPr>
        <w:pStyle w:val="Paragraphedeliste"/>
        <w:jc w:val="both"/>
        <w:rPr>
          <w:rFonts w:cstheme="minorHAnsi"/>
          <w:sz w:val="20"/>
          <w:szCs w:val="20"/>
        </w:rPr>
      </w:pPr>
      <w:r>
        <w:rPr>
          <w:rFonts w:cstheme="minorHAnsi"/>
          <w:sz w:val="20"/>
          <w:szCs w:val="20"/>
        </w:rPr>
        <w:t>2 Avenue Pierre Mendes France, 75013 Paris</w:t>
      </w:r>
    </w:p>
    <w:p w14:paraId="1026EC21" w14:textId="5264B39C" w:rsidR="00C60B49" w:rsidRDefault="00000000" w:rsidP="00C60B49">
      <w:pPr>
        <w:pStyle w:val="Paragraphedeliste"/>
        <w:jc w:val="both"/>
        <w:rPr>
          <w:rFonts w:cstheme="minorHAnsi"/>
          <w:sz w:val="20"/>
          <w:szCs w:val="20"/>
        </w:rPr>
      </w:pPr>
      <w:hyperlink r:id="rId8" w:history="1">
        <w:r w:rsidR="00C60B49" w:rsidRPr="00F6032B">
          <w:rPr>
            <w:rStyle w:val="Lienhypertexte"/>
            <w:rFonts w:cstheme="minorHAnsi"/>
            <w:sz w:val="20"/>
            <w:szCs w:val="20"/>
          </w:rPr>
          <w:t>aurelien.lepine-kouas@caissedesdepots.fr</w:t>
        </w:r>
      </w:hyperlink>
    </w:p>
    <w:p w14:paraId="6DAFDA74" w14:textId="77777777" w:rsidR="00C60B49" w:rsidRPr="00C60B49" w:rsidRDefault="00C60B49" w:rsidP="00C60B49">
      <w:pPr>
        <w:pStyle w:val="Paragraphedeliste"/>
        <w:jc w:val="both"/>
        <w:rPr>
          <w:rFonts w:cstheme="minorHAnsi"/>
          <w:sz w:val="20"/>
          <w:szCs w:val="20"/>
        </w:rPr>
      </w:pPr>
    </w:p>
    <w:p w14:paraId="4567E39C" w14:textId="77777777" w:rsidR="00C60B49" w:rsidRPr="004361DE" w:rsidRDefault="00C60B49" w:rsidP="00C60B49">
      <w:pPr>
        <w:pStyle w:val="Paragraphedeliste"/>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000000"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5236CDE7" w14:textId="1DA21AB0" w:rsidR="00C8640C" w:rsidRDefault="006010AB" w:rsidP="006010AB">
      <w:pPr>
        <w:ind w:firstLine="708"/>
        <w:jc w:val="both"/>
      </w:pPr>
      <w:r w:rsidRPr="006010AB">
        <w:rPr>
          <w:rFonts w:cstheme="minorHAnsi"/>
          <w:sz w:val="20"/>
          <w:szCs w:val="20"/>
          <w:highlight w:val="yellow"/>
        </w:rPr>
        <w:t xml:space="preserve">[A COMPLETER PAR LE </w:t>
      </w:r>
      <w:r>
        <w:rPr>
          <w:rFonts w:cstheme="minorHAnsi"/>
          <w:sz w:val="20"/>
          <w:szCs w:val="20"/>
          <w:highlight w:val="yellow"/>
        </w:rPr>
        <w:t>PRESTATAIRE</w:t>
      </w:r>
      <w:r w:rsidRPr="006010AB">
        <w:rPr>
          <w:highlight w:val="yellow"/>
        </w:rPr>
        <w:t>]</w:t>
      </w:r>
    </w:p>
    <w:p w14:paraId="4E860F59" w14:textId="77777777" w:rsidR="006010AB" w:rsidRPr="00657BF2" w:rsidRDefault="006010AB" w:rsidP="006010AB">
      <w:pPr>
        <w:ind w:firstLine="708"/>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7BB35613" w14:textId="77777777" w:rsidR="006010AB" w:rsidRDefault="006010AB" w:rsidP="006010AB">
      <w:pPr>
        <w:pStyle w:val="Paragraphedeliste"/>
        <w:jc w:val="both"/>
      </w:pPr>
      <w:r w:rsidRPr="006010AB">
        <w:rPr>
          <w:rFonts w:cstheme="minorHAnsi"/>
          <w:sz w:val="20"/>
          <w:szCs w:val="20"/>
          <w:highlight w:val="yellow"/>
        </w:rPr>
        <w:t>[A COMPLETER PAR LE PRESTATAIRE</w:t>
      </w:r>
      <w:r w:rsidRPr="006010AB">
        <w:rPr>
          <w:highlight w:val="yellow"/>
        </w:rP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56CF83DD" w14:textId="77777777" w:rsidR="006010AB" w:rsidRDefault="006010AB" w:rsidP="006010AB">
      <w:pPr>
        <w:pStyle w:val="Paragraphedeliste"/>
        <w:jc w:val="both"/>
      </w:pPr>
      <w:r w:rsidRPr="006010AB">
        <w:rPr>
          <w:rFonts w:cstheme="minorHAnsi"/>
          <w:sz w:val="20"/>
          <w:szCs w:val="20"/>
          <w:highlight w:val="yellow"/>
        </w:rPr>
        <w:t>[A COMPLETER PAR LE PRESTATAIRE</w:t>
      </w:r>
      <w:r w:rsidRPr="006010AB">
        <w:rPr>
          <w:highlight w:val="yellow"/>
        </w:rP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7FB392BE" w14:textId="77777777" w:rsidR="006010AB" w:rsidRDefault="001C7177" w:rsidP="006010AB">
      <w:pPr>
        <w:jc w:val="both"/>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010AB" w:rsidRPr="006010AB">
        <w:rPr>
          <w:rFonts w:cstheme="minorHAnsi"/>
          <w:sz w:val="20"/>
          <w:szCs w:val="20"/>
          <w:highlight w:val="yellow"/>
        </w:rPr>
        <w:t xml:space="preserve">[A COMPLETER PAR LE </w:t>
      </w:r>
      <w:r w:rsidR="006010AB">
        <w:rPr>
          <w:rFonts w:cstheme="minorHAnsi"/>
          <w:sz w:val="20"/>
          <w:szCs w:val="20"/>
          <w:highlight w:val="yellow"/>
        </w:rPr>
        <w:t>PRESTATAIRE</w:t>
      </w:r>
      <w:r w:rsidR="006010AB" w:rsidRPr="006010AB">
        <w:rPr>
          <w:highlight w:val="yellow"/>
        </w:rPr>
        <w:t>]</w:t>
      </w:r>
    </w:p>
    <w:p w14:paraId="2113B169" w14:textId="271178D0" w:rsidR="001C7177" w:rsidRPr="004C310E" w:rsidRDefault="001C7177" w:rsidP="001C7177">
      <w:pPr>
        <w:spacing w:after="0"/>
        <w:jc w:val="both"/>
        <w:rPr>
          <w:rFonts w:cstheme="minorHAnsi"/>
          <w:bCs/>
          <w:sz w:val="20"/>
          <w:szCs w:val="20"/>
        </w:rPr>
      </w:pP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64FA2589" w:rsidR="006010AB" w:rsidRPr="006010AB" w:rsidRDefault="006010AB" w:rsidP="006010AB">
            <w:pPr>
              <w:jc w:val="both"/>
              <w:rPr>
                <w:rFonts w:cstheme="minorHAnsi"/>
                <w:bCs/>
                <w:sz w:val="20"/>
                <w:szCs w:val="20"/>
              </w:rPr>
            </w:pPr>
            <w:r w:rsidRPr="006010AB">
              <w:rPr>
                <w:rFonts w:cstheme="minorHAnsi"/>
                <w:bCs/>
                <w:sz w:val="20"/>
                <w:szCs w:val="20"/>
              </w:rPr>
              <w:t>Assurer la formation des</w:t>
            </w:r>
            <w:r>
              <w:rPr>
                <w:rFonts w:cstheme="minorHAnsi"/>
                <w:bCs/>
                <w:sz w:val="20"/>
                <w:szCs w:val="20"/>
              </w:rPr>
              <w:t xml:space="preserve"> personnels, </w:t>
            </w:r>
            <w:r w:rsidRPr="006010AB">
              <w:rPr>
                <w:rFonts w:cstheme="minorHAnsi"/>
                <w:bCs/>
                <w:i/>
                <w:iCs/>
                <w:sz w:val="20"/>
                <w:szCs w:val="20"/>
              </w:rPr>
              <w:t>via</w:t>
            </w:r>
            <w:r>
              <w:rPr>
                <w:rFonts w:cstheme="minorHAnsi"/>
                <w:bCs/>
                <w:sz w:val="20"/>
                <w:szCs w:val="20"/>
              </w:rPr>
              <w:t xml:space="preserve"> des formations en prévention routière.</w:t>
            </w:r>
          </w:p>
          <w:p w14:paraId="1CAD98C2" w14:textId="199FAF69" w:rsidR="00A83124" w:rsidRPr="00D92205" w:rsidRDefault="00A83124" w:rsidP="00A83124">
            <w:pPr>
              <w:jc w:val="both"/>
              <w:rPr>
                <w:rFonts w:cstheme="minorHAnsi"/>
                <w:b/>
                <w:color w:val="FF0000"/>
                <w:sz w:val="20"/>
                <w:szCs w:val="20"/>
                <w:highlight w:val="yellow"/>
                <w:u w:val="single"/>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314AD69E" w14:textId="0172A358" w:rsidR="006010AB" w:rsidRPr="006010AB" w:rsidRDefault="006010AB" w:rsidP="006010AB">
            <w:pPr>
              <w:jc w:val="both"/>
              <w:rPr>
                <w:rFonts w:cstheme="minorHAnsi"/>
                <w:bCs/>
                <w:sz w:val="20"/>
                <w:szCs w:val="20"/>
              </w:rPr>
            </w:pPr>
            <w:r w:rsidRPr="006010AB">
              <w:rPr>
                <w:rFonts w:cstheme="minorHAnsi"/>
                <w:bCs/>
                <w:sz w:val="20"/>
                <w:szCs w:val="20"/>
              </w:rPr>
              <w:t xml:space="preserve">Assurer la formation des personnels, </w:t>
            </w:r>
            <w:r w:rsidRPr="006010AB">
              <w:rPr>
                <w:rFonts w:cstheme="minorHAnsi"/>
                <w:bCs/>
                <w:i/>
                <w:iCs/>
                <w:sz w:val="20"/>
                <w:szCs w:val="20"/>
              </w:rPr>
              <w:t>via</w:t>
            </w:r>
            <w:r w:rsidRPr="006010AB">
              <w:rPr>
                <w:rFonts w:cstheme="minorHAnsi"/>
                <w:bCs/>
                <w:sz w:val="20"/>
                <w:szCs w:val="20"/>
              </w:rPr>
              <w:t xml:space="preserve"> des formations en prévention routière.</w:t>
            </w:r>
          </w:p>
          <w:p w14:paraId="68634904" w14:textId="1F184743" w:rsidR="00103476" w:rsidRPr="006010AB" w:rsidRDefault="00103476" w:rsidP="00452029">
            <w:pPr>
              <w:jc w:val="both"/>
              <w:rPr>
                <w:rFonts w:cstheme="minorHAnsi"/>
                <w:sz w:val="20"/>
                <w:szCs w:val="20"/>
                <w:u w:val="single"/>
              </w:rPr>
            </w:pP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1C8D1DB4" w14:textId="114188ED" w:rsidR="006010AB" w:rsidRPr="006010AB" w:rsidRDefault="006010AB" w:rsidP="006010AB">
            <w:pPr>
              <w:autoSpaceDE w:val="0"/>
              <w:autoSpaceDN w:val="0"/>
              <w:adjustRightInd w:val="0"/>
              <w:rPr>
                <w:rFonts w:eastAsia="Times New Roman" w:cs="Arial"/>
                <w:bCs/>
                <w:szCs w:val="20"/>
                <w:lang w:eastAsia="fr-FR"/>
              </w:rPr>
            </w:pPr>
            <w:r w:rsidRPr="006010AB">
              <w:rPr>
                <w:rFonts w:eastAsia="Times New Roman" w:cs="Arial"/>
                <w:bCs/>
                <w:szCs w:val="20"/>
                <w:lang w:eastAsia="fr-FR"/>
              </w:rPr>
              <w:t>Catégories courantes :</w:t>
            </w:r>
          </w:p>
          <w:p w14:paraId="6CB95243" w14:textId="77777777" w:rsidR="006010AB" w:rsidRPr="006010AB" w:rsidRDefault="006010AB" w:rsidP="006010AB">
            <w:pPr>
              <w:pStyle w:val="Paragraphedeliste"/>
              <w:numPr>
                <w:ilvl w:val="0"/>
                <w:numId w:val="102"/>
              </w:numPr>
              <w:autoSpaceDE w:val="0"/>
              <w:autoSpaceDN w:val="0"/>
              <w:adjustRightInd w:val="0"/>
              <w:ind w:left="170" w:hanging="142"/>
              <w:rPr>
                <w:rFonts w:eastAsia="Times New Roman" w:cs="Arial"/>
                <w:bCs/>
                <w:szCs w:val="20"/>
                <w:lang w:eastAsia="fr-FR"/>
              </w:rPr>
            </w:pPr>
            <w:r w:rsidRPr="006010AB">
              <w:rPr>
                <w:rFonts w:eastAsia="Times New Roman" w:cs="Arial"/>
                <w:bCs/>
                <w:szCs w:val="20"/>
                <w:lang w:eastAsia="fr-FR"/>
              </w:rPr>
              <w:t>Données d’identification : prénoms, noms ;</w:t>
            </w:r>
          </w:p>
          <w:p w14:paraId="1C95C64F" w14:textId="1A2E9C5B" w:rsidR="006010AB" w:rsidRPr="006010AB" w:rsidRDefault="006010AB" w:rsidP="006010AB">
            <w:pPr>
              <w:pStyle w:val="Paragraphedeliste"/>
              <w:numPr>
                <w:ilvl w:val="0"/>
                <w:numId w:val="102"/>
              </w:numPr>
              <w:autoSpaceDE w:val="0"/>
              <w:autoSpaceDN w:val="0"/>
              <w:adjustRightInd w:val="0"/>
              <w:ind w:left="170" w:hanging="142"/>
              <w:rPr>
                <w:rFonts w:eastAsia="Times New Roman" w:cs="Arial"/>
                <w:bCs/>
                <w:szCs w:val="20"/>
                <w:lang w:eastAsia="fr-FR"/>
              </w:rPr>
            </w:pPr>
            <w:r w:rsidRPr="006010AB">
              <w:rPr>
                <w:rFonts w:eastAsia="Times New Roman" w:cs="Arial"/>
                <w:bCs/>
                <w:szCs w:val="20"/>
                <w:lang w:eastAsia="fr-FR"/>
              </w:rPr>
              <w:t>Données relatives à la vie professionnelle : adresse mail professionnelle.</w:t>
            </w:r>
          </w:p>
          <w:p w14:paraId="56665DC4" w14:textId="38E582D1" w:rsidR="00103476" w:rsidRPr="006010AB" w:rsidRDefault="00103476" w:rsidP="00452029">
            <w:pPr>
              <w:spacing w:line="259" w:lineRule="auto"/>
              <w:jc w:val="both"/>
              <w:rPr>
                <w:rFonts w:cstheme="minorHAnsi"/>
                <w:bCs/>
                <w:i/>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43034FFC" w:rsidR="00103476" w:rsidRPr="006010AB" w:rsidRDefault="006010AB" w:rsidP="00452029">
            <w:pPr>
              <w:jc w:val="both"/>
              <w:rPr>
                <w:rFonts w:cstheme="minorHAnsi"/>
                <w:bCs/>
                <w:sz w:val="20"/>
                <w:szCs w:val="20"/>
              </w:rPr>
            </w:pPr>
            <w:r w:rsidRPr="006010AB">
              <w:rPr>
                <w:rFonts w:cstheme="minorHAnsi"/>
                <w:bCs/>
                <w:sz w:val="20"/>
                <w:szCs w:val="20"/>
              </w:rPr>
              <w:t>Collaborateurs de la Caisse des dépôts.</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2BB9BCF" w14:textId="231A212B" w:rsidR="00103476" w:rsidRPr="00452029" w:rsidRDefault="006010AB" w:rsidP="00E067FE">
            <w:pPr>
              <w:jc w:val="both"/>
              <w:rPr>
                <w:rFonts w:cstheme="minorHAnsi"/>
                <w:b/>
                <w:sz w:val="20"/>
                <w:szCs w:val="20"/>
                <w:u w:val="single"/>
              </w:rPr>
            </w:pPr>
            <w:r w:rsidRPr="006010AB">
              <w:rPr>
                <w:rFonts w:cstheme="minorHAnsi"/>
                <w:bCs/>
                <w:sz w:val="20"/>
                <w:szCs w:val="20"/>
              </w:rPr>
              <w:t>C</w:t>
            </w:r>
            <w:r w:rsidR="00103476" w:rsidRPr="006010AB">
              <w:rPr>
                <w:rFonts w:cstheme="minorHAnsi"/>
                <w:bCs/>
                <w:sz w:val="20"/>
                <w:szCs w:val="20"/>
              </w:rPr>
              <w:t xml:space="preserve">ollecte, consultation, </w:t>
            </w:r>
            <w:r w:rsidRPr="006010AB">
              <w:rPr>
                <w:rFonts w:cstheme="minorHAnsi"/>
                <w:bCs/>
                <w:sz w:val="20"/>
                <w:szCs w:val="20"/>
              </w:rPr>
              <w:t>suppression.</w:t>
            </w:r>
            <w:r w:rsidR="00103476" w:rsidRPr="00452029">
              <w:rPr>
                <w:rFonts w:cstheme="minorHAnsi"/>
                <w:i/>
                <w:iCs/>
                <w:sz w:val="18"/>
                <w:szCs w:val="18"/>
              </w:rPr>
              <w:t>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6B8C7B6C" w14:textId="2E46F87E" w:rsidR="00103476" w:rsidRPr="006010AB" w:rsidRDefault="006010AB" w:rsidP="00452029">
            <w:pPr>
              <w:jc w:val="both"/>
              <w:rPr>
                <w:rFonts w:cstheme="minorHAnsi"/>
                <w:bCs/>
                <w:sz w:val="20"/>
                <w:szCs w:val="20"/>
              </w:rPr>
            </w:pPr>
            <w:r w:rsidRPr="006010AB">
              <w:rPr>
                <w:rFonts w:cstheme="minorHAnsi"/>
                <w:bCs/>
                <w:sz w:val="20"/>
                <w:szCs w:val="20"/>
              </w:rPr>
              <w:t xml:space="preserve">Durée maximale d’une année après la </w:t>
            </w:r>
            <w:r>
              <w:rPr>
                <w:rFonts w:cstheme="minorHAnsi"/>
                <w:bCs/>
                <w:sz w:val="20"/>
                <w:szCs w:val="20"/>
              </w:rPr>
              <w:t>fin de la formation du participant.</w:t>
            </w:r>
          </w:p>
          <w:p w14:paraId="1E0223DF" w14:textId="3C80AD9C" w:rsidR="006010AB" w:rsidRPr="00452029" w:rsidRDefault="006010AB" w:rsidP="00452029">
            <w:pPr>
              <w:jc w:val="both"/>
              <w:rPr>
                <w:rFonts w:cstheme="minorHAnsi"/>
                <w:i/>
                <w:iCs/>
                <w:sz w:val="20"/>
                <w:szCs w:val="20"/>
              </w:rPr>
            </w:pP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4EB37101" w14:textId="4805A384" w:rsidR="006B21CF" w:rsidRPr="006010AB" w:rsidRDefault="00A70C73" w:rsidP="00E067FE">
            <w:pPr>
              <w:jc w:val="both"/>
              <w:rPr>
                <w:rFonts w:cstheme="minorHAnsi"/>
                <w:sz w:val="17"/>
                <w:szCs w:val="17"/>
              </w:rPr>
            </w:pPr>
            <w:r w:rsidRPr="00452029">
              <w:rPr>
                <w:rFonts w:cstheme="minorHAnsi"/>
                <w:sz w:val="18"/>
                <w:szCs w:val="18"/>
              </w:rPr>
              <w:t xml:space="preserve"> </w:t>
            </w:r>
            <w:r w:rsidR="006010AB" w:rsidRPr="006010AB">
              <w:rPr>
                <w:rFonts w:cstheme="minorHAnsi"/>
                <w:sz w:val="17"/>
                <w:szCs w:val="17"/>
              </w:rPr>
              <w:t>NON</w:t>
            </w:r>
            <w:r w:rsidRPr="006010AB">
              <w:rPr>
                <w:rFonts w:cstheme="minorHAnsi"/>
                <w:sz w:val="17"/>
                <w:szCs w:val="17"/>
              </w:rPr>
              <w:t xml:space="preserve">    </w:t>
            </w:r>
          </w:p>
        </w:tc>
      </w:tr>
    </w:tbl>
    <w:p w14:paraId="3D8A33CE" w14:textId="73B7CD51" w:rsidR="006F5157" w:rsidRPr="00997304" w:rsidRDefault="006F5157" w:rsidP="004237FD">
      <w:pPr>
        <w:pStyle w:val="Titre1"/>
        <w:rPr>
          <w:rFonts w:asciiTheme="minorHAnsi" w:hAnsiTheme="minorHAnsi" w:cstheme="minorHAnsi"/>
          <w:sz w:val="22"/>
          <w:szCs w:val="22"/>
        </w:rPr>
      </w:pPr>
      <w:bookmarkStart w:id="29"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29"/>
    </w:p>
    <w:p w14:paraId="0E28FCF8" w14:textId="77777777" w:rsidR="00F73B75" w:rsidRDefault="00F73B75" w:rsidP="00D92205">
      <w:pPr>
        <w:spacing w:after="0" w:line="240" w:lineRule="exact"/>
        <w:jc w:val="both"/>
        <w:rPr>
          <w:rFonts w:cstheme="minorHAnsi"/>
          <w:i/>
          <w:iCs/>
          <w:sz w:val="20"/>
          <w:szCs w:val="20"/>
        </w:rPr>
      </w:pPr>
    </w:p>
    <w:p w14:paraId="1FC6EB5C" w14:textId="764720EC" w:rsidR="006010AB" w:rsidRDefault="006F5157" w:rsidP="00D92205">
      <w:pPr>
        <w:spacing w:after="0" w:line="240" w:lineRule="exact"/>
        <w:jc w:val="both"/>
        <w:rPr>
          <w:rFonts w:cstheme="minorHAnsi"/>
          <w:i/>
          <w:iCs/>
          <w:sz w:val="20"/>
          <w:szCs w:val="20"/>
        </w:rPr>
      </w:pPr>
      <w:r w:rsidRPr="006010AB">
        <w:rPr>
          <w:rFonts w:cstheme="minorHAnsi"/>
          <w:i/>
          <w:iCs/>
          <w:sz w:val="20"/>
          <w:szCs w:val="20"/>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w:t>
      </w:r>
      <w:r w:rsidR="00F73B75">
        <w:rPr>
          <w:rFonts w:cstheme="minorHAnsi"/>
          <w:i/>
          <w:iCs/>
          <w:sz w:val="20"/>
          <w:szCs w:val="20"/>
        </w:rPr>
        <w:t> :</w:t>
      </w:r>
    </w:p>
    <w:p w14:paraId="78FB20E6" w14:textId="1CED2C7D"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de pseudonymisation et de chiffrement des données à caractère personnel</w:t>
      </w:r>
      <w:r w:rsidR="00496A03" w:rsidRPr="006010AB">
        <w:rPr>
          <w:rFonts w:cstheme="minorHAnsi"/>
          <w:i/>
          <w:iCs/>
          <w:sz w:val="20"/>
          <w:szCs w:val="20"/>
        </w:rPr>
        <w:t> </w:t>
      </w:r>
      <w:r w:rsidRPr="006010AB">
        <w:rPr>
          <w:rFonts w:cstheme="minorHAnsi"/>
          <w:i/>
          <w:iCs/>
          <w:sz w:val="20"/>
          <w:szCs w:val="20"/>
        </w:rPr>
        <w:t>;</w:t>
      </w:r>
    </w:p>
    <w:p w14:paraId="5A1471F5" w14:textId="51D086FC"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garantir la confidentialité, l</w:t>
      </w:r>
      <w:r w:rsidR="00B335ED" w:rsidRPr="006010AB">
        <w:rPr>
          <w:rFonts w:cstheme="minorHAnsi"/>
          <w:i/>
          <w:iCs/>
          <w:sz w:val="20"/>
          <w:szCs w:val="20"/>
        </w:rPr>
        <w:t>’</w:t>
      </w:r>
      <w:r w:rsidRPr="006010AB">
        <w:rPr>
          <w:rFonts w:cstheme="minorHAnsi"/>
          <w:i/>
          <w:iCs/>
          <w:sz w:val="20"/>
          <w:szCs w:val="20"/>
        </w:rPr>
        <w:t>intégrité, la disponibilité et la résilience constantes des systèmes et des services de traitement</w:t>
      </w:r>
      <w:r w:rsidR="00496A03" w:rsidRPr="006010AB">
        <w:rPr>
          <w:rFonts w:cstheme="minorHAnsi"/>
          <w:i/>
          <w:iCs/>
          <w:sz w:val="20"/>
          <w:szCs w:val="20"/>
        </w:rPr>
        <w:t> </w:t>
      </w:r>
      <w:r w:rsidRPr="006010AB">
        <w:rPr>
          <w:rFonts w:cstheme="minorHAnsi"/>
          <w:i/>
          <w:iCs/>
          <w:sz w:val="20"/>
          <w:szCs w:val="20"/>
        </w:rPr>
        <w:t>;</w:t>
      </w:r>
    </w:p>
    <w:p w14:paraId="7784A878" w14:textId="47D747A4"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assurant de disposer de moyens permettant de rétablir la disponibilité des données à caractère personnel et l</w:t>
      </w:r>
      <w:r w:rsidR="00B335ED" w:rsidRPr="006010AB">
        <w:rPr>
          <w:rFonts w:cstheme="minorHAnsi"/>
          <w:i/>
          <w:iCs/>
          <w:sz w:val="20"/>
          <w:szCs w:val="20"/>
        </w:rPr>
        <w:t>’</w:t>
      </w:r>
      <w:r w:rsidRPr="006010AB">
        <w:rPr>
          <w:rFonts w:cstheme="minorHAnsi"/>
          <w:i/>
          <w:iCs/>
          <w:sz w:val="20"/>
          <w:szCs w:val="20"/>
        </w:rPr>
        <w:t>accès à celles-ci dans des délais appropriés en cas d</w:t>
      </w:r>
      <w:r w:rsidR="00B335ED" w:rsidRPr="006010AB">
        <w:rPr>
          <w:rFonts w:cstheme="minorHAnsi"/>
          <w:i/>
          <w:iCs/>
          <w:sz w:val="20"/>
          <w:szCs w:val="20"/>
        </w:rPr>
        <w:t>’</w:t>
      </w:r>
      <w:r w:rsidRPr="006010AB">
        <w:rPr>
          <w:rFonts w:cstheme="minorHAnsi"/>
          <w:i/>
          <w:iCs/>
          <w:sz w:val="20"/>
          <w:szCs w:val="20"/>
        </w:rPr>
        <w:t>incident physique ou technique</w:t>
      </w:r>
      <w:r w:rsidR="00496A03" w:rsidRPr="006010AB">
        <w:rPr>
          <w:rFonts w:cstheme="minorHAnsi"/>
          <w:i/>
          <w:iCs/>
          <w:sz w:val="20"/>
          <w:szCs w:val="20"/>
        </w:rPr>
        <w:t> </w:t>
      </w:r>
      <w:r w:rsidRPr="006010AB">
        <w:rPr>
          <w:rFonts w:cstheme="minorHAnsi"/>
          <w:i/>
          <w:iCs/>
          <w:sz w:val="20"/>
          <w:szCs w:val="20"/>
        </w:rPr>
        <w:t>;</w:t>
      </w:r>
    </w:p>
    <w:p w14:paraId="56F948CC" w14:textId="28E42D1B"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procédures visant à tester, à analyser et à évaluer régulièrement l</w:t>
      </w:r>
      <w:r w:rsidR="00B335ED" w:rsidRPr="006010AB">
        <w:rPr>
          <w:rFonts w:cstheme="minorHAnsi"/>
          <w:i/>
          <w:iCs/>
          <w:sz w:val="20"/>
          <w:szCs w:val="20"/>
        </w:rPr>
        <w:t>’</w:t>
      </w:r>
      <w:r w:rsidRPr="006010AB">
        <w:rPr>
          <w:rFonts w:cstheme="minorHAnsi"/>
          <w:i/>
          <w:iCs/>
          <w:sz w:val="20"/>
          <w:szCs w:val="20"/>
        </w:rPr>
        <w:t>efficacité des mesures techniques et organisationnelles pour assurer la sécurité du traitement</w:t>
      </w:r>
      <w:r w:rsidR="00496A03" w:rsidRPr="006010AB">
        <w:rPr>
          <w:rFonts w:cstheme="minorHAnsi"/>
          <w:i/>
          <w:iCs/>
          <w:sz w:val="20"/>
          <w:szCs w:val="20"/>
        </w:rPr>
        <w:t> </w:t>
      </w:r>
      <w:r w:rsidRPr="006010AB">
        <w:rPr>
          <w:rFonts w:cstheme="minorHAnsi"/>
          <w:i/>
          <w:iCs/>
          <w:sz w:val="20"/>
          <w:szCs w:val="20"/>
        </w:rPr>
        <w:t>;</w:t>
      </w:r>
    </w:p>
    <w:p w14:paraId="1344C87E" w14:textId="54A32612"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d</w:t>
      </w:r>
      <w:r w:rsidR="00B335ED" w:rsidRPr="006010AB">
        <w:rPr>
          <w:rFonts w:cstheme="minorHAnsi"/>
          <w:i/>
          <w:iCs/>
          <w:sz w:val="20"/>
          <w:szCs w:val="20"/>
        </w:rPr>
        <w:t>’</w:t>
      </w:r>
      <w:r w:rsidRPr="006010AB">
        <w:rPr>
          <w:rFonts w:cstheme="minorHAnsi"/>
          <w:i/>
          <w:iCs/>
          <w:sz w:val="20"/>
          <w:szCs w:val="20"/>
        </w:rPr>
        <w:t>identification et d</w:t>
      </w:r>
      <w:r w:rsidR="00B335ED" w:rsidRPr="006010AB">
        <w:rPr>
          <w:rFonts w:cstheme="minorHAnsi"/>
          <w:i/>
          <w:iCs/>
          <w:sz w:val="20"/>
          <w:szCs w:val="20"/>
        </w:rPr>
        <w:t>’</w:t>
      </w:r>
      <w:r w:rsidRPr="006010AB">
        <w:rPr>
          <w:rFonts w:cstheme="minorHAnsi"/>
          <w:i/>
          <w:iCs/>
          <w:sz w:val="20"/>
          <w:szCs w:val="20"/>
        </w:rPr>
        <w:t>autorisation de l</w:t>
      </w:r>
      <w:r w:rsidR="00B335ED" w:rsidRPr="006010AB">
        <w:rPr>
          <w:rFonts w:cstheme="minorHAnsi"/>
          <w:i/>
          <w:iCs/>
          <w:sz w:val="20"/>
          <w:szCs w:val="20"/>
        </w:rPr>
        <w:t>’</w:t>
      </w:r>
      <w:r w:rsidRPr="006010AB">
        <w:rPr>
          <w:rFonts w:cstheme="minorHAnsi"/>
          <w:i/>
          <w:iCs/>
          <w:sz w:val="20"/>
          <w:szCs w:val="20"/>
        </w:rPr>
        <w:t>utilisateur</w:t>
      </w:r>
      <w:r w:rsidR="00496A03" w:rsidRPr="006010AB">
        <w:rPr>
          <w:rFonts w:cstheme="minorHAnsi"/>
          <w:i/>
          <w:iCs/>
          <w:sz w:val="20"/>
          <w:szCs w:val="20"/>
        </w:rPr>
        <w:t> </w:t>
      </w:r>
      <w:r w:rsidRPr="006010AB">
        <w:rPr>
          <w:rFonts w:cstheme="minorHAnsi"/>
          <w:i/>
          <w:iCs/>
          <w:sz w:val="20"/>
          <w:szCs w:val="20"/>
        </w:rPr>
        <w:t>;</w:t>
      </w:r>
    </w:p>
    <w:p w14:paraId="6A489C19" w14:textId="11F86266"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de protection des données pendant la transmission</w:t>
      </w:r>
      <w:r w:rsidR="00496A03" w:rsidRPr="006010AB">
        <w:rPr>
          <w:rFonts w:cstheme="minorHAnsi"/>
          <w:i/>
          <w:iCs/>
          <w:sz w:val="20"/>
          <w:szCs w:val="20"/>
        </w:rPr>
        <w:t> </w:t>
      </w:r>
      <w:r w:rsidRPr="006010AB">
        <w:rPr>
          <w:rFonts w:cstheme="minorHAnsi"/>
          <w:i/>
          <w:iCs/>
          <w:sz w:val="20"/>
          <w:szCs w:val="20"/>
        </w:rPr>
        <w:t>;</w:t>
      </w:r>
    </w:p>
    <w:p w14:paraId="656732EB" w14:textId="00E39F14"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de protection des données pendant le stockage</w:t>
      </w:r>
      <w:r w:rsidR="00496A03" w:rsidRPr="006010AB">
        <w:rPr>
          <w:rFonts w:cstheme="minorHAnsi"/>
          <w:i/>
          <w:iCs/>
          <w:sz w:val="20"/>
          <w:szCs w:val="20"/>
        </w:rPr>
        <w:t> </w:t>
      </w:r>
      <w:r w:rsidRPr="006010AB">
        <w:rPr>
          <w:rFonts w:cstheme="minorHAnsi"/>
          <w:i/>
          <w:iCs/>
          <w:sz w:val="20"/>
          <w:szCs w:val="20"/>
        </w:rPr>
        <w:t>;</w:t>
      </w:r>
    </w:p>
    <w:p w14:paraId="4E52F4E8" w14:textId="375A6256"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garantir la sécurité physique des sites où les données à caractère personnel sont traitées</w:t>
      </w:r>
      <w:r w:rsidR="00496A03" w:rsidRPr="006010AB">
        <w:rPr>
          <w:rFonts w:cstheme="minorHAnsi"/>
          <w:i/>
          <w:iCs/>
          <w:sz w:val="20"/>
          <w:szCs w:val="20"/>
        </w:rPr>
        <w:t> </w:t>
      </w:r>
      <w:r w:rsidRPr="006010AB">
        <w:rPr>
          <w:rFonts w:cstheme="minorHAnsi"/>
          <w:i/>
          <w:iCs/>
          <w:sz w:val="20"/>
          <w:szCs w:val="20"/>
        </w:rPr>
        <w:t>;</w:t>
      </w:r>
    </w:p>
    <w:p w14:paraId="7B527A39" w14:textId="217B4D32"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garantir l</w:t>
      </w:r>
      <w:r w:rsidR="00B335ED" w:rsidRPr="006010AB">
        <w:rPr>
          <w:rFonts w:cstheme="minorHAnsi"/>
          <w:i/>
          <w:iCs/>
          <w:sz w:val="20"/>
          <w:szCs w:val="20"/>
        </w:rPr>
        <w:t>’</w:t>
      </w:r>
      <w:r w:rsidRPr="006010AB">
        <w:rPr>
          <w:rFonts w:cstheme="minorHAnsi"/>
          <w:i/>
          <w:iCs/>
          <w:sz w:val="20"/>
          <w:szCs w:val="20"/>
        </w:rPr>
        <w:t>enregistrement des événements</w:t>
      </w:r>
      <w:r w:rsidR="00496A03" w:rsidRPr="006010AB">
        <w:rPr>
          <w:rFonts w:cstheme="minorHAnsi"/>
          <w:i/>
          <w:iCs/>
          <w:sz w:val="20"/>
          <w:szCs w:val="20"/>
        </w:rPr>
        <w:t> </w:t>
      </w:r>
      <w:r w:rsidRPr="006010AB">
        <w:rPr>
          <w:rFonts w:cstheme="minorHAnsi"/>
          <w:i/>
          <w:iCs/>
          <w:sz w:val="20"/>
          <w:szCs w:val="20"/>
        </w:rPr>
        <w:t>;</w:t>
      </w:r>
    </w:p>
    <w:p w14:paraId="19958615" w14:textId="124D2ED7"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assurer la configuration des systèmes, y compris la configuration par défaut</w:t>
      </w:r>
      <w:r w:rsidR="00496A03" w:rsidRPr="006010AB">
        <w:rPr>
          <w:rFonts w:cstheme="minorHAnsi"/>
          <w:i/>
          <w:iCs/>
          <w:sz w:val="20"/>
          <w:szCs w:val="20"/>
        </w:rPr>
        <w:t> </w:t>
      </w:r>
      <w:r w:rsidRPr="006010AB">
        <w:rPr>
          <w:rFonts w:cstheme="minorHAnsi"/>
          <w:i/>
          <w:iCs/>
          <w:sz w:val="20"/>
          <w:szCs w:val="20"/>
        </w:rPr>
        <w:t>;</w:t>
      </w:r>
    </w:p>
    <w:p w14:paraId="7329299D" w14:textId="0CB8BB57" w:rsidR="006F5157" w:rsidRPr="00F73B75" w:rsidRDefault="006F5157" w:rsidP="00F73B7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de gouvernance et de gestion de l</w:t>
      </w:r>
      <w:r w:rsidR="00B335ED" w:rsidRPr="006010AB">
        <w:rPr>
          <w:rFonts w:cstheme="minorHAnsi"/>
          <w:i/>
          <w:iCs/>
          <w:sz w:val="20"/>
          <w:szCs w:val="20"/>
        </w:rPr>
        <w:t>’</w:t>
      </w:r>
      <w:r w:rsidRPr="006010AB">
        <w:rPr>
          <w:rFonts w:cstheme="minorHAnsi"/>
          <w:i/>
          <w:iCs/>
          <w:sz w:val="20"/>
          <w:szCs w:val="20"/>
        </w:rPr>
        <w:t>informatique interne et de la sécurité informatique</w:t>
      </w:r>
      <w:r w:rsidR="00496A03" w:rsidRPr="006010AB">
        <w:rPr>
          <w:rFonts w:cstheme="minorHAnsi"/>
          <w:i/>
          <w:iCs/>
          <w:sz w:val="20"/>
          <w:szCs w:val="20"/>
        </w:rPr>
        <w:t> </w:t>
      </w:r>
      <w:r w:rsidRPr="006010AB">
        <w:rPr>
          <w:rFonts w:cstheme="minorHAnsi"/>
          <w:i/>
          <w:iCs/>
          <w:sz w:val="20"/>
          <w:szCs w:val="20"/>
        </w:rPr>
        <w:t>;</w:t>
      </w:r>
    </w:p>
    <w:p w14:paraId="0631D599" w14:textId="08DCBC29"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garantir la minimisation des données</w:t>
      </w:r>
      <w:r w:rsidR="00496A03" w:rsidRPr="006010AB">
        <w:rPr>
          <w:rFonts w:cstheme="minorHAnsi"/>
          <w:i/>
          <w:iCs/>
          <w:sz w:val="20"/>
          <w:szCs w:val="20"/>
        </w:rPr>
        <w:t> </w:t>
      </w:r>
      <w:r w:rsidRPr="006010AB">
        <w:rPr>
          <w:rFonts w:cstheme="minorHAnsi"/>
          <w:i/>
          <w:iCs/>
          <w:sz w:val="20"/>
          <w:szCs w:val="20"/>
        </w:rPr>
        <w:t>;</w:t>
      </w:r>
    </w:p>
    <w:p w14:paraId="225C6190" w14:textId="172B3741"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garantir la qualité des données</w:t>
      </w:r>
      <w:r w:rsidR="00496A03" w:rsidRPr="006010AB">
        <w:rPr>
          <w:rFonts w:cstheme="minorHAnsi"/>
          <w:i/>
          <w:iCs/>
          <w:sz w:val="20"/>
          <w:szCs w:val="20"/>
        </w:rPr>
        <w:t> </w:t>
      </w:r>
      <w:r w:rsidRPr="006010AB">
        <w:rPr>
          <w:rFonts w:cstheme="minorHAnsi"/>
          <w:i/>
          <w:iCs/>
          <w:sz w:val="20"/>
          <w:szCs w:val="20"/>
        </w:rPr>
        <w:t>;</w:t>
      </w:r>
    </w:p>
    <w:p w14:paraId="700F7F2D" w14:textId="6FF38197" w:rsidR="006F5157" w:rsidRPr="006010AB" w:rsidRDefault="006F5157" w:rsidP="00D92205">
      <w:pPr>
        <w:pStyle w:val="Paragraphedeliste"/>
        <w:numPr>
          <w:ilvl w:val="0"/>
          <w:numId w:val="19"/>
        </w:numPr>
        <w:spacing w:after="0" w:line="240" w:lineRule="exact"/>
        <w:jc w:val="both"/>
        <w:rPr>
          <w:rFonts w:cstheme="minorHAnsi"/>
          <w:i/>
          <w:iCs/>
          <w:sz w:val="20"/>
          <w:szCs w:val="20"/>
        </w:rPr>
      </w:pPr>
      <w:r w:rsidRPr="006010AB">
        <w:rPr>
          <w:rFonts w:cstheme="minorHAnsi"/>
          <w:i/>
          <w:iCs/>
          <w:sz w:val="20"/>
          <w:szCs w:val="20"/>
        </w:rPr>
        <w:t>mesures visant à garantir une conservation limitée des données</w:t>
      </w:r>
      <w:r w:rsidR="00496A03" w:rsidRPr="006010AB">
        <w:rPr>
          <w:rFonts w:cstheme="minorHAnsi"/>
          <w:i/>
          <w:iCs/>
          <w:sz w:val="20"/>
          <w:szCs w:val="20"/>
        </w:rPr>
        <w:t> </w:t>
      </w:r>
      <w:r w:rsidRPr="006010AB">
        <w:rPr>
          <w:rFonts w:cstheme="minorHAnsi"/>
          <w:i/>
          <w:iCs/>
          <w:sz w:val="20"/>
          <w:szCs w:val="20"/>
        </w:rPr>
        <w:t>;</w:t>
      </w:r>
    </w:p>
    <w:p w14:paraId="32EBD5C9" w14:textId="0AD1BC7B" w:rsidR="000B6D15" w:rsidRPr="00F73B75" w:rsidRDefault="006F5157" w:rsidP="00E16250">
      <w:pPr>
        <w:pStyle w:val="Paragraphedeliste"/>
        <w:numPr>
          <w:ilvl w:val="0"/>
          <w:numId w:val="19"/>
        </w:numPr>
        <w:shd w:val="clear" w:color="auto" w:fill="FFFFFF"/>
        <w:spacing w:after="0" w:line="240" w:lineRule="exact"/>
        <w:jc w:val="both"/>
        <w:rPr>
          <w:rFonts w:cstheme="minorHAnsi"/>
          <w:i/>
          <w:iCs/>
          <w:sz w:val="20"/>
          <w:szCs w:val="20"/>
        </w:rPr>
      </w:pPr>
      <w:r w:rsidRPr="00F73B75">
        <w:rPr>
          <w:rFonts w:cstheme="minorHAnsi"/>
          <w:i/>
          <w:iCs/>
          <w:sz w:val="20"/>
          <w:szCs w:val="20"/>
        </w:rPr>
        <w:t>mesures visant à garantir la responsabilité</w:t>
      </w:r>
      <w:r w:rsidR="00F73B75" w:rsidRPr="00F73B75">
        <w:rPr>
          <w:rFonts w:cstheme="minorHAnsi"/>
          <w:i/>
          <w:iCs/>
          <w:sz w:val="20"/>
          <w:szCs w:val="20"/>
        </w:rPr>
        <w:t>.</w:t>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38B656C7" w14:textId="77777777" w:rsidR="00B1026F" w:rsidRPr="00F73B75" w:rsidRDefault="00B1026F" w:rsidP="00B66C94">
      <w:pPr>
        <w:spacing w:after="0" w:line="220" w:lineRule="exact"/>
        <w:jc w:val="both"/>
        <w:rPr>
          <w:rFonts w:cstheme="minorHAnsi"/>
        </w:rPr>
      </w:pPr>
    </w:p>
    <w:p w14:paraId="325BEE2D" w14:textId="21E2D7CB" w:rsidR="00AA0E66" w:rsidRPr="00F73B75" w:rsidRDefault="00F73B75" w:rsidP="00D92205">
      <w:pPr>
        <w:spacing w:after="0" w:line="240" w:lineRule="exact"/>
        <w:jc w:val="both"/>
        <w:rPr>
          <w:rFonts w:cstheme="minorHAnsi"/>
          <w:sz w:val="20"/>
          <w:szCs w:val="20"/>
        </w:rPr>
      </w:pPr>
      <w:r w:rsidRPr="00F73B75">
        <w:rPr>
          <w:rFonts w:cstheme="minorHAnsi"/>
          <w:sz w:val="20"/>
          <w:szCs w:val="20"/>
        </w:rPr>
        <w:t>L</w:t>
      </w:r>
      <w:r w:rsidR="00661DFC" w:rsidRPr="00F73B75">
        <w:rPr>
          <w:rFonts w:cstheme="minorHAnsi"/>
          <w:sz w:val="20"/>
          <w:szCs w:val="20"/>
        </w:rPr>
        <w:t xml:space="preserve">a liste des sous-traitants ultérieurs du sous-traitant est </w:t>
      </w:r>
      <w:r w:rsidR="0029463B" w:rsidRPr="00F73B75">
        <w:rPr>
          <w:rFonts w:cstheme="minorHAnsi"/>
          <w:sz w:val="20"/>
          <w:szCs w:val="20"/>
        </w:rPr>
        <w:t>accessible</w:t>
      </w:r>
      <w:r w:rsidR="00661DFC" w:rsidRPr="00F73B75">
        <w:rPr>
          <w:rFonts w:cstheme="minorHAnsi"/>
          <w:sz w:val="20"/>
          <w:szCs w:val="20"/>
        </w:rPr>
        <w:t xml:space="preserve"> : </w:t>
      </w:r>
    </w:p>
    <w:p w14:paraId="264F1844" w14:textId="273939CA" w:rsidR="00661DFC" w:rsidRPr="00F73B75" w:rsidRDefault="00661DFC" w:rsidP="00D92205">
      <w:pPr>
        <w:spacing w:after="0" w:line="240" w:lineRule="exact"/>
        <w:jc w:val="both"/>
        <w:rPr>
          <w:rFonts w:cstheme="minorHAnsi"/>
          <w:i/>
          <w:iCs/>
          <w:sz w:val="20"/>
          <w:szCs w:val="20"/>
        </w:rPr>
      </w:pPr>
    </w:p>
    <w:p w14:paraId="68501A8E" w14:textId="77777777" w:rsidR="00F73B75" w:rsidRPr="00F73B75" w:rsidRDefault="00661DFC" w:rsidP="00F73B75">
      <w:pPr>
        <w:pStyle w:val="Paragraphedeliste"/>
        <w:numPr>
          <w:ilvl w:val="0"/>
          <w:numId w:val="19"/>
        </w:numPr>
        <w:jc w:val="both"/>
      </w:pPr>
      <w:r w:rsidRPr="00F73B75">
        <w:rPr>
          <w:rFonts w:cstheme="minorHAnsi"/>
          <w:i/>
          <w:iCs/>
          <w:sz w:val="20"/>
          <w:szCs w:val="20"/>
        </w:rPr>
        <w:t>via</w:t>
      </w:r>
      <w:r w:rsidRPr="00F73B75">
        <w:rPr>
          <w:rFonts w:cstheme="minorHAnsi"/>
          <w:sz w:val="20"/>
          <w:szCs w:val="20"/>
        </w:rPr>
        <w:t xml:space="preserve"> le lien url suivant : [</w:t>
      </w:r>
      <w:r w:rsidR="00F73B75" w:rsidRPr="00F73B75">
        <w:rPr>
          <w:rFonts w:cstheme="minorHAnsi"/>
          <w:sz w:val="20"/>
          <w:szCs w:val="20"/>
          <w:highlight w:val="yellow"/>
        </w:rPr>
        <w:t>A COMPLETER PAR LE PRESTATAIRE // à insérer</w:t>
      </w:r>
      <w:r w:rsidR="00F73B75" w:rsidRPr="00F73B75">
        <w:rPr>
          <w:highlight w:val="yellow"/>
        </w:rPr>
        <w:t>]</w:t>
      </w:r>
      <w:r w:rsidR="007D4E92" w:rsidRPr="00F73B75">
        <w:rPr>
          <w:rFonts w:cstheme="minorHAnsi"/>
          <w:sz w:val="20"/>
          <w:szCs w:val="20"/>
        </w:rPr>
        <w:t xml:space="preserve">. </w:t>
      </w:r>
    </w:p>
    <w:p w14:paraId="366624C6" w14:textId="07ACB1DB" w:rsidR="00661DFC" w:rsidRPr="00F73B75" w:rsidRDefault="0029463B" w:rsidP="0050059B">
      <w:pPr>
        <w:pStyle w:val="Paragraphedeliste"/>
        <w:numPr>
          <w:ilvl w:val="0"/>
          <w:numId w:val="19"/>
        </w:numPr>
        <w:jc w:val="both"/>
        <w:rPr>
          <w:rFonts w:cstheme="minorHAnsi"/>
          <w:sz w:val="20"/>
          <w:szCs w:val="20"/>
        </w:rPr>
      </w:pPr>
      <w:r w:rsidRPr="00F73B75">
        <w:rPr>
          <w:rFonts w:cstheme="minorHAnsi"/>
          <w:sz w:val="20"/>
          <w:szCs w:val="20"/>
        </w:rPr>
        <w:t xml:space="preserve">à </w:t>
      </w:r>
      <w:r w:rsidR="00367E60" w:rsidRPr="00F73B75">
        <w:rPr>
          <w:rFonts w:cstheme="minorHAnsi"/>
          <w:sz w:val="20"/>
          <w:szCs w:val="20"/>
        </w:rPr>
        <w:t>défaut d’une liste accessible en ligne : [</w:t>
      </w:r>
      <w:r w:rsidR="00F73B75" w:rsidRPr="00F73B75">
        <w:rPr>
          <w:rFonts w:cstheme="minorHAnsi"/>
          <w:sz w:val="20"/>
          <w:szCs w:val="20"/>
        </w:rPr>
        <w:t xml:space="preserve">A COMPLETER PAR LE PRESTATAIRE : </w:t>
      </w:r>
      <w:r w:rsidR="00F73B75" w:rsidRPr="00F73B75">
        <w:rPr>
          <w:rFonts w:cstheme="minorHAnsi"/>
          <w:sz w:val="20"/>
          <w:szCs w:val="20"/>
          <w:highlight w:val="yellow"/>
        </w:rPr>
        <w:t>[A COMPLETER PAR LE PRESTATAIRE</w:t>
      </w:r>
      <w:r w:rsidR="00F73B75" w:rsidRPr="00F73B75">
        <w:rPr>
          <w:highlight w:val="yellow"/>
        </w:rPr>
        <w:t xml:space="preserve"> // </w:t>
      </w:r>
      <w:r w:rsidR="00367E60" w:rsidRPr="00F73B75">
        <w:rPr>
          <w:rFonts w:cstheme="minorHAnsi"/>
          <w:sz w:val="20"/>
          <w:szCs w:val="20"/>
          <w:highlight w:val="yellow"/>
        </w:rPr>
        <w:t>préciser la procédure pour accéder à la dernière version en date</w:t>
      </w:r>
      <w:r w:rsidR="00367E60" w:rsidRPr="00F73B75">
        <w:rPr>
          <w:rFonts w:cstheme="minorHAnsi"/>
          <w:sz w:val="20"/>
          <w:szCs w:val="20"/>
        </w:rPr>
        <w:t>]</w:t>
      </w:r>
      <w:r w:rsidRPr="00F73B75">
        <w:rPr>
          <w:rFonts w:cstheme="minorHAnsi"/>
          <w:sz w:val="20"/>
          <w:szCs w:val="20"/>
        </w:rPr>
        <w:t xml:space="preserve">. </w:t>
      </w:r>
    </w:p>
    <w:p w14:paraId="71023121" w14:textId="22FC4D3C" w:rsidR="00FC4FE5" w:rsidRPr="00F73B75" w:rsidRDefault="00C80862" w:rsidP="00D92205">
      <w:pPr>
        <w:spacing w:after="0" w:line="240" w:lineRule="exact"/>
        <w:jc w:val="both"/>
        <w:rPr>
          <w:rFonts w:cstheme="minorHAnsi"/>
          <w:i/>
          <w:iCs/>
          <w:sz w:val="20"/>
          <w:szCs w:val="20"/>
        </w:rPr>
      </w:pPr>
      <w:r w:rsidRPr="00F73B75">
        <w:rPr>
          <w:rFonts w:cstheme="minorHAnsi"/>
          <w:sz w:val="20"/>
          <w:szCs w:val="20"/>
        </w:rPr>
        <w:t xml:space="preserve">Le sous-traitant s’engage à </w:t>
      </w:r>
      <w:r w:rsidR="000043E4" w:rsidRPr="00F73B75">
        <w:rPr>
          <w:rFonts w:cstheme="minorHAnsi"/>
          <w:sz w:val="20"/>
          <w:szCs w:val="20"/>
        </w:rPr>
        <w:t xml:space="preserve">ce que </w:t>
      </w:r>
      <w:r w:rsidRPr="00F73B75">
        <w:rPr>
          <w:rFonts w:cstheme="minorHAnsi"/>
          <w:sz w:val="20"/>
          <w:szCs w:val="20"/>
        </w:rPr>
        <w:t>la liste des sous-traitants</w:t>
      </w:r>
      <w:r w:rsidR="000043E4" w:rsidRPr="00F73B75">
        <w:rPr>
          <w:rFonts w:cstheme="minorHAnsi"/>
          <w:sz w:val="20"/>
          <w:szCs w:val="20"/>
        </w:rPr>
        <w:t xml:space="preserve"> ultérieurs soit en permanence à jour</w:t>
      </w:r>
      <w:r w:rsidRPr="00F73B75">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2"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3"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3"/>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2"/>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3"/>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4"/>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4" w:name="_Hlk162540592"/>
      <w:r w:rsidR="007B35F8" w:rsidRPr="00855C3E">
        <w:rPr>
          <w:sz w:val="20"/>
          <w:szCs w:val="20"/>
        </w:rPr>
        <w:t xml:space="preserve">CCT Transferts – module 3 </w:t>
      </w:r>
      <w:bookmarkEnd w:id="34"/>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5"/>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6"/>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2"/>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1D1D4" w14:textId="77777777" w:rsidR="00346233" w:rsidRDefault="00346233" w:rsidP="006F5157">
      <w:pPr>
        <w:spacing w:after="0" w:line="240" w:lineRule="auto"/>
      </w:pPr>
      <w:r>
        <w:separator/>
      </w:r>
    </w:p>
  </w:endnote>
  <w:endnote w:type="continuationSeparator" w:id="0">
    <w:p w14:paraId="2B92B253" w14:textId="77777777" w:rsidR="00346233" w:rsidRDefault="00346233"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28929" w14:textId="77777777" w:rsidR="00346233" w:rsidRDefault="00346233" w:rsidP="006F5157">
      <w:pPr>
        <w:spacing w:after="0" w:line="240" w:lineRule="auto"/>
      </w:pPr>
      <w:r>
        <w:separator/>
      </w:r>
    </w:p>
  </w:footnote>
  <w:footnote w:type="continuationSeparator" w:id="0">
    <w:p w14:paraId="5A7A25B9" w14:textId="77777777" w:rsidR="00346233" w:rsidRDefault="00346233"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2" w:history="1">
        <w:r w:rsidRPr="00784361">
          <w:rPr>
            <w:rStyle w:val="Lienhypertexte"/>
            <w:rFonts w:cstheme="minorHAnsi"/>
            <w:sz w:val="17"/>
            <w:szCs w:val="17"/>
            <w:shd w:val="clear" w:color="auto" w:fill="FFFFFF"/>
          </w:rPr>
          <w:t>https://eur-lex.europa.eu/eli/dec_impl/2021/914/oj?uri=CELEX:32021D0914&amp;locale=fr</w:t>
        </w:r>
      </w:hyperlink>
    </w:p>
  </w:footnote>
  <w:footnote w:id="3">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3" w:history="1">
        <w:r w:rsidRPr="00DA374B">
          <w:rPr>
            <w:rStyle w:val="Lienhypertexte"/>
            <w:sz w:val="17"/>
            <w:szCs w:val="17"/>
          </w:rPr>
          <w:t>https://www.cnil.fr/fr/la-protection-des-donnees-dans-le-monde</w:t>
        </w:r>
      </w:hyperlink>
      <w:r w:rsidRPr="00DA374B">
        <w:rPr>
          <w:sz w:val="17"/>
          <w:szCs w:val="17"/>
        </w:rPr>
        <w:t xml:space="preserve"> </w:t>
      </w:r>
    </w:p>
  </w:footnote>
  <w:footnote w:id="4">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4"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5">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5"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6">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6"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7"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FFF62FAE"/>
    <w:lvl w:ilvl="0" w:tplc="B6626EB6">
      <w:numFmt w:val="bullet"/>
      <w:lvlText w:val="-"/>
      <w:lvlJc w:val="left"/>
      <w:pPr>
        <w:ind w:left="720" w:hanging="360"/>
      </w:pPr>
      <w:rPr>
        <w:rFonts w:ascii="Arial" w:eastAsia="Times New Roman" w:hAnsi="Arial" w:cs="Arial" w:hint="default"/>
        <w:b w:val="0"/>
        <w:bCs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3FB7E27"/>
    <w:multiLevelType w:val="hybridMultilevel"/>
    <w:tmpl w:val="30663D38"/>
    <w:lvl w:ilvl="0" w:tplc="605AE92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0"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0"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9"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1"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80"/>
  </w:num>
  <w:num w:numId="9" w16cid:durableId="293412950">
    <w:abstractNumId w:val="16"/>
  </w:num>
  <w:num w:numId="10" w16cid:durableId="2112161915">
    <w:abstractNumId w:val="28"/>
  </w:num>
  <w:num w:numId="11" w16cid:durableId="1955479934">
    <w:abstractNumId w:val="88"/>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5"/>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5"/>
  </w:num>
  <w:num w:numId="23" w16cid:durableId="209732561">
    <w:abstractNumId w:val="5"/>
  </w:num>
  <w:num w:numId="24" w16cid:durableId="813760979">
    <w:abstractNumId w:val="69"/>
  </w:num>
  <w:num w:numId="25" w16cid:durableId="2132823762">
    <w:abstractNumId w:val="68"/>
  </w:num>
  <w:num w:numId="26" w16cid:durableId="1680542450">
    <w:abstractNumId w:val="55"/>
  </w:num>
  <w:num w:numId="27" w16cid:durableId="1018967415">
    <w:abstractNumId w:val="73"/>
  </w:num>
  <w:num w:numId="28" w16cid:durableId="1782340786">
    <w:abstractNumId w:val="39"/>
  </w:num>
  <w:num w:numId="29" w16cid:durableId="1958632599">
    <w:abstractNumId w:val="51"/>
  </w:num>
  <w:num w:numId="30" w16cid:durableId="1449545290">
    <w:abstractNumId w:val="46"/>
  </w:num>
  <w:num w:numId="31" w16cid:durableId="2055689273">
    <w:abstractNumId w:val="79"/>
  </w:num>
  <w:num w:numId="32" w16cid:durableId="1920291230">
    <w:abstractNumId w:val="100"/>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4"/>
  </w:num>
  <w:num w:numId="38" w16cid:durableId="1035883137">
    <w:abstractNumId w:val="42"/>
  </w:num>
  <w:num w:numId="39" w16cid:durableId="2020502771">
    <w:abstractNumId w:val="74"/>
  </w:num>
  <w:num w:numId="40" w16cid:durableId="1851404422">
    <w:abstractNumId w:val="67"/>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2"/>
  </w:num>
  <w:num w:numId="46" w16cid:durableId="510224157">
    <w:abstractNumId w:val="13"/>
  </w:num>
  <w:num w:numId="47" w16cid:durableId="289670155">
    <w:abstractNumId w:val="83"/>
  </w:num>
  <w:num w:numId="48" w16cid:durableId="914583439">
    <w:abstractNumId w:val="66"/>
  </w:num>
  <w:num w:numId="49" w16cid:durableId="1395471696">
    <w:abstractNumId w:val="99"/>
  </w:num>
  <w:num w:numId="50" w16cid:durableId="611060444">
    <w:abstractNumId w:val="6"/>
  </w:num>
  <w:num w:numId="51" w16cid:durableId="1564019714">
    <w:abstractNumId w:val="25"/>
  </w:num>
  <w:num w:numId="52" w16cid:durableId="2018654521">
    <w:abstractNumId w:val="78"/>
  </w:num>
  <w:num w:numId="53" w16cid:durableId="1612587041">
    <w:abstractNumId w:val="81"/>
  </w:num>
  <w:num w:numId="54" w16cid:durableId="1847864772">
    <w:abstractNumId w:val="89"/>
  </w:num>
  <w:num w:numId="55" w16cid:durableId="1021199975">
    <w:abstractNumId w:val="9"/>
  </w:num>
  <w:num w:numId="56" w16cid:durableId="2094085599">
    <w:abstractNumId w:val="50"/>
  </w:num>
  <w:num w:numId="57" w16cid:durableId="1879395154">
    <w:abstractNumId w:val="76"/>
  </w:num>
  <w:num w:numId="58" w16cid:durableId="1085031833">
    <w:abstractNumId w:val="8"/>
  </w:num>
  <w:num w:numId="59" w16cid:durableId="1319310168">
    <w:abstractNumId w:val="47"/>
  </w:num>
  <w:num w:numId="60" w16cid:durableId="372968689">
    <w:abstractNumId w:val="43"/>
  </w:num>
  <w:num w:numId="61" w16cid:durableId="1598052128">
    <w:abstractNumId w:val="90"/>
  </w:num>
  <w:num w:numId="62" w16cid:durableId="311564762">
    <w:abstractNumId w:val="44"/>
  </w:num>
  <w:num w:numId="63" w16cid:durableId="1564219956">
    <w:abstractNumId w:val="96"/>
  </w:num>
  <w:num w:numId="64" w16cid:durableId="1240871798">
    <w:abstractNumId w:val="85"/>
  </w:num>
  <w:num w:numId="65" w16cid:durableId="1038507853">
    <w:abstractNumId w:val="45"/>
  </w:num>
  <w:num w:numId="66" w16cid:durableId="711924739">
    <w:abstractNumId w:val="52"/>
  </w:num>
  <w:num w:numId="67" w16cid:durableId="1072390450">
    <w:abstractNumId w:val="75"/>
  </w:num>
  <w:num w:numId="68" w16cid:durableId="650718916">
    <w:abstractNumId w:val="70"/>
  </w:num>
  <w:num w:numId="69" w16cid:durableId="259027228">
    <w:abstractNumId w:val="33"/>
  </w:num>
  <w:num w:numId="70" w16cid:durableId="521746409">
    <w:abstractNumId w:val="87"/>
  </w:num>
  <w:num w:numId="71" w16cid:durableId="1642610408">
    <w:abstractNumId w:val="86"/>
  </w:num>
  <w:num w:numId="72" w16cid:durableId="1645815816">
    <w:abstractNumId w:val="26"/>
  </w:num>
  <w:num w:numId="73" w16cid:durableId="1359548465">
    <w:abstractNumId w:val="21"/>
  </w:num>
  <w:num w:numId="74" w16cid:durableId="1322344471">
    <w:abstractNumId w:val="27"/>
  </w:num>
  <w:num w:numId="75" w16cid:durableId="1921064339">
    <w:abstractNumId w:val="77"/>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4"/>
  </w:num>
  <w:num w:numId="81" w16cid:durableId="227040620">
    <w:abstractNumId w:val="58"/>
  </w:num>
  <w:num w:numId="82" w16cid:durableId="238558043">
    <w:abstractNumId w:val="20"/>
  </w:num>
  <w:num w:numId="83" w16cid:durableId="1555001007">
    <w:abstractNumId w:val="12"/>
  </w:num>
  <w:num w:numId="84" w16cid:durableId="1698895351">
    <w:abstractNumId w:val="91"/>
  </w:num>
  <w:num w:numId="85" w16cid:durableId="204635537">
    <w:abstractNumId w:val="1"/>
  </w:num>
  <w:num w:numId="86" w16cid:durableId="185339333">
    <w:abstractNumId w:val="82"/>
  </w:num>
  <w:num w:numId="87" w16cid:durableId="2124225558">
    <w:abstractNumId w:val="30"/>
  </w:num>
  <w:num w:numId="88" w16cid:durableId="779027641">
    <w:abstractNumId w:val="54"/>
  </w:num>
  <w:num w:numId="89" w16cid:durableId="416752988">
    <w:abstractNumId w:val="101"/>
  </w:num>
  <w:num w:numId="90" w16cid:durableId="1469518990">
    <w:abstractNumId w:val="98"/>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7"/>
  </w:num>
  <w:num w:numId="96" w16cid:durableId="750129303">
    <w:abstractNumId w:val="31"/>
  </w:num>
  <w:num w:numId="97" w16cid:durableId="1751148697">
    <w:abstractNumId w:val="93"/>
  </w:num>
  <w:num w:numId="98" w16cid:durableId="2025667598">
    <w:abstractNumId w:val="22"/>
  </w:num>
  <w:num w:numId="99" w16cid:durableId="740713684">
    <w:abstractNumId w:val="92"/>
  </w:num>
  <w:num w:numId="100" w16cid:durableId="895244199">
    <w:abstractNumId w:val="71"/>
  </w:num>
  <w:num w:numId="101" w16cid:durableId="1196384538">
    <w:abstractNumId w:val="59"/>
  </w:num>
  <w:num w:numId="102" w16cid:durableId="2001536041">
    <w:abstractNumId w:val="6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D6404"/>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1E46"/>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46233"/>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C7220"/>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0EC8"/>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0AB"/>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0B4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34C8"/>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3B75"/>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281112722">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7355">
      <w:bodyDiv w:val="1"/>
      <w:marLeft w:val="0"/>
      <w:marRight w:val="0"/>
      <w:marTop w:val="0"/>
      <w:marBottom w:val="0"/>
      <w:divBdr>
        <w:top w:val="none" w:sz="0" w:space="0" w:color="auto"/>
        <w:left w:val="none" w:sz="0" w:space="0" w:color="auto"/>
        <w:bottom w:val="none" w:sz="0" w:space="0" w:color="auto"/>
        <w:right w:val="none" w:sz="0" w:space="0" w:color="auto"/>
      </w:divBdr>
    </w:div>
    <w:div w:id="1746537824">
      <w:bodyDiv w:val="1"/>
      <w:marLeft w:val="0"/>
      <w:marRight w:val="0"/>
      <w:marTop w:val="0"/>
      <w:marBottom w:val="0"/>
      <w:divBdr>
        <w:top w:val="none" w:sz="0" w:space="0" w:color="auto"/>
        <w:left w:val="none" w:sz="0" w:space="0" w:color="auto"/>
        <w:bottom w:val="none" w:sz="0" w:space="0" w:color="auto"/>
        <w:right w:val="none" w:sz="0" w:space="0" w:color="auto"/>
      </w:divBdr>
    </w:div>
    <w:div w:id="1858537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urelien.lepine-kouas@caissedesdepo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aissedesdepots.f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la-protection-des-donnees-dans-le-monde" TargetMode="External"/><Relationship Id="rId7" Type="http://schemas.openxmlformats.org/officeDocument/2006/relationships/hyperlink" Target="https://www.dataprivacyframework.gov/list" TargetMode="External"/><Relationship Id="rId2" Type="http://schemas.openxmlformats.org/officeDocument/2006/relationships/hyperlink" Target="https://eur-lex.europa.eu/eli/dec_impl/2021/914/oj?uri=CELEX:32021D0914&amp;locale=fr"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commission.europa.eu/law/law-topic/data-protection/international-dimension-data-protection/eu-us-data-transfers_en" TargetMode="External"/><Relationship Id="rId5" Type="http://schemas.openxmlformats.org/officeDocument/2006/relationships/hyperlink" Target="https://edpb.europa.eu/our-work-tools/documents/public-consultations/2020/recommendations-012020-measures-supplement_fr" TargetMode="External"/><Relationship Id="rId4" Type="http://schemas.openxmlformats.org/officeDocument/2006/relationships/hyperlink" Target="https://edpb.europa.eu/our-work-tools/our-documents/recommendations/recommendations-022020-european-essential-guarantees_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7631</Words>
  <Characters>41973</Characters>
  <Application>Microsoft Office Word</Application>
  <DocSecurity>0</DocSecurity>
  <Lines>349</Lines>
  <Paragraphs>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Haouas, Camillia</cp:lastModifiedBy>
  <cp:revision>4</cp:revision>
  <cp:lastPrinted>2024-04-25T17:33:00Z</cp:lastPrinted>
  <dcterms:created xsi:type="dcterms:W3CDTF">2025-04-04T12:14:00Z</dcterms:created>
  <dcterms:modified xsi:type="dcterms:W3CDTF">2025-04-04T12:25:00Z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