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0C4D8029" w14:textId="77777777" w:rsidR="00B779FA" w:rsidRPr="001342D1" w:rsidRDefault="00B779FA" w:rsidP="00B779FA">
      <w:pPr>
        <w:autoSpaceDE w:val="0"/>
        <w:autoSpaceDN w:val="0"/>
        <w:adjustRightInd w:val="0"/>
        <w:spacing w:before="170" w:after="0" w:line="288" w:lineRule="auto"/>
        <w:jc w:val="both"/>
        <w:textAlignment w:val="center"/>
        <w:rPr>
          <w:rFonts w:ascii="Calibri" w:eastAsiaTheme="minorEastAsia" w:hAnsi="Calibri" w:cs="Calibri"/>
          <w:b/>
          <w:bCs/>
          <w:color w:val="000000"/>
          <w:sz w:val="24"/>
          <w:szCs w:val="24"/>
          <w:lang w:eastAsia="fr-FR"/>
        </w:rPr>
      </w:pPr>
      <w:bookmarkStart w:id="0" w:name="_Hlk164861528"/>
      <w:r w:rsidRPr="006B1309">
        <w:rPr>
          <w:rFonts w:ascii="Calibri" w:eastAsiaTheme="minorEastAsia" w:hAnsi="Calibri" w:cs="Calibri"/>
          <w:b/>
          <w:bCs/>
          <w:color w:val="000000" w:themeColor="text1"/>
          <w:sz w:val="48"/>
          <w:szCs w:val="48"/>
          <w:lang w:eastAsia="fr-FR"/>
        </w:rPr>
        <w:t xml:space="preserve">Travaux relatifs à la levée de prescriptions sécurité pour </w:t>
      </w:r>
      <w:proofErr w:type="spellStart"/>
      <w:r w:rsidRPr="006B1309">
        <w:rPr>
          <w:rFonts w:ascii="Calibri" w:eastAsiaTheme="minorEastAsia" w:hAnsi="Calibri" w:cs="Calibri"/>
          <w:b/>
          <w:bCs/>
          <w:color w:val="000000" w:themeColor="text1"/>
          <w:sz w:val="48"/>
          <w:szCs w:val="48"/>
          <w:lang w:eastAsia="fr-FR"/>
        </w:rPr>
        <w:t>Laho</w:t>
      </w:r>
      <w:proofErr w:type="spellEnd"/>
      <w:r w:rsidRPr="006B1309">
        <w:rPr>
          <w:rFonts w:ascii="Calibri" w:eastAsiaTheme="minorEastAsia" w:hAnsi="Calibri" w:cs="Calibri"/>
          <w:b/>
          <w:bCs/>
          <w:color w:val="000000" w:themeColor="text1"/>
          <w:sz w:val="48"/>
          <w:szCs w:val="48"/>
          <w:lang w:eastAsia="fr-FR"/>
        </w:rPr>
        <w:t xml:space="preserve"> Formation à Roubaix</w:t>
      </w:r>
    </w:p>
    <w:p w14:paraId="17A85FCF" w14:textId="77777777"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p>
    <w:p w14:paraId="51C2EB1E" w14:textId="49AF1040" w:rsidR="006F7539" w:rsidRDefault="006F7539" w:rsidP="006F7539">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Pr>
          <w:rFonts w:ascii="Calibri" w:eastAsiaTheme="minorEastAsia" w:hAnsi="Calibri" w:cs="Calibri"/>
          <w:i/>
          <w:iCs/>
          <w:sz w:val="28"/>
          <w:szCs w:val="28"/>
          <w:lang w:eastAsia="fr-FR"/>
        </w:rPr>
        <w:t xml:space="preserve">Réf. marché : </w:t>
      </w:r>
      <w:r w:rsidR="00B779FA" w:rsidRPr="006B1309">
        <w:rPr>
          <w:rFonts w:ascii="Calibri" w:eastAsiaTheme="minorEastAsia" w:hAnsi="Calibri" w:cs="Calibri"/>
          <w:i/>
          <w:iCs/>
          <w:sz w:val="28"/>
          <w:szCs w:val="28"/>
          <w:lang w:eastAsia="fr-FR"/>
        </w:rPr>
        <w:t>CCIR-GL-2024-60</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237E2BCC"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 critère « Valeur technique de l’offre », tel que défini à l’article 7.2.1 du règlement de la consultation :</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4919DDE0" w14:textId="46F87741" w:rsidR="00B779FA" w:rsidRDefault="00B779FA" w:rsidP="00B52867">
      <w:pPr>
        <w:pStyle w:val="EM2007-Normaljustifi"/>
        <w:numPr>
          <w:ilvl w:val="0"/>
          <w:numId w:val="1"/>
        </w:numPr>
        <w:rPr>
          <w:rFonts w:asciiTheme="minorHAnsi" w:hAnsiTheme="minorHAnsi"/>
          <w:color w:val="000000" w:themeColor="text1" w:themeShade="80"/>
          <w:u w:val="single"/>
          <w:lang w:eastAsia="en-US"/>
        </w:rPr>
      </w:pPr>
      <w:r w:rsidRPr="00B779FA">
        <w:rPr>
          <w:rFonts w:asciiTheme="minorHAnsi" w:hAnsiTheme="minorHAnsi"/>
          <w:color w:val="000000" w:themeColor="text1" w:themeShade="80"/>
          <w:u w:val="single"/>
          <w:lang w:eastAsia="en-US"/>
        </w:rPr>
        <w:t xml:space="preserve">Description </w:t>
      </w:r>
      <w:r w:rsidRPr="00B779FA">
        <w:rPr>
          <w:rFonts w:asciiTheme="minorHAnsi" w:hAnsiTheme="minorHAnsi"/>
          <w:color w:val="000000" w:themeColor="text1" w:themeShade="80"/>
          <w:u w:val="single"/>
          <w:lang w:eastAsia="en-US"/>
        </w:rPr>
        <w:t>des moyens humains dédiés aux à l’exécution des travaux (autant en préparation, études, qu’en exécution) s’agissant de l’ensemble des intervenants, y compris du chef de chantier (interlocuteur dédié), au regard de la pertinence de la composition et de l’organisation des moyens humains, ainsi que des compétences, expériences et des qualifications du personnel dédié en études et en exécution</w:t>
      </w:r>
      <w:r>
        <w:rPr>
          <w:rFonts w:asciiTheme="minorHAnsi" w:hAnsiTheme="minorHAnsi"/>
          <w:color w:val="000000" w:themeColor="text1" w:themeShade="80"/>
          <w:u w:val="single"/>
          <w:lang w:eastAsia="en-US"/>
        </w:rPr>
        <w:t> :</w:t>
      </w:r>
    </w:p>
    <w:p w14:paraId="4503DF1D" w14:textId="409347F5" w:rsidR="00B779FA" w:rsidRDefault="00B779FA" w:rsidP="00B779FA">
      <w:pPr>
        <w:pStyle w:val="EM2007-Normaljustifi"/>
        <w:rPr>
          <w:rFonts w:asciiTheme="minorHAnsi" w:hAnsiTheme="minorHAnsi"/>
          <w:color w:val="000000" w:themeColor="text1" w:themeShade="80"/>
          <w:u w:val="single"/>
          <w:lang w:eastAsia="en-US"/>
        </w:rPr>
      </w:pPr>
    </w:p>
    <w:p w14:paraId="6D3C5579" w14:textId="77777777" w:rsidR="00B779FA" w:rsidRPr="00B779FA" w:rsidRDefault="00B779FA" w:rsidP="00B779FA">
      <w:pPr>
        <w:pStyle w:val="EM2007-Normaljustifi"/>
        <w:rPr>
          <w:rFonts w:asciiTheme="minorHAnsi" w:hAnsiTheme="minorHAnsi"/>
          <w:color w:val="000000" w:themeColor="text1" w:themeShade="80"/>
          <w:u w:val="single"/>
          <w:lang w:eastAsia="en-US"/>
        </w:rPr>
      </w:pPr>
    </w:p>
    <w:p w14:paraId="06EC8168" w14:textId="3EA7EA22" w:rsidR="00B779FA" w:rsidRDefault="00B779FA" w:rsidP="00B52867">
      <w:pPr>
        <w:pStyle w:val="EM2007-Normaljustifi"/>
        <w:numPr>
          <w:ilvl w:val="0"/>
          <w:numId w:val="1"/>
        </w:numPr>
        <w:rPr>
          <w:rFonts w:asciiTheme="minorHAnsi" w:hAnsiTheme="minorHAnsi"/>
          <w:color w:val="000000" w:themeColor="text1" w:themeShade="80"/>
          <w:lang w:eastAsia="en-US"/>
        </w:rPr>
      </w:pPr>
      <w:r>
        <w:rPr>
          <w:rFonts w:asciiTheme="minorHAnsi" w:hAnsiTheme="minorHAnsi"/>
          <w:color w:val="000000" w:themeColor="text1" w:themeShade="80"/>
          <w:u w:val="single"/>
          <w:lang w:eastAsia="en-US"/>
        </w:rPr>
        <w:t xml:space="preserve">Description des </w:t>
      </w:r>
      <w:r w:rsidRPr="00B779FA">
        <w:rPr>
          <w:rFonts w:asciiTheme="minorHAnsi" w:hAnsiTheme="minorHAnsi"/>
          <w:color w:val="000000" w:themeColor="text1" w:themeShade="80"/>
          <w:u w:val="single"/>
          <w:lang w:eastAsia="en-US"/>
        </w:rPr>
        <w:t>fournitures et matériaux proposés</w:t>
      </w:r>
      <w:r>
        <w:rPr>
          <w:rFonts w:asciiTheme="minorHAnsi" w:hAnsiTheme="minorHAnsi"/>
          <w:color w:val="000000" w:themeColor="text1" w:themeShade="80"/>
          <w:u w:val="single"/>
          <w:lang w:eastAsia="en-US"/>
        </w:rPr>
        <w:t xml:space="preserve">, </w:t>
      </w:r>
      <w:r w:rsidRPr="00B779FA">
        <w:rPr>
          <w:rFonts w:asciiTheme="minorHAnsi" w:hAnsiTheme="minorHAnsi"/>
          <w:color w:val="000000" w:themeColor="text1" w:themeShade="80"/>
          <w:lang w:eastAsia="en-US"/>
        </w:rPr>
        <w:t>au moyen de fiches techniques (ou équivalent) :</w:t>
      </w:r>
    </w:p>
    <w:p w14:paraId="4ACDF8D6" w14:textId="5AD00574" w:rsidR="00B779FA" w:rsidRDefault="00B779FA" w:rsidP="00B779FA">
      <w:pPr>
        <w:pStyle w:val="EM2007-Normaljustifi"/>
        <w:rPr>
          <w:rFonts w:asciiTheme="minorHAnsi" w:hAnsiTheme="minorHAnsi"/>
          <w:color w:val="000000" w:themeColor="text1" w:themeShade="80"/>
          <w:lang w:eastAsia="en-US"/>
        </w:rPr>
      </w:pPr>
    </w:p>
    <w:p w14:paraId="796E1990" w14:textId="77777777" w:rsidR="00B779FA" w:rsidRPr="00B779FA" w:rsidRDefault="00B779FA" w:rsidP="00B779FA">
      <w:pPr>
        <w:pStyle w:val="EM2007-Normaljustifi"/>
        <w:rPr>
          <w:rFonts w:asciiTheme="minorHAnsi" w:hAnsiTheme="minorHAnsi"/>
          <w:color w:val="000000" w:themeColor="text1" w:themeShade="80"/>
          <w:lang w:eastAsia="en-US"/>
        </w:rPr>
      </w:pPr>
    </w:p>
    <w:p w14:paraId="5D77E32A" w14:textId="5072F64F" w:rsidR="00B779FA" w:rsidRPr="00B779FA" w:rsidRDefault="00B779FA" w:rsidP="00B779FA">
      <w:pPr>
        <w:pStyle w:val="EM2007-Normaljustifi"/>
        <w:numPr>
          <w:ilvl w:val="0"/>
          <w:numId w:val="1"/>
        </w:numPr>
        <w:rPr>
          <w:rFonts w:asciiTheme="minorHAnsi" w:hAnsiTheme="minorHAnsi"/>
          <w:color w:val="000000" w:themeColor="text1" w:themeShade="80"/>
          <w:u w:val="single"/>
          <w:lang w:eastAsia="en-US"/>
        </w:rPr>
      </w:pPr>
      <w:r w:rsidRPr="00B779FA">
        <w:rPr>
          <w:rFonts w:asciiTheme="minorHAnsi" w:hAnsiTheme="minorHAnsi"/>
          <w:color w:val="000000" w:themeColor="text1" w:themeShade="80"/>
          <w:u w:val="single"/>
          <w:lang w:eastAsia="en-US"/>
        </w:rPr>
        <w:t xml:space="preserve">Description de </w:t>
      </w:r>
      <w:r w:rsidRPr="00B779FA">
        <w:rPr>
          <w:rFonts w:asciiTheme="minorHAnsi" w:hAnsiTheme="minorHAnsi"/>
          <w:color w:val="000000" w:themeColor="text1" w:themeShade="80"/>
          <w:u w:val="single"/>
          <w:lang w:eastAsia="en-US"/>
        </w:rPr>
        <w:t>la méthodologie d’exécution des prestations et du mode opératoire mis en place y compris les moyens de protection mis en œuvre, des procédures pour les autocontrôles, des essais, de la levée des réserves et du traitement de la garantie de parfait achèvement</w:t>
      </w:r>
      <w:r w:rsidRPr="00B779FA">
        <w:rPr>
          <w:rFonts w:asciiTheme="minorHAnsi" w:hAnsiTheme="minorHAnsi"/>
          <w:color w:val="000000" w:themeColor="text1" w:themeShade="80"/>
          <w:u w:val="single"/>
          <w:lang w:eastAsia="en-US"/>
        </w:rPr>
        <w:t> :</w:t>
      </w:r>
    </w:p>
    <w:p w14:paraId="65600E63" w14:textId="3114D611" w:rsidR="00B779FA" w:rsidRPr="00B779FA" w:rsidRDefault="00B779FA" w:rsidP="00B779FA">
      <w:pPr>
        <w:pStyle w:val="EM2007-Normaljustifi"/>
        <w:rPr>
          <w:rFonts w:asciiTheme="minorHAnsi" w:hAnsiTheme="minorHAnsi"/>
          <w:color w:val="000000" w:themeColor="text1" w:themeShade="80"/>
          <w:u w:val="single"/>
          <w:lang w:eastAsia="en-US"/>
        </w:rPr>
      </w:pPr>
    </w:p>
    <w:p w14:paraId="07650573" w14:textId="77777777" w:rsidR="00B779FA" w:rsidRPr="00B779FA" w:rsidRDefault="00B779FA" w:rsidP="00B779FA">
      <w:pPr>
        <w:pStyle w:val="EM2007-Normaljustifi"/>
        <w:rPr>
          <w:rFonts w:asciiTheme="minorHAnsi" w:hAnsiTheme="minorHAnsi"/>
          <w:color w:val="000000" w:themeColor="text1" w:themeShade="80"/>
          <w:u w:val="single"/>
          <w:lang w:eastAsia="en-US"/>
        </w:rPr>
      </w:pPr>
    </w:p>
    <w:p w14:paraId="490DA7D4" w14:textId="498EB3E4" w:rsidR="00B779FA" w:rsidRDefault="00B779FA" w:rsidP="00B779FA">
      <w:pPr>
        <w:pStyle w:val="EM2007-Normaljustifi"/>
        <w:numPr>
          <w:ilvl w:val="0"/>
          <w:numId w:val="1"/>
        </w:numPr>
        <w:rPr>
          <w:rFonts w:asciiTheme="minorHAnsi" w:hAnsiTheme="minorHAnsi"/>
          <w:color w:val="000000" w:themeColor="text1" w:themeShade="80"/>
          <w:lang w:eastAsia="en-US"/>
        </w:rPr>
      </w:pPr>
      <w:r w:rsidRPr="00B779FA">
        <w:rPr>
          <w:rFonts w:asciiTheme="minorHAnsi" w:hAnsiTheme="minorHAnsi"/>
          <w:color w:val="000000" w:themeColor="text1" w:themeShade="80"/>
          <w:u w:val="single"/>
          <w:lang w:eastAsia="en-US"/>
        </w:rPr>
        <w:t xml:space="preserve">Description des </w:t>
      </w:r>
      <w:r w:rsidRPr="00B779FA">
        <w:rPr>
          <w:rFonts w:asciiTheme="minorHAnsi" w:hAnsiTheme="minorHAnsi"/>
          <w:color w:val="000000" w:themeColor="text1" w:themeShade="80"/>
          <w:u w:val="single"/>
          <w:lang w:eastAsia="en-US"/>
        </w:rPr>
        <w:t>mesures de prévention, identification des risques encourus et solutions proposées pour l’opération de travaux en site occupé s’agissant de la réduction des nuisances et l’adaptation proposée (souplesse) pour les périodes d’intervention</w:t>
      </w:r>
      <w:r w:rsidRPr="00B779FA">
        <w:rPr>
          <w:rFonts w:asciiTheme="minorHAnsi" w:hAnsiTheme="minorHAnsi"/>
          <w:color w:val="000000" w:themeColor="text1" w:themeShade="80"/>
          <w:u w:val="single"/>
          <w:lang w:eastAsia="en-US"/>
        </w:rPr>
        <w:t> </w:t>
      </w:r>
      <w:r>
        <w:rPr>
          <w:rFonts w:asciiTheme="minorHAnsi" w:hAnsiTheme="minorHAnsi"/>
          <w:color w:val="000000" w:themeColor="text1" w:themeShade="80"/>
          <w:lang w:eastAsia="en-US"/>
        </w:rPr>
        <w:t>:</w:t>
      </w:r>
    </w:p>
    <w:p w14:paraId="029804A1" w14:textId="1CF63CF4" w:rsidR="00B779FA" w:rsidRDefault="00B779FA" w:rsidP="00B779FA">
      <w:pPr>
        <w:pStyle w:val="EM2007-Normaljustifi"/>
        <w:rPr>
          <w:rFonts w:asciiTheme="minorHAnsi" w:hAnsiTheme="minorHAnsi"/>
          <w:color w:val="000000" w:themeColor="text1" w:themeShade="80"/>
          <w:lang w:eastAsia="en-US"/>
        </w:rPr>
      </w:pPr>
    </w:p>
    <w:p w14:paraId="2D8D136B" w14:textId="77777777" w:rsidR="00B779FA" w:rsidRDefault="00B779FA" w:rsidP="00B779FA">
      <w:pPr>
        <w:pStyle w:val="EM2007-Normaljustifi"/>
        <w:rPr>
          <w:rFonts w:asciiTheme="minorHAnsi" w:hAnsiTheme="minorHAnsi"/>
          <w:color w:val="000000" w:themeColor="text1" w:themeShade="80"/>
          <w:lang w:eastAsia="en-US"/>
        </w:rPr>
      </w:pPr>
    </w:p>
    <w:p w14:paraId="38FC737C" w14:textId="526B05EA" w:rsidR="00B779FA" w:rsidRPr="00B779FA" w:rsidRDefault="00B779FA" w:rsidP="00B779FA">
      <w:pPr>
        <w:pStyle w:val="EM2007-Normaljustifi"/>
        <w:numPr>
          <w:ilvl w:val="0"/>
          <w:numId w:val="1"/>
        </w:numPr>
        <w:rPr>
          <w:rFonts w:asciiTheme="minorHAnsi" w:hAnsiTheme="minorHAnsi"/>
          <w:color w:val="000000" w:themeColor="text1" w:themeShade="80"/>
          <w:lang w:eastAsia="en-US"/>
        </w:rPr>
      </w:pPr>
      <w:r w:rsidRPr="00B779FA">
        <w:rPr>
          <w:rFonts w:asciiTheme="minorHAnsi" w:hAnsiTheme="minorHAnsi"/>
          <w:color w:val="000000" w:themeColor="text1" w:themeShade="80"/>
          <w:u w:val="single"/>
          <w:lang w:eastAsia="en-US"/>
        </w:rPr>
        <w:t>P</w:t>
      </w:r>
      <w:r w:rsidRPr="00B779FA">
        <w:rPr>
          <w:rFonts w:asciiTheme="minorHAnsi" w:hAnsiTheme="minorHAnsi"/>
          <w:color w:val="000000" w:themeColor="text1" w:themeShade="80"/>
          <w:u w:val="single"/>
          <w:lang w:eastAsia="en-US"/>
        </w:rPr>
        <w:t>lanning prévisionnel d’exécution détaillé établit dans le respect des délais fixés à l’article 5 du CCAP</w:t>
      </w:r>
      <w:r w:rsidRPr="00B779FA">
        <w:rPr>
          <w:rFonts w:asciiTheme="minorHAnsi" w:hAnsiTheme="minorHAnsi"/>
          <w:color w:val="000000" w:themeColor="text1" w:themeShade="80"/>
          <w:lang w:eastAsia="en-US"/>
        </w:rPr>
        <w:t>. Ce planning devra faire apparaître le phasage, ainsi que les moyens humains et techniques à chaque phase</w:t>
      </w:r>
      <w:r>
        <w:rPr>
          <w:rFonts w:asciiTheme="minorHAnsi" w:hAnsiTheme="minorHAnsi"/>
          <w:color w:val="000000" w:themeColor="text1" w:themeShade="80"/>
          <w:lang w:eastAsia="en-US"/>
        </w:rPr>
        <w:t> :</w:t>
      </w: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5E4ED6"/>
    <w:rsid w:val="006769E7"/>
    <w:rsid w:val="006F7539"/>
    <w:rsid w:val="00851D74"/>
    <w:rsid w:val="00A678F3"/>
    <w:rsid w:val="00B24E37"/>
    <w:rsid w:val="00B52867"/>
    <w:rsid w:val="00B779FA"/>
    <w:rsid w:val="00D65A5F"/>
    <w:rsid w:val="00E77962"/>
    <w:rsid w:val="00FD7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customStyle="1" w:styleId="EM2007-Normaljustifi">
    <w:name w:val="EM2007 - Normal justifié"/>
    <w:basedOn w:val="Normal"/>
    <w:autoRedefine/>
    <w:qFormat/>
    <w:rsid w:val="00B52867"/>
    <w:pPr>
      <w:widowControl w:val="0"/>
      <w:suppressAutoHyphens/>
      <w:spacing w:after="120" w:line="240" w:lineRule="auto"/>
      <w:jc w:val="both"/>
    </w:pPr>
    <w:rPr>
      <w:rFonts w:ascii="Arial" w:hAnsi="Arial" w:cs="Arial"/>
      <w:color w:val="004379"/>
      <w:kern w:val="0"/>
      <w:sz w:val="20"/>
      <w:szCs w:val="2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2</Pages>
  <Words>271</Words>
  <Characters>1492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9</cp:revision>
  <dcterms:created xsi:type="dcterms:W3CDTF">2024-04-25T14:15:00Z</dcterms:created>
  <dcterms:modified xsi:type="dcterms:W3CDTF">2024-09-05T10:18:00Z</dcterms:modified>
</cp:coreProperties>
</file>