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0547A37">
        <w:trPr>
          <w:trHeight w:val="1132"/>
        </w:trPr>
        <w:tc>
          <w:tcPr>
            <w:tcW w:w="10434" w:type="dxa"/>
            <w:shd w:val="clear" w:color="auto" w:fill="auto"/>
          </w:tcPr>
          <w:p w14:paraId="6A34C9AC" w14:textId="7918AA4C" w:rsidR="00CE7CB8" w:rsidRDefault="000F348D" w:rsidP="00547A3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93E0107" w:rsidR="009B1CD0" w:rsidRDefault="009B1CD0" w:rsidP="00036EF7">
      <w:pPr>
        <w:pStyle w:val="fcase1ertab"/>
        <w:tabs>
          <w:tab w:val="clear" w:pos="426"/>
          <w:tab w:val="left" w:pos="0"/>
          <w:tab w:val="left" w:pos="851"/>
        </w:tabs>
        <w:ind w:left="0" w:firstLine="0"/>
        <w:rPr>
          <w:rFonts w:ascii="Arial" w:hAnsi="Arial" w:cs="Arial"/>
        </w:rPr>
      </w:pPr>
    </w:p>
    <w:p w14:paraId="670A7CCD" w14:textId="569502B5" w:rsidR="00036EF7" w:rsidRPr="00036EF7" w:rsidRDefault="00036EF7" w:rsidP="00036EF7">
      <w:pPr>
        <w:spacing w:before="120" w:after="120"/>
        <w:rPr>
          <w:rFonts w:ascii="Arial" w:hAnsi="Arial" w:cs="Arial"/>
          <w:b/>
          <w:caps/>
        </w:rPr>
      </w:pPr>
      <w:bookmarkStart w:id="0" w:name="_Hlk192685291"/>
      <w:r w:rsidRPr="00036EF7">
        <w:rPr>
          <w:rFonts w:ascii="Arial" w:hAnsi="Arial" w:cs="Arial"/>
          <w:b/>
        </w:rPr>
        <w:t xml:space="preserve">La Gestion et paiement des </w:t>
      </w:r>
      <w:r w:rsidR="00955F0A" w:rsidRPr="00036EF7">
        <w:rPr>
          <w:rFonts w:ascii="Arial" w:hAnsi="Arial" w:cs="Arial"/>
          <w:b/>
        </w:rPr>
        <w:t>annuités</w:t>
      </w:r>
      <w:r w:rsidRPr="00036EF7">
        <w:rPr>
          <w:rFonts w:ascii="Arial" w:hAnsi="Arial" w:cs="Arial"/>
          <w:b/>
        </w:rPr>
        <w:t xml:space="preserve"> de brevets et autres taxes de maintien en vigueur</w:t>
      </w:r>
      <w:r>
        <w:rPr>
          <w:rFonts w:ascii="Arial" w:hAnsi="Arial" w:cs="Arial"/>
          <w:b/>
        </w:rPr>
        <w:t>.</w:t>
      </w:r>
    </w:p>
    <w:bookmarkEnd w:id="0"/>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6C7F5003" w:rsidR="00A9775B" w:rsidRPr="00036EF7" w:rsidRDefault="00A9775B" w:rsidP="00A9775B">
      <w:pPr>
        <w:tabs>
          <w:tab w:val="left" w:pos="426"/>
        </w:tabs>
        <w:suppressAutoHyphens w:val="0"/>
        <w:spacing w:before="60"/>
        <w:jc w:val="both"/>
        <w:rPr>
          <w:rFonts w:ascii="Arial" w:hAnsi="Arial" w:cs="Arial"/>
          <w:lang w:eastAsia="fr-FR" w:bidi="ml"/>
        </w:rPr>
      </w:pPr>
      <w:r w:rsidRPr="00036EF7">
        <w:rPr>
          <w:rFonts w:ascii="Arial" w:hAnsi="Arial" w:cs="Arial"/>
          <w:lang w:eastAsia="fr-FR" w:bidi="ml"/>
        </w:rPr>
        <w:t xml:space="preserve">Le </w:t>
      </w:r>
      <w:r w:rsidR="00036EF7" w:rsidRPr="00036EF7">
        <w:rPr>
          <w:rFonts w:ascii="Arial" w:hAnsi="Arial" w:cs="Arial"/>
          <w:lang w:eastAsia="fr-FR" w:bidi="ml"/>
        </w:rPr>
        <w:t>code CPV</w:t>
      </w:r>
      <w:r w:rsidRPr="00036EF7">
        <w:rPr>
          <w:rFonts w:ascii="Arial" w:hAnsi="Arial" w:cs="Arial"/>
          <w:lang w:eastAsia="fr-FR" w:bidi="ml"/>
        </w:rPr>
        <w:t xml:space="preserve"> des services du marché </w:t>
      </w:r>
      <w:r w:rsidR="00661A97" w:rsidRPr="00036EF7">
        <w:rPr>
          <w:rFonts w:ascii="Arial" w:hAnsi="Arial" w:cs="Arial"/>
          <w:lang w:eastAsia="fr-FR" w:bidi="ml"/>
        </w:rPr>
        <w:t xml:space="preserve">public est </w:t>
      </w:r>
      <w:r w:rsidRPr="00036EF7">
        <w:rPr>
          <w:rFonts w:ascii="Arial" w:hAnsi="Arial" w:cs="Arial"/>
          <w:lang w:eastAsia="fr-FR" w:bidi="ml"/>
        </w:rPr>
        <w:t>le</w:t>
      </w:r>
      <w:r w:rsidR="00036EF7" w:rsidRPr="00036EF7">
        <w:rPr>
          <w:rFonts w:ascii="Arial" w:hAnsi="Arial" w:cs="Arial"/>
          <w:lang w:eastAsia="fr-FR" w:bidi="ml"/>
        </w:rPr>
        <w:t xml:space="preserve"> </w:t>
      </w:r>
      <w:r w:rsidRPr="00036EF7">
        <w:rPr>
          <w:rFonts w:ascii="Arial" w:hAnsi="Arial" w:cs="Arial"/>
          <w:lang w:eastAsia="fr-FR" w:bidi="ml"/>
        </w:rPr>
        <w:t>suivant :</w:t>
      </w:r>
    </w:p>
    <w:p w14:paraId="6A34C9C1" w14:textId="77777777" w:rsidR="00A9775B" w:rsidRPr="00036EF7" w:rsidRDefault="00A9775B" w:rsidP="00A9775B">
      <w:pPr>
        <w:tabs>
          <w:tab w:val="left" w:pos="426"/>
          <w:tab w:val="left" w:pos="851"/>
        </w:tabs>
        <w:suppressAutoHyphens w:val="0"/>
        <w:jc w:val="both"/>
        <w:rPr>
          <w:rFonts w:ascii="Arial" w:hAnsi="Arial" w:cs="Arial"/>
          <w:lang w:eastAsia="fr-FR" w:bidi="ml"/>
        </w:rPr>
      </w:pPr>
    </w:p>
    <w:tbl>
      <w:tblPr>
        <w:tblW w:w="5000" w:type="pct"/>
        <w:shd w:val="clear" w:color="auto" w:fill="FFFFFF"/>
        <w:tblCellMar>
          <w:left w:w="0" w:type="dxa"/>
          <w:right w:w="0" w:type="dxa"/>
        </w:tblCellMar>
        <w:tblLook w:val="04A0" w:firstRow="1" w:lastRow="0" w:firstColumn="1" w:lastColumn="0" w:noHBand="0" w:noVBand="1"/>
      </w:tblPr>
      <w:tblGrid>
        <w:gridCol w:w="1889"/>
        <w:gridCol w:w="8299"/>
      </w:tblGrid>
      <w:tr w:rsidR="00F553D9" w:rsidRPr="00F553D9" w14:paraId="71E27B53" w14:textId="77777777" w:rsidTr="00D677C5">
        <w:tc>
          <w:tcPr>
            <w:tcW w:w="927" w:type="pct"/>
            <w:tcBorders>
              <w:top w:val="single" w:sz="6" w:space="0" w:color="777777"/>
              <w:left w:val="single" w:sz="6" w:space="0" w:color="777777"/>
              <w:bottom w:val="single" w:sz="6" w:space="0" w:color="777777"/>
              <w:right w:val="single" w:sz="6" w:space="0" w:color="777777"/>
            </w:tcBorders>
            <w:shd w:val="clear" w:color="auto" w:fill="FFFFFF"/>
            <w:tcMar>
              <w:top w:w="60" w:type="dxa"/>
              <w:left w:w="60" w:type="dxa"/>
              <w:bottom w:w="60" w:type="dxa"/>
              <w:right w:w="60" w:type="dxa"/>
            </w:tcMar>
            <w:hideMark/>
          </w:tcPr>
          <w:p w14:paraId="4C69E9B5" w14:textId="38974A2A" w:rsidR="00F553D9" w:rsidRPr="00F553D9" w:rsidRDefault="00F553D9" w:rsidP="00D677C5">
            <w:pPr>
              <w:suppressAutoHyphens w:val="0"/>
              <w:spacing w:after="90"/>
              <w:textAlignment w:val="baseline"/>
              <w:rPr>
                <w:rFonts w:ascii="Arial" w:hAnsi="Arial" w:cs="Arial"/>
                <w:color w:val="222222"/>
                <w:lang w:eastAsia="fr-FR"/>
              </w:rPr>
            </w:pPr>
            <w:r w:rsidRPr="00F553D9">
              <w:rPr>
                <w:rFonts w:ascii="Arial" w:hAnsi="Arial" w:cs="Arial"/>
                <w:color w:val="222222"/>
                <w:lang w:eastAsia="fr-FR"/>
              </w:rPr>
              <w:t>73</w:t>
            </w:r>
            <w:r w:rsidR="00295B9D">
              <w:rPr>
                <w:rFonts w:ascii="Arial" w:hAnsi="Arial" w:cs="Arial"/>
                <w:color w:val="222222"/>
                <w:lang w:eastAsia="fr-FR"/>
              </w:rPr>
              <w:t>0</w:t>
            </w:r>
            <w:r w:rsidRPr="00F553D9">
              <w:rPr>
                <w:rFonts w:ascii="Arial" w:hAnsi="Arial" w:cs="Arial"/>
                <w:color w:val="222222"/>
                <w:lang w:eastAsia="fr-FR"/>
              </w:rPr>
              <w:t>00000-2(4)</w:t>
            </w:r>
          </w:p>
        </w:tc>
        <w:tc>
          <w:tcPr>
            <w:tcW w:w="4073" w:type="pct"/>
            <w:tcBorders>
              <w:top w:val="single" w:sz="6" w:space="0" w:color="777777"/>
              <w:left w:val="single" w:sz="6" w:space="0" w:color="777777"/>
              <w:bottom w:val="single" w:sz="6" w:space="0" w:color="777777"/>
              <w:right w:val="single" w:sz="6" w:space="0" w:color="777777"/>
            </w:tcBorders>
            <w:shd w:val="clear" w:color="auto" w:fill="FFFFFF"/>
            <w:tcMar>
              <w:top w:w="60" w:type="dxa"/>
              <w:left w:w="60" w:type="dxa"/>
              <w:bottom w:w="60" w:type="dxa"/>
              <w:right w:w="60" w:type="dxa"/>
            </w:tcMar>
            <w:hideMark/>
          </w:tcPr>
          <w:p w14:paraId="1637B333" w14:textId="77777777" w:rsidR="00F553D9" w:rsidRPr="00F553D9" w:rsidRDefault="00F553D9" w:rsidP="00D677C5">
            <w:pPr>
              <w:suppressAutoHyphens w:val="0"/>
              <w:spacing w:after="90"/>
              <w:textAlignment w:val="baseline"/>
              <w:rPr>
                <w:rFonts w:ascii="Arial" w:hAnsi="Arial" w:cs="Arial"/>
                <w:color w:val="222222"/>
                <w:lang w:eastAsia="fr-FR"/>
              </w:rPr>
            </w:pPr>
            <w:r w:rsidRPr="00F553D9">
              <w:rPr>
                <w:rFonts w:ascii="Arial" w:hAnsi="Arial" w:cs="Arial"/>
                <w:color w:val="222222"/>
                <w:lang w:eastAsia="fr-FR"/>
              </w:rPr>
              <w:t>Services de recherche et développement et services de conseil connexes.</w:t>
            </w:r>
          </w:p>
        </w:tc>
      </w:tr>
    </w:tbl>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4A9CF6CE" w14:textId="77777777" w:rsidR="00036EF7" w:rsidRPr="00AE6A23" w:rsidRDefault="00036EF7" w:rsidP="00036EF7">
      <w:pPr>
        <w:spacing w:after="60"/>
        <w:rPr>
          <w:rFonts w:ascii="Arial" w:hAnsi="Arial" w:cs="Arial"/>
          <w:iCs/>
        </w:rPr>
      </w:pPr>
      <w:r w:rsidRPr="00AE6A23">
        <w:rPr>
          <w:rFonts w:ascii="Arial" w:hAnsi="Arial" w:cs="Arial"/>
          <w:iCs/>
        </w:rPr>
        <w:t>Le marché public issu de la présente consultation constitue un accord-cadre exécuté par l’émission de bons de commande, conformément à l’article L.2125-1 1° ainsi qu’aux articles R.2162-1 à R.2162-6, R.2162-13 et R.2162-14 du code de la commande publique.</w:t>
      </w:r>
    </w:p>
    <w:p w14:paraId="6A34C9CB" w14:textId="77777777" w:rsidR="009B1CD0" w:rsidRDefault="009B1CD0" w:rsidP="00710FD6">
      <w:pPr>
        <w:tabs>
          <w:tab w:val="left" w:pos="426"/>
          <w:tab w:val="left" w:pos="851"/>
        </w:tabs>
        <w:jc w:val="both"/>
        <w:rPr>
          <w:rFonts w:ascii="Arial" w:hAnsi="Arial" w:cs="Arial"/>
        </w:rPr>
      </w:pPr>
    </w:p>
    <w:p w14:paraId="6A34C9CC" w14:textId="1B15080F" w:rsidR="009B1CD0" w:rsidRDefault="00036EF7"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A</w:t>
      </w:r>
      <w:r w:rsidR="005B6C8F">
        <w:rPr>
          <w:rFonts w:ascii="Arial" w:eastAsia="Arial" w:hAnsi="Arial" w:cs="Arial"/>
          <w:b/>
          <w:spacing w:val="-10"/>
        </w:rPr>
        <w:t>4</w:t>
      </w:r>
      <w:r w:rsidR="004D4DC6" w:rsidRPr="004D4DC6">
        <w:rPr>
          <w:rFonts w:ascii="Arial" w:eastAsia="Arial" w:hAnsi="Arial" w:cs="Arial"/>
          <w:b/>
          <w:spacing w:val="-10"/>
        </w:rPr>
        <w:t xml:space="preserve"> - </w:t>
      </w:r>
      <w:r w:rsidR="009B1CD0" w:rsidRPr="004D4DC6">
        <w:rPr>
          <w:rFonts w:ascii="Arial" w:hAnsi="Arial" w:cs="Arial"/>
          <w:b/>
        </w:rPr>
        <w:t>Cet acte d'engagement correspond</w:t>
      </w:r>
      <w:r w:rsidR="009B1CD0">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AFE849E" w:rsidR="009B1CD0" w:rsidRDefault="00036EF7"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F41BB">
        <w:fldChar w:fldCharType="separate"/>
      </w:r>
      <w:r>
        <w:fldChar w:fldCharType="end"/>
      </w:r>
      <w:r w:rsidR="009B1CD0">
        <w:tab/>
      </w:r>
      <w:r>
        <w:t>À</w:t>
      </w:r>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8" w14:textId="513271A5" w:rsidR="009B1CD0" w:rsidRDefault="005A4CB5" w:rsidP="006C4338">
      <w:pPr>
        <w:pStyle w:val="fcasegauche"/>
        <w:tabs>
          <w:tab w:val="left" w:pos="851"/>
        </w:tabs>
        <w:spacing w:after="0"/>
        <w:ind w:left="0" w:firstLine="0"/>
        <w:rPr>
          <w:rFonts w:ascii="Arial" w:hAnsi="Arial" w:cs="Arial"/>
        </w:rPr>
      </w:pPr>
      <w:r>
        <w:rPr>
          <w:rFonts w:ascii="Arial" w:hAnsi="Arial" w:cs="Arial"/>
        </w:rPr>
        <w:tab/>
      </w:r>
      <w:r>
        <w:rPr>
          <w:rFonts w:ascii="Arial" w:hAnsi="Arial" w:cs="Arial"/>
        </w:rPr>
        <w:tab/>
      </w:r>
    </w:p>
    <w:p w14:paraId="6A34C9D9" w14:textId="77777777" w:rsidR="009B1CD0" w:rsidRPr="00036EF7"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57C9D2B5" w:rsidR="009B1CD0" w:rsidRPr="00036EF7" w:rsidRDefault="00036EF7"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F41BB">
        <w:fldChar w:fldCharType="separate"/>
      </w:r>
      <w:r>
        <w:fldChar w:fldCharType="end"/>
      </w:r>
      <w:r w:rsidR="009B1CD0" w:rsidRPr="00036EF7">
        <w:rPr>
          <w:rFonts w:ascii="Arial" w:hAnsi="Arial" w:cs="Arial"/>
        </w:rPr>
        <w:tab/>
      </w:r>
      <w:r w:rsidRPr="00036EF7">
        <w:rPr>
          <w:rFonts w:ascii="Arial" w:hAnsi="Arial" w:cs="Arial"/>
        </w:rPr>
        <w:t>À</w:t>
      </w:r>
      <w:r w:rsidR="009B1CD0" w:rsidRPr="00036EF7">
        <w:rPr>
          <w:rFonts w:ascii="Arial" w:hAnsi="Arial" w:cs="Arial"/>
        </w:rPr>
        <w:t xml:space="preserve"> l’offre de base.</w:t>
      </w: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2F790AD6" w:rsidR="009B1CD0" w:rsidRPr="00036EF7" w:rsidRDefault="00036EF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F41BB">
        <w:fldChar w:fldCharType="separate"/>
      </w:r>
      <w:r>
        <w:fldChar w:fldCharType="end"/>
      </w:r>
      <w:r w:rsidR="00EC4A56" w:rsidRPr="00036EF7">
        <w:rPr>
          <w:rFonts w:ascii="Arial" w:hAnsi="Arial" w:cs="Arial"/>
        </w:rPr>
        <w:t xml:space="preserve"> CCAP</w:t>
      </w:r>
    </w:p>
    <w:p w14:paraId="6A34C9EA" w14:textId="7180E687" w:rsidR="009B1CD0" w:rsidRPr="00036EF7" w:rsidRDefault="00036EF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F41BB">
        <w:fldChar w:fldCharType="separate"/>
      </w:r>
      <w:r>
        <w:fldChar w:fldCharType="end"/>
      </w:r>
      <w:r w:rsidR="009B1CD0" w:rsidRPr="00036EF7">
        <w:rPr>
          <w:rFonts w:ascii="Arial" w:hAnsi="Arial" w:cs="Arial"/>
        </w:rPr>
        <w:t xml:space="preserve"> CCAG</w:t>
      </w:r>
      <w:r w:rsidRPr="00036EF7">
        <w:rPr>
          <w:rFonts w:ascii="Arial" w:hAnsi="Arial" w:cs="Arial"/>
        </w:rPr>
        <w:t xml:space="preserve"> FCS</w:t>
      </w:r>
      <w:r w:rsidR="00547A37" w:rsidRPr="00036EF7">
        <w:rPr>
          <w:rFonts w:ascii="Arial" w:hAnsi="Arial" w:cs="Arial"/>
        </w:rPr>
        <w:t> …</w:t>
      </w:r>
      <w:r w:rsidR="009B1CD0" w:rsidRPr="00036EF7">
        <w:rPr>
          <w:rFonts w:ascii="Arial" w:hAnsi="Arial" w:cs="Arial"/>
        </w:rPr>
        <w:t>………………………………………………………………………………………</w:t>
      </w:r>
    </w:p>
    <w:p w14:paraId="6A34C9EB" w14:textId="4C22F7F7" w:rsidR="009B1CD0" w:rsidRPr="00036EF7" w:rsidRDefault="00036EF7"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F41BB">
        <w:fldChar w:fldCharType="separate"/>
      </w:r>
      <w:r>
        <w:fldChar w:fldCharType="end"/>
      </w:r>
      <w:r w:rsidR="009B1CD0" w:rsidRPr="00036EF7">
        <w:rPr>
          <w:rFonts w:ascii="Arial" w:hAnsi="Arial" w:cs="Arial"/>
        </w:rPr>
        <w:t xml:space="preserve"> CCTP </w:t>
      </w:r>
    </w:p>
    <w:p w14:paraId="6A34C9EC" w14:textId="694C8B08" w:rsidR="009B1CD0" w:rsidRPr="00036EF7" w:rsidRDefault="007D7A65" w:rsidP="00710FD6">
      <w:pPr>
        <w:tabs>
          <w:tab w:val="left" w:pos="851"/>
        </w:tabs>
        <w:spacing w:before="120"/>
        <w:ind w:left="1135" w:hanging="284"/>
        <w:jc w:val="both"/>
        <w:rPr>
          <w:rFonts w:ascii="Arial" w:hAnsi="Arial" w:cs="Arial"/>
        </w:rPr>
      </w:pPr>
      <w:r w:rsidRPr="00036EF7">
        <w:fldChar w:fldCharType="begin">
          <w:ffData>
            <w:name w:val=""/>
            <w:enabled/>
            <w:calcOnExit w:val="0"/>
            <w:checkBox>
              <w:size w:val="20"/>
              <w:default w:val="0"/>
            </w:checkBox>
          </w:ffData>
        </w:fldChar>
      </w:r>
      <w:r w:rsidRPr="00036EF7">
        <w:instrText xml:space="preserve"> FORMCHECKBOX </w:instrText>
      </w:r>
      <w:r w:rsidR="004F41BB">
        <w:fldChar w:fldCharType="separate"/>
      </w:r>
      <w:r w:rsidRPr="00036EF7">
        <w:fldChar w:fldCharType="end"/>
      </w:r>
      <w:r w:rsidR="009B1CD0" w:rsidRPr="00036EF7">
        <w:rPr>
          <w:rFonts w:ascii="Arial" w:hAnsi="Arial" w:cs="Arial"/>
        </w:rPr>
        <w:t xml:space="preserve"> Autres</w:t>
      </w:r>
      <w:proofErr w:type="gramStart"/>
      <w:r w:rsidR="00547A37" w:rsidRPr="00036EF7">
        <w:rPr>
          <w:rFonts w:ascii="Arial" w:hAnsi="Arial" w:cs="Arial"/>
        </w:rPr>
        <w:t> :</w:t>
      </w:r>
      <w:r w:rsidR="009B1CD0" w:rsidRPr="00036EF7">
        <w:rPr>
          <w:rFonts w:ascii="Arial" w:hAnsi="Arial" w:cs="Arial"/>
        </w:rPr>
        <w:t>…</w:t>
      </w:r>
      <w:proofErr w:type="gramEnd"/>
      <w:r w:rsidR="009B1CD0" w:rsidRPr="00036EF7">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lastRenderedPageBreak/>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6B731CA8"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rsidR="009B1CD0">
        <w:rPr>
          <w:rFonts w:ascii="Arial" w:hAnsi="Arial" w:cs="Arial"/>
        </w:rPr>
        <w:t xml:space="preserve"> </w:t>
      </w:r>
      <w:r w:rsidR="00547A37">
        <w:rPr>
          <w:rFonts w:ascii="Arial" w:hAnsi="Arial" w:cs="Arial"/>
        </w:rPr>
        <w:t>S’engage</w:t>
      </w:r>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5EF72CD2"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F41BB">
        <w:fldChar w:fldCharType="separate"/>
      </w:r>
      <w:r w:rsidRPr="00B05C4B">
        <w:fldChar w:fldCharType="end"/>
      </w:r>
      <w:r w:rsidR="009B1CD0" w:rsidRPr="00B05C4B">
        <w:rPr>
          <w:rFonts w:ascii="Arial" w:hAnsi="Arial" w:cs="Arial"/>
        </w:rPr>
        <w:t xml:space="preserve"> </w:t>
      </w:r>
      <w:r w:rsidR="00547A37" w:rsidRPr="00B05C4B">
        <w:rPr>
          <w:rFonts w:ascii="Arial" w:hAnsi="Arial" w:cs="Arial"/>
        </w:rPr>
        <w:t>Engage</w:t>
      </w:r>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F41BB">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C" w14:textId="44F9126D" w:rsidR="00A9775B" w:rsidRPr="00036EF7" w:rsidRDefault="00A9775B" w:rsidP="00036EF7">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w:t>
      </w:r>
      <w:r w:rsidR="00B93225" w:rsidRPr="0080017A">
        <w:rPr>
          <w:rFonts w:ascii="Arial" w:hAnsi="Arial" w:cs="Arial"/>
          <w:lang w:eastAsia="fr-FR" w:bidi="ml"/>
        </w:rPr>
        <w:t>sur les</w:t>
      </w:r>
      <w:r w:rsidRPr="0080017A">
        <w:rPr>
          <w:rFonts w:ascii="Arial" w:hAnsi="Arial" w:cs="Arial"/>
          <w:lang w:eastAsia="fr-FR" w:bidi="ml"/>
        </w:rPr>
        <w:t xml:space="preserve"> prix indiqués </w:t>
      </w:r>
      <w:r w:rsidRPr="00036EF7">
        <w:rPr>
          <w:rFonts w:ascii="Arial" w:hAnsi="Arial" w:cs="Arial"/>
          <w:lang w:eastAsia="fr-FR" w:bidi="ml"/>
        </w:rPr>
        <w:t>dans l’annexe financière jointe au présent document</w:t>
      </w:r>
      <w:r w:rsidR="00036EF7" w:rsidRPr="00036EF7">
        <w:rPr>
          <w:rFonts w:ascii="Arial" w:hAnsi="Arial" w:cs="Arial"/>
          <w:lang w:eastAsia="fr-FR" w:bidi="ml"/>
        </w:rPr>
        <w:t>.</w:t>
      </w:r>
    </w:p>
    <w:p w14:paraId="6A34CA0D" w14:textId="77777777" w:rsidR="00A9775B" w:rsidRPr="00036EF7" w:rsidRDefault="00A9775B" w:rsidP="00A9775B">
      <w:pPr>
        <w:suppressAutoHyphens w:val="0"/>
        <w:jc w:val="both"/>
        <w:rPr>
          <w:rFonts w:ascii="Arial" w:hAnsi="Arial" w:cs="Arial"/>
          <w:lang w:eastAsia="fr-FR" w:bidi="ml"/>
        </w:rPr>
      </w:pPr>
    </w:p>
    <w:p w14:paraId="258F7801" w14:textId="77777777" w:rsidR="00B93225" w:rsidRPr="00B93225" w:rsidRDefault="00B93225" w:rsidP="00B93225">
      <w:pPr>
        <w:suppressAutoHyphens w:val="0"/>
        <w:jc w:val="both"/>
        <w:rPr>
          <w:rFonts w:ascii="Arial" w:hAnsi="Arial" w:cs="Arial"/>
          <w:lang w:eastAsia="fr-FR" w:bidi="ml"/>
        </w:rPr>
      </w:pPr>
      <w:r w:rsidRPr="00B93225">
        <w:rPr>
          <w:rFonts w:ascii="Arial" w:hAnsi="Arial" w:cs="Arial"/>
          <w:lang w:eastAsia="fr-FR" w:bidi="ml"/>
        </w:rPr>
        <w:t>Conformément à l’a</w:t>
      </w:r>
      <w:r w:rsidR="743179C9" w:rsidRPr="00B93225">
        <w:rPr>
          <w:rFonts w:ascii="Arial" w:hAnsi="Arial" w:cs="Arial"/>
          <w:lang w:eastAsia="fr-FR" w:bidi="ml"/>
        </w:rPr>
        <w:t xml:space="preserve">rticle R2162-4 .2° du CCP </w:t>
      </w:r>
      <w:r w:rsidRPr="00B93225">
        <w:rPr>
          <w:rFonts w:ascii="Arial" w:hAnsi="Arial" w:cs="Arial"/>
          <w:lang w:eastAsia="fr-FR" w:bidi="ml"/>
        </w:rPr>
        <w:t>L’accord-cadre est conclu comme suit :</w:t>
      </w:r>
    </w:p>
    <w:p w14:paraId="33CFA109" w14:textId="1A294ED7" w:rsidR="00B93225" w:rsidRPr="00B93225" w:rsidRDefault="00B93225" w:rsidP="00B93225">
      <w:pPr>
        <w:suppressAutoHyphens w:val="0"/>
        <w:jc w:val="both"/>
        <w:rPr>
          <w:rFonts w:ascii="Arial" w:hAnsi="Arial" w:cs="Arial"/>
          <w:lang w:eastAsia="fr-FR" w:bidi="ml"/>
        </w:rPr>
      </w:pPr>
      <w:r w:rsidRPr="00B93225">
        <w:rPr>
          <w:rFonts w:ascii="Arial" w:hAnsi="Arial" w:cs="Arial"/>
          <w:lang w:eastAsia="fr-FR" w:bidi="ml"/>
        </w:rPr>
        <w:t xml:space="preserve">-Avec seulement un maximum </w:t>
      </w:r>
      <w:r w:rsidRPr="00B93225">
        <w:rPr>
          <w:rFonts w:ascii="Arial" w:hAnsi="Arial" w:cs="Arial"/>
          <w:b/>
          <w:lang w:eastAsia="fr-FR" w:bidi="ml"/>
        </w:rPr>
        <w:t>de 640 000€ HT pour la durée totale de l’accord-cadre</w:t>
      </w:r>
      <w:r w:rsidRPr="00B93225">
        <w:rPr>
          <w:rFonts w:ascii="Arial" w:hAnsi="Arial" w:cs="Arial"/>
          <w:lang w:eastAsia="fr-FR" w:bidi="ml"/>
        </w:rPr>
        <w:t xml:space="preserve"> (reconductions comprises) (article R.2162-4 2° du code de la commande publique).</w:t>
      </w: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rPr>
          <w:rFonts w:ascii="Arial" w:hAnsi="Arial" w:cs="Arial"/>
          <w:iCs/>
        </w:rPr>
        <w:t xml:space="preserve"> </w:t>
      </w:r>
      <w:r>
        <w:rPr>
          <w:rFonts w:ascii="Arial" w:hAnsi="Arial" w:cs="Arial"/>
        </w:rPr>
        <w:t>solidaire</w:t>
      </w:r>
    </w:p>
    <w:p w14:paraId="6A34CAB0" w14:textId="2244C14E" w:rsidR="00354C04" w:rsidRDefault="00354C04" w:rsidP="009B45B9">
      <w:pPr>
        <w:pStyle w:val="fcase1ertab"/>
        <w:tabs>
          <w:tab w:val="clear" w:pos="426"/>
          <w:tab w:val="left" w:pos="851"/>
        </w:tabs>
        <w:spacing w:before="120"/>
        <w:ind w:left="0" w:firstLine="0"/>
        <w:rPr>
          <w:rFonts w:ascii="Arial" w:hAnsi="Arial" w:cs="Arial"/>
        </w:rPr>
      </w:pPr>
    </w:p>
    <w:p w14:paraId="42B8A1C8" w14:textId="40234455" w:rsidR="00B93225" w:rsidRDefault="00B93225" w:rsidP="009B45B9">
      <w:pPr>
        <w:pStyle w:val="fcase1ertab"/>
        <w:tabs>
          <w:tab w:val="clear" w:pos="426"/>
          <w:tab w:val="left" w:pos="851"/>
        </w:tabs>
        <w:spacing w:before="120"/>
        <w:ind w:left="0" w:firstLine="0"/>
        <w:rPr>
          <w:rFonts w:ascii="Arial" w:hAnsi="Arial" w:cs="Arial"/>
        </w:rPr>
      </w:pPr>
    </w:p>
    <w:p w14:paraId="24014015" w14:textId="5F0418E1" w:rsidR="00B93225" w:rsidRDefault="00B93225" w:rsidP="009B45B9">
      <w:pPr>
        <w:pStyle w:val="fcase1ertab"/>
        <w:tabs>
          <w:tab w:val="clear" w:pos="426"/>
          <w:tab w:val="left" w:pos="851"/>
        </w:tabs>
        <w:spacing w:before="120"/>
        <w:ind w:left="0" w:firstLine="0"/>
        <w:rPr>
          <w:rFonts w:ascii="Arial" w:hAnsi="Arial" w:cs="Arial"/>
        </w:rPr>
      </w:pPr>
    </w:p>
    <w:p w14:paraId="3B3B52DE" w14:textId="6DE6F466" w:rsidR="00B93225" w:rsidRDefault="00B93225" w:rsidP="009B45B9">
      <w:pPr>
        <w:pStyle w:val="fcase1ertab"/>
        <w:tabs>
          <w:tab w:val="clear" w:pos="426"/>
          <w:tab w:val="left" w:pos="851"/>
        </w:tabs>
        <w:spacing w:before="120"/>
        <w:ind w:left="0" w:firstLine="0"/>
        <w:rPr>
          <w:rFonts w:ascii="Arial" w:hAnsi="Arial" w:cs="Arial"/>
        </w:rPr>
      </w:pPr>
    </w:p>
    <w:p w14:paraId="503AE085" w14:textId="7DC424B5" w:rsidR="00B93225" w:rsidRDefault="00B93225" w:rsidP="009B45B9">
      <w:pPr>
        <w:pStyle w:val="fcase1ertab"/>
        <w:tabs>
          <w:tab w:val="clear" w:pos="426"/>
          <w:tab w:val="left" w:pos="851"/>
        </w:tabs>
        <w:spacing w:before="120"/>
        <w:ind w:left="0" w:firstLine="0"/>
        <w:rPr>
          <w:rFonts w:ascii="Arial" w:hAnsi="Arial" w:cs="Arial"/>
        </w:rPr>
      </w:pPr>
    </w:p>
    <w:p w14:paraId="68C11E26" w14:textId="53AE954F" w:rsidR="00B93225" w:rsidRDefault="00B93225" w:rsidP="009B45B9">
      <w:pPr>
        <w:pStyle w:val="fcase1ertab"/>
        <w:tabs>
          <w:tab w:val="clear" w:pos="426"/>
          <w:tab w:val="left" w:pos="851"/>
        </w:tabs>
        <w:spacing w:before="120"/>
        <w:ind w:left="0" w:firstLine="0"/>
        <w:rPr>
          <w:rFonts w:ascii="Arial" w:hAnsi="Arial" w:cs="Arial"/>
        </w:rPr>
      </w:pPr>
    </w:p>
    <w:p w14:paraId="6BA2DB0D" w14:textId="61BA7C61" w:rsidR="00B93225" w:rsidRDefault="00B93225" w:rsidP="009B45B9">
      <w:pPr>
        <w:pStyle w:val="fcase1ertab"/>
        <w:tabs>
          <w:tab w:val="clear" w:pos="426"/>
          <w:tab w:val="left" w:pos="851"/>
        </w:tabs>
        <w:spacing w:before="120"/>
        <w:ind w:left="0" w:firstLine="0"/>
        <w:rPr>
          <w:rFonts w:ascii="Arial" w:hAnsi="Arial" w:cs="Arial"/>
        </w:rPr>
      </w:pPr>
    </w:p>
    <w:p w14:paraId="4A427C6A" w14:textId="73ABCCEA" w:rsidR="00B93225" w:rsidRDefault="00B93225" w:rsidP="009B45B9">
      <w:pPr>
        <w:pStyle w:val="fcase1ertab"/>
        <w:tabs>
          <w:tab w:val="clear" w:pos="426"/>
          <w:tab w:val="left" w:pos="851"/>
        </w:tabs>
        <w:spacing w:before="120"/>
        <w:ind w:left="0" w:firstLine="0"/>
        <w:rPr>
          <w:rFonts w:ascii="Arial" w:hAnsi="Arial" w:cs="Arial"/>
        </w:rPr>
      </w:pPr>
    </w:p>
    <w:p w14:paraId="20E1281E" w14:textId="78CCCB28" w:rsidR="00B93225" w:rsidRDefault="00B93225" w:rsidP="009B45B9">
      <w:pPr>
        <w:pStyle w:val="fcase1ertab"/>
        <w:tabs>
          <w:tab w:val="clear" w:pos="426"/>
          <w:tab w:val="left" w:pos="851"/>
        </w:tabs>
        <w:spacing w:before="120"/>
        <w:ind w:left="0" w:firstLine="0"/>
        <w:rPr>
          <w:rFonts w:ascii="Arial" w:hAnsi="Arial" w:cs="Arial"/>
        </w:rPr>
      </w:pPr>
    </w:p>
    <w:p w14:paraId="639AA993" w14:textId="3F6869E8" w:rsidR="00B93225" w:rsidRDefault="00B93225" w:rsidP="009B45B9">
      <w:pPr>
        <w:pStyle w:val="fcase1ertab"/>
        <w:tabs>
          <w:tab w:val="clear" w:pos="426"/>
          <w:tab w:val="left" w:pos="851"/>
        </w:tabs>
        <w:spacing w:before="120"/>
        <w:ind w:left="0" w:firstLine="0"/>
        <w:rPr>
          <w:rFonts w:ascii="Arial" w:hAnsi="Arial" w:cs="Arial"/>
        </w:rPr>
      </w:pPr>
    </w:p>
    <w:p w14:paraId="23B3CCA3" w14:textId="77777777" w:rsidR="00B93225" w:rsidRDefault="00B93225"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41061B39"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80017A">
        <w:rPr>
          <w:i/>
          <w:sz w:val="18"/>
          <w:szCs w:val="18"/>
          <w:lang w:eastAsia="fr-FR" w:bidi="ml"/>
        </w:rPr>
        <w:t xml:space="preserve">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324DD5F" w:rsidR="009B1CD0" w:rsidRDefault="00547A37"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01C1BEEA" w:rsidR="009B1CD0" w:rsidRDefault="00547A37"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4F41BB">
        <w:rPr>
          <w:lang w:eastAsia="fr-FR" w:bidi="ml"/>
        </w:rPr>
      </w:r>
      <w:r w:rsidR="004F41BB">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4F41BB">
        <w:rPr>
          <w:lang w:eastAsia="fr-FR" w:bidi="ml"/>
        </w:rPr>
      </w:r>
      <w:r w:rsidR="004F41BB">
        <w:rPr>
          <w:lang w:eastAsia="fr-FR" w:bidi="ml"/>
        </w:rPr>
        <w:fldChar w:fldCharType="separate"/>
      </w:r>
      <w:r w:rsidRPr="003261C6">
        <w:rPr>
          <w:lang w:eastAsia="fr-FR" w:bidi="ml"/>
        </w:rPr>
        <w:fldChar w:fldCharType="end"/>
      </w:r>
      <w:r w:rsidRPr="003261C6">
        <w:rPr>
          <w:lang w:eastAsia="fr-FR" w:bidi="ml"/>
        </w:rPr>
        <w:t xml:space="preserve"> non </w:t>
      </w:r>
    </w:p>
    <w:p w14:paraId="6A34CADB" w14:textId="7AE07E42"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w:t>
      </w:r>
      <w:r w:rsidRPr="00D677C5">
        <w:rPr>
          <w:lang w:eastAsia="fr-FR" w:bidi="ml"/>
        </w:rPr>
        <w:t xml:space="preserve">applicable aux </w:t>
      </w:r>
      <w:r w:rsidR="00EC4741" w:rsidRPr="00D677C5">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F41BB">
        <w:rPr>
          <w:rFonts w:ascii="Arial" w:hAnsi="Arial" w:cs="Arial"/>
          <w:lang w:eastAsia="fr-FR" w:bidi="ml"/>
        </w:rPr>
      </w:r>
      <w:r w:rsidR="004F41BB">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F41BB">
        <w:rPr>
          <w:rFonts w:ascii="Arial" w:hAnsi="Arial" w:cs="Arial"/>
          <w:lang w:eastAsia="fr-FR" w:bidi="ml"/>
        </w:rPr>
      </w:r>
      <w:r w:rsidR="004F41BB">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871E309" w:rsidR="00BD479D" w:rsidRDefault="00BD479D" w:rsidP="00EC4741">
      <w:pPr>
        <w:tabs>
          <w:tab w:val="left" w:pos="426"/>
        </w:tabs>
        <w:suppressAutoHyphens w:val="0"/>
        <w:spacing w:before="60" w:after="60"/>
        <w:jc w:val="both"/>
        <w:rPr>
          <w:rFonts w:ascii="Arial" w:hAnsi="Arial" w:cs="Arial"/>
          <w:b/>
        </w:rPr>
      </w:pPr>
    </w:p>
    <w:p w14:paraId="441FBB6B" w14:textId="587C46A1" w:rsidR="005545C0" w:rsidRDefault="005545C0" w:rsidP="00EC4741">
      <w:pPr>
        <w:tabs>
          <w:tab w:val="left" w:pos="426"/>
        </w:tabs>
        <w:suppressAutoHyphens w:val="0"/>
        <w:spacing w:before="60" w:after="60"/>
        <w:jc w:val="both"/>
        <w:rPr>
          <w:rFonts w:ascii="Arial" w:hAnsi="Arial" w:cs="Arial"/>
          <w:b/>
        </w:rPr>
      </w:pPr>
    </w:p>
    <w:p w14:paraId="32AE633C" w14:textId="6721B8FB" w:rsidR="001D64C9" w:rsidRDefault="001D64C9" w:rsidP="00EC4741">
      <w:pPr>
        <w:tabs>
          <w:tab w:val="left" w:pos="426"/>
        </w:tabs>
        <w:suppressAutoHyphens w:val="0"/>
        <w:spacing w:before="60" w:after="60"/>
        <w:jc w:val="both"/>
        <w:rPr>
          <w:rFonts w:ascii="Arial" w:hAnsi="Arial" w:cs="Arial"/>
          <w:b/>
        </w:rPr>
      </w:pPr>
    </w:p>
    <w:p w14:paraId="13C25A44" w14:textId="77777777" w:rsidR="001D64C9" w:rsidRDefault="001D64C9" w:rsidP="00EC4741">
      <w:pPr>
        <w:tabs>
          <w:tab w:val="left" w:pos="426"/>
        </w:tabs>
        <w:suppressAutoHyphens w:val="0"/>
        <w:spacing w:before="60" w:after="60"/>
        <w:jc w:val="both"/>
        <w:rPr>
          <w:rFonts w:ascii="Arial" w:hAnsi="Arial" w:cs="Arial"/>
          <w:b/>
        </w:rPr>
      </w:pPr>
    </w:p>
    <w:p w14:paraId="2BBB1558" w14:textId="77777777" w:rsidR="005545C0" w:rsidRDefault="005545C0" w:rsidP="00EC4741">
      <w:pPr>
        <w:tabs>
          <w:tab w:val="left" w:pos="426"/>
        </w:tabs>
        <w:suppressAutoHyphens w:val="0"/>
        <w:spacing w:before="60" w:after="60"/>
        <w:jc w:val="both"/>
        <w:rPr>
          <w:rFonts w:ascii="Arial" w:hAnsi="Arial" w:cs="Arial"/>
          <w:b/>
        </w:rPr>
      </w:pPr>
    </w:p>
    <w:p w14:paraId="6A34CAE5" w14:textId="684D7B86" w:rsidR="009B1CD0" w:rsidRDefault="009B1CD0" w:rsidP="0083205E">
      <w:pPr>
        <w:pStyle w:val="fcasegauche"/>
        <w:tabs>
          <w:tab w:val="left" w:pos="426"/>
          <w:tab w:val="left" w:pos="851"/>
        </w:tabs>
        <w:spacing w:after="0"/>
        <w:ind w:left="0" w:firstLine="0"/>
        <w:jc w:val="left"/>
        <w:rPr>
          <w:rFonts w:ascii="Arial" w:hAnsi="Arial" w:cs="Arial"/>
          <w:b/>
        </w:rPr>
      </w:pPr>
    </w:p>
    <w:p w14:paraId="7F88A0D0" w14:textId="378E434C" w:rsidR="00547A37" w:rsidRDefault="00547A37" w:rsidP="0083205E">
      <w:pPr>
        <w:pStyle w:val="fcasegauche"/>
        <w:tabs>
          <w:tab w:val="left" w:pos="426"/>
          <w:tab w:val="left" w:pos="851"/>
        </w:tabs>
        <w:spacing w:after="0"/>
        <w:ind w:left="0" w:firstLine="0"/>
        <w:jc w:val="left"/>
        <w:rPr>
          <w:rFonts w:ascii="Arial" w:hAnsi="Arial" w:cs="Arial"/>
          <w:b/>
        </w:rPr>
      </w:pPr>
    </w:p>
    <w:p w14:paraId="67B89EA3" w14:textId="30AABFDD" w:rsidR="00547A37" w:rsidRDefault="00547A37" w:rsidP="0083205E">
      <w:pPr>
        <w:pStyle w:val="fcasegauche"/>
        <w:tabs>
          <w:tab w:val="left" w:pos="426"/>
          <w:tab w:val="left" w:pos="851"/>
        </w:tabs>
        <w:spacing w:after="0"/>
        <w:ind w:left="0" w:firstLine="0"/>
        <w:jc w:val="left"/>
        <w:rPr>
          <w:rFonts w:ascii="Arial" w:hAnsi="Arial" w:cs="Arial"/>
          <w:b/>
        </w:rPr>
      </w:pPr>
    </w:p>
    <w:p w14:paraId="218F434D" w14:textId="77777777" w:rsidR="00547A37" w:rsidRDefault="00547A37"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F41BB">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F41BB">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0" w14:textId="684D1BF9" w:rsidR="009B1CD0" w:rsidRPr="002D03BB" w:rsidRDefault="009B1CD0" w:rsidP="00C8761C">
      <w:pPr>
        <w:tabs>
          <w:tab w:val="left" w:pos="576"/>
          <w:tab w:val="left" w:pos="851"/>
        </w:tabs>
        <w:jc w:val="both"/>
        <w:rPr>
          <w:color w:val="FF0000"/>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C8761C">
        <w:rPr>
          <w:rFonts w:ascii="Arial" w:hAnsi="Arial" w:cs="Arial"/>
        </w:rPr>
        <w:t>24</w:t>
      </w:r>
      <w:r w:rsidR="001D64C9">
        <w:rPr>
          <w:rFonts w:ascii="Arial" w:hAnsi="Arial" w:cs="Arial"/>
        </w:rPr>
        <w:t xml:space="preserve"> mois</w:t>
      </w:r>
    </w:p>
    <w:p w14:paraId="6A34CAF1" w14:textId="04061E46" w:rsidR="009B1CD0" w:rsidRPr="00EC4741" w:rsidRDefault="00EC4741" w:rsidP="009B45B9">
      <w:pPr>
        <w:tabs>
          <w:tab w:val="left" w:pos="851"/>
        </w:tabs>
        <w:spacing w:before="120"/>
        <w:ind w:left="567"/>
        <w:jc w:val="both"/>
        <w:rPr>
          <w:rFonts w:ascii="Arial" w:hAnsi="Arial" w:cs="Arial"/>
        </w:rPr>
      </w:pPr>
      <w:r>
        <w:tab/>
      </w:r>
      <w:r w:rsidR="00844DAA">
        <w:tab/>
      </w:r>
      <w:r w:rsidR="00C8761C">
        <w:fldChar w:fldCharType="begin">
          <w:ffData>
            <w:name w:val=""/>
            <w:enabled/>
            <w:calcOnExit w:val="0"/>
            <w:checkBox>
              <w:size w:val="20"/>
              <w:default w:val="1"/>
            </w:checkBox>
          </w:ffData>
        </w:fldChar>
      </w:r>
      <w:r w:rsidR="00C8761C">
        <w:instrText xml:space="preserve"> FORMCHECKBOX </w:instrText>
      </w:r>
      <w:r w:rsidR="004F41BB">
        <w:fldChar w:fldCharType="separate"/>
      </w:r>
      <w:r w:rsidR="00C8761C">
        <w:fldChar w:fldCharType="end"/>
      </w:r>
      <w:r w:rsidR="009B1CD0">
        <w:rPr>
          <w:rFonts w:ascii="Arial" w:hAnsi="Arial" w:cs="Arial"/>
        </w:rPr>
        <w:tab/>
      </w:r>
      <w:r w:rsidR="00C8761C">
        <w:rPr>
          <w:rFonts w:ascii="Arial" w:hAnsi="Arial" w:cs="Arial"/>
        </w:rPr>
        <w:t>L</w:t>
      </w:r>
      <w:r w:rsidR="009B1CD0">
        <w:rPr>
          <w:rFonts w:ascii="Arial" w:hAnsi="Arial" w:cs="Arial"/>
        </w:rPr>
        <w:t xml:space="preserve">a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6" w14:textId="705137E2" w:rsidR="009B1CD0" w:rsidRPr="008934D6" w:rsidRDefault="009B1CD0" w:rsidP="008934D6">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8934D6">
        <w:fldChar w:fldCharType="begin">
          <w:ffData>
            <w:name w:val=""/>
            <w:enabled/>
            <w:calcOnExit w:val="0"/>
            <w:checkBox>
              <w:size w:val="20"/>
              <w:default w:val="1"/>
            </w:checkBox>
          </w:ffData>
        </w:fldChar>
      </w:r>
      <w:r w:rsidR="008934D6">
        <w:instrText xml:space="preserve"> FORMCHECKBOX </w:instrText>
      </w:r>
      <w:r w:rsidR="004F41BB">
        <w:fldChar w:fldCharType="separate"/>
      </w:r>
      <w:r w:rsidR="008934D6">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F41BB">
        <w:fldChar w:fldCharType="separate"/>
      </w:r>
      <w:r w:rsidR="007D7A6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8" w14:textId="77777777" w:rsidR="009B1CD0" w:rsidRPr="00D308AF" w:rsidRDefault="009B1CD0" w:rsidP="009B45B9">
      <w:pPr>
        <w:tabs>
          <w:tab w:val="left" w:pos="426"/>
          <w:tab w:val="left" w:pos="851"/>
        </w:tabs>
        <w:jc w:val="both"/>
        <w:rPr>
          <w:rFonts w:ascii="Arial" w:hAnsi="Arial" w:cs="Arial"/>
        </w:rPr>
      </w:pPr>
      <w:r w:rsidRPr="00D308AF">
        <w:rPr>
          <w:rFonts w:ascii="Arial" w:hAnsi="Arial" w:cs="Arial"/>
        </w:rPr>
        <w:t>Si oui, préciser :</w:t>
      </w:r>
    </w:p>
    <w:p w14:paraId="6A34CAF9" w14:textId="1E5DB0BC" w:rsidR="009B1CD0" w:rsidRPr="00D308AF" w:rsidRDefault="009B1CD0" w:rsidP="009B45B9">
      <w:pPr>
        <w:numPr>
          <w:ilvl w:val="0"/>
          <w:numId w:val="3"/>
        </w:numPr>
        <w:tabs>
          <w:tab w:val="left" w:pos="426"/>
          <w:tab w:val="left" w:pos="851"/>
        </w:tabs>
        <w:spacing w:before="120"/>
        <w:ind w:left="924" w:hanging="357"/>
        <w:jc w:val="both"/>
        <w:rPr>
          <w:rFonts w:ascii="Arial" w:hAnsi="Arial" w:cs="Arial"/>
        </w:rPr>
      </w:pPr>
      <w:r w:rsidRPr="00D308AF">
        <w:rPr>
          <w:rFonts w:ascii="Arial" w:hAnsi="Arial" w:cs="Arial"/>
        </w:rPr>
        <w:t>Nombre de reconductions : …………</w:t>
      </w:r>
      <w:r w:rsidR="008934D6" w:rsidRPr="00D308AF">
        <w:rPr>
          <w:rFonts w:ascii="Arial" w:hAnsi="Arial" w:cs="Arial"/>
        </w:rPr>
        <w:t>2</w:t>
      </w:r>
      <w:r w:rsidRPr="00D308AF">
        <w:rPr>
          <w:rFonts w:ascii="Arial" w:hAnsi="Arial" w:cs="Arial"/>
        </w:rPr>
        <w:t>.............</w:t>
      </w:r>
    </w:p>
    <w:p w14:paraId="6A34CAFA" w14:textId="10D2951D" w:rsidR="009B1CD0" w:rsidRPr="00D308AF" w:rsidRDefault="009B1CD0" w:rsidP="009B45B9">
      <w:pPr>
        <w:numPr>
          <w:ilvl w:val="0"/>
          <w:numId w:val="3"/>
        </w:numPr>
        <w:tabs>
          <w:tab w:val="left" w:pos="426"/>
          <w:tab w:val="left" w:pos="851"/>
        </w:tabs>
        <w:spacing w:before="120"/>
        <w:ind w:left="924" w:hanging="357"/>
        <w:jc w:val="both"/>
        <w:rPr>
          <w:rFonts w:ascii="Arial" w:hAnsi="Arial" w:cs="Arial"/>
          <w:b/>
        </w:rPr>
      </w:pPr>
      <w:r w:rsidRPr="00D308AF">
        <w:rPr>
          <w:rFonts w:ascii="Arial" w:hAnsi="Arial" w:cs="Arial"/>
        </w:rPr>
        <w:t xml:space="preserve">Durée </w:t>
      </w:r>
      <w:r w:rsidR="00B86CA7" w:rsidRPr="00D308AF">
        <w:rPr>
          <w:rFonts w:ascii="Arial" w:hAnsi="Arial" w:cs="Arial"/>
        </w:rPr>
        <w:t>de</w:t>
      </w:r>
      <w:r w:rsidR="00EC4741" w:rsidRPr="00D308AF">
        <w:rPr>
          <w:rFonts w:ascii="Arial" w:hAnsi="Arial" w:cs="Arial"/>
        </w:rPr>
        <w:t xml:space="preserve">s périodes de </w:t>
      </w:r>
      <w:r w:rsidRPr="00D308AF">
        <w:rPr>
          <w:rFonts w:ascii="Arial" w:hAnsi="Arial" w:cs="Arial"/>
        </w:rPr>
        <w:t>reconduction : ………</w:t>
      </w:r>
      <w:r w:rsidR="008934D6" w:rsidRPr="00D308AF">
        <w:rPr>
          <w:rFonts w:ascii="Arial" w:hAnsi="Arial" w:cs="Arial"/>
        </w:rPr>
        <w:t>12 mois</w:t>
      </w:r>
      <w:r w:rsidRPr="00D308AF">
        <w:rPr>
          <w:rFonts w:ascii="Arial" w:hAnsi="Arial" w:cs="Arial"/>
        </w:rPr>
        <w:t>………</w:t>
      </w:r>
      <w:proofErr w:type="gramStart"/>
      <w:r w:rsidRPr="00D308AF">
        <w:rPr>
          <w:rFonts w:ascii="Arial" w:hAnsi="Arial" w:cs="Arial"/>
        </w:rPr>
        <w:t>…….</w:t>
      </w:r>
      <w:proofErr w:type="gramEnd"/>
      <w:r w:rsidRPr="00D308AF">
        <w:rPr>
          <w:rFonts w:ascii="Arial" w:hAnsi="Arial" w:cs="Arial"/>
        </w:rPr>
        <w:t>.</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51F10BA8" w:rsidR="00AE1C9C" w:rsidRPr="00D308AF" w:rsidRDefault="00AE1C9C" w:rsidP="00AE1C9C">
      <w:pPr>
        <w:tabs>
          <w:tab w:val="left" w:pos="426"/>
        </w:tabs>
        <w:suppressAutoHyphens w:val="0"/>
        <w:jc w:val="both"/>
        <w:rPr>
          <w:b/>
          <w:bCs/>
          <w:lang w:eastAsia="fr-FR" w:bidi="ml"/>
        </w:rPr>
      </w:pPr>
      <w:r w:rsidRPr="00D308AF">
        <w:rPr>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F41B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F41B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bookmarkStart w:id="1" w:name="_Hlk199230518"/>
            <w:r>
              <w:rPr>
                <w:sz w:val="22"/>
                <w:szCs w:val="22"/>
              </w:rPr>
              <w:lastRenderedPageBreak/>
              <w:t xml:space="preserve">D - </w:t>
            </w:r>
            <w:r w:rsidR="00EA4CE6">
              <w:rPr>
                <w:sz w:val="22"/>
                <w:szCs w:val="22"/>
                <w:lang w:bidi="ml"/>
              </w:rPr>
              <w:t>Identification du (des) pouvoir(s) adjudicateur(s).</w:t>
            </w:r>
          </w:p>
        </w:tc>
      </w:tr>
      <w:bookmarkEnd w:id="1"/>
    </w:tbl>
    <w:p w14:paraId="6A34CB70" w14:textId="77777777" w:rsidR="009B1CD0" w:rsidRDefault="009B1CD0" w:rsidP="006C4338">
      <w:pPr>
        <w:tabs>
          <w:tab w:val="left" w:pos="851"/>
        </w:tabs>
      </w:pPr>
    </w:p>
    <w:p w14:paraId="6A34CB71" w14:textId="373035C1" w:rsidR="009B1CD0" w:rsidRDefault="00D308AF"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w:t>
      </w:r>
      <w:r w:rsidR="004D4DC6">
        <w:rPr>
          <w:rFonts w:ascii="Arial" w:eastAsia="Arial" w:hAnsi="Arial" w:cs="Arial"/>
          <w:spacing w:val="-10"/>
        </w:rPr>
        <w:t xml:space="preserve">1 - </w:t>
      </w:r>
      <w:r w:rsidR="009B1CD0" w:rsidRPr="004D4DC6">
        <w:rPr>
          <w:rFonts w:ascii="Arial" w:hAnsi="Arial" w:cs="Arial"/>
          <w:bCs/>
          <w:iCs/>
        </w:rPr>
        <w:t xml:space="preserve">Désignation </w:t>
      </w:r>
      <w:r w:rsidR="00EA4CE6" w:rsidRPr="004D4DC6">
        <w:rPr>
          <w:rFonts w:ascii="Arial" w:hAnsi="Arial" w:cs="Arial"/>
          <w:bCs/>
          <w:iCs/>
        </w:rPr>
        <w:t>du pouvoir adjudicateur</w:t>
      </w:r>
      <w:r w:rsidR="009B1CD0">
        <w:rPr>
          <w:rFonts w:ascii="Arial" w:hAnsi="Arial" w:cs="Arial"/>
          <w:b w:val="0"/>
          <w:bCs/>
          <w:iCs/>
        </w:rPr>
        <w:t> :</w:t>
      </w:r>
    </w:p>
    <w:p w14:paraId="6A34CB72" w14:textId="0F32C752" w:rsidR="009B1CD0" w:rsidRPr="002D03BB" w:rsidRDefault="009B1CD0" w:rsidP="005846FB">
      <w:pPr>
        <w:pStyle w:val="Titre1"/>
        <w:tabs>
          <w:tab w:val="left" w:pos="851"/>
        </w:tabs>
        <w:ind w:left="0"/>
        <w:jc w:val="both"/>
        <w:rPr>
          <w:rFonts w:ascii="Arial" w:hAnsi="Arial" w:cs="Arial"/>
          <w:color w:val="FF0000"/>
        </w:rPr>
      </w:pP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D308AF" w:rsidRDefault="00927397" w:rsidP="00EA4CE6">
      <w:pPr>
        <w:pStyle w:val="Paragraphedeliste"/>
        <w:numPr>
          <w:ilvl w:val="0"/>
          <w:numId w:val="2"/>
        </w:numPr>
        <w:jc w:val="center"/>
        <w:rPr>
          <w:rFonts w:cs="Kartika"/>
          <w:lang w:bidi="ml"/>
        </w:rPr>
      </w:pPr>
      <w:r w:rsidRPr="00D308AF">
        <w:rPr>
          <w:rFonts w:cs="Kartika"/>
          <w:lang w:bidi="ml"/>
        </w:rPr>
        <w:t>Établissement</w:t>
      </w:r>
      <w:r w:rsidR="00EA4CE6" w:rsidRPr="00D308AF">
        <w:rPr>
          <w:rFonts w:cs="Kartika"/>
          <w:lang w:bidi="ml"/>
        </w:rPr>
        <w:t xml:space="preserve"> Français du Sang</w:t>
      </w:r>
    </w:p>
    <w:p w14:paraId="6A34CB75" w14:textId="77777777" w:rsidR="00EA4CE6" w:rsidRPr="00D308AF" w:rsidRDefault="00EA4CE6" w:rsidP="00EA4CE6">
      <w:pPr>
        <w:pStyle w:val="Paragraphedeliste"/>
        <w:numPr>
          <w:ilvl w:val="0"/>
          <w:numId w:val="2"/>
        </w:numPr>
        <w:jc w:val="center"/>
        <w:rPr>
          <w:rFonts w:cs="Kartika"/>
          <w:lang w:bidi="ml"/>
        </w:rPr>
      </w:pPr>
      <w:r w:rsidRPr="00D308AF">
        <w:rPr>
          <w:rFonts w:cs="Kartika"/>
          <w:lang w:bidi="ml"/>
        </w:rPr>
        <w:t>20, Avenue du Stade de France</w:t>
      </w:r>
    </w:p>
    <w:p w14:paraId="6A34CB76" w14:textId="77777777" w:rsidR="00EA4CE6" w:rsidRPr="00D308AF" w:rsidRDefault="00EA4CE6" w:rsidP="00EA4CE6">
      <w:pPr>
        <w:pStyle w:val="Paragraphedeliste"/>
        <w:numPr>
          <w:ilvl w:val="0"/>
          <w:numId w:val="2"/>
        </w:numPr>
        <w:jc w:val="center"/>
        <w:rPr>
          <w:rFonts w:cs="Kartika"/>
          <w:lang w:bidi="ml"/>
        </w:rPr>
      </w:pPr>
      <w:r w:rsidRPr="00D308AF">
        <w:rPr>
          <w:rFonts w:cs="Kartika"/>
          <w:lang w:bidi="ml"/>
        </w:rPr>
        <w:t>93218 LA PLAINE SAINT DENIS CEDEX</w:t>
      </w:r>
    </w:p>
    <w:p w14:paraId="6A34CB77" w14:textId="77777777" w:rsidR="00EA4CE6" w:rsidRPr="00D308AF" w:rsidRDefault="00EA4CE6" w:rsidP="00EA4CE6">
      <w:pPr>
        <w:pStyle w:val="Paragraphedeliste"/>
        <w:numPr>
          <w:ilvl w:val="0"/>
          <w:numId w:val="2"/>
        </w:numPr>
        <w:jc w:val="center"/>
        <w:rPr>
          <w:rFonts w:cs="Kartika"/>
          <w:lang w:bidi="ml"/>
        </w:rPr>
      </w:pPr>
      <w:r w:rsidRPr="00D308AF">
        <w:rPr>
          <w:rFonts w:cs="Kartika"/>
          <w:lang w:bidi="ml"/>
        </w:rPr>
        <w:t>Téléphone : 01 55 93 95 00</w:t>
      </w:r>
    </w:p>
    <w:p w14:paraId="6A34CB78" w14:textId="77777777" w:rsidR="00EA4CE6" w:rsidRPr="00D308AF" w:rsidRDefault="00EA4CE6" w:rsidP="00EA4CE6">
      <w:pPr>
        <w:pStyle w:val="Paragraphedeliste"/>
        <w:numPr>
          <w:ilvl w:val="0"/>
          <w:numId w:val="2"/>
        </w:numPr>
        <w:jc w:val="center"/>
        <w:rPr>
          <w:rFonts w:cs="Kartika"/>
          <w:lang w:bidi="ml"/>
        </w:rPr>
      </w:pPr>
      <w:r w:rsidRPr="00D308AF">
        <w:rPr>
          <w:rFonts w:cs="Kartika"/>
          <w:lang w:bidi="ml"/>
        </w:rPr>
        <w:t>Télécopie : 01 55 93 96 02</w:t>
      </w:r>
    </w:p>
    <w:p w14:paraId="6A34CB85" w14:textId="77777777" w:rsidR="009B1CD0" w:rsidRPr="00D308AF" w:rsidRDefault="009B1CD0" w:rsidP="00D308AF">
      <w:pPr>
        <w:pStyle w:val="En-tte"/>
        <w:numPr>
          <w:ilvl w:val="0"/>
          <w:numId w:val="2"/>
        </w:numPr>
        <w:tabs>
          <w:tab w:val="clear" w:pos="4536"/>
          <w:tab w:val="clear" w:pos="9072"/>
        </w:tabs>
        <w:jc w:val="center"/>
        <w:rPr>
          <w:rFonts w:ascii="Arial" w:hAnsi="Arial" w:cs="Arial"/>
          <w:lang w:bidi="ml"/>
        </w:rPr>
      </w:pPr>
    </w:p>
    <w:p w14:paraId="6A34CB89" w14:textId="2CFC15B7" w:rsidR="009B1CD0" w:rsidRPr="00D308AF" w:rsidRDefault="009B1CD0" w:rsidP="00D308AF">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D308AF" w:rsidRDefault="00EA4CE6" w:rsidP="00EA4CE6">
      <w:pPr>
        <w:tabs>
          <w:tab w:val="left" w:pos="426"/>
          <w:tab w:val="left" w:pos="851"/>
        </w:tabs>
        <w:suppressAutoHyphens w:val="0"/>
        <w:jc w:val="center"/>
        <w:rPr>
          <w:rFonts w:ascii="Arial" w:hAnsi="Arial" w:cs="Arial"/>
          <w:lang w:eastAsia="fr-FR" w:bidi="ml"/>
        </w:rPr>
      </w:pPr>
      <w:r w:rsidRPr="00D308AF">
        <w:rPr>
          <w:rFonts w:cs="Kartika"/>
          <w:lang w:eastAsia="fr-FR" w:bidi="ml"/>
        </w:rPr>
        <w:t>Monsieur le Président de l’</w:t>
      </w:r>
      <w:r w:rsidR="00927397" w:rsidRPr="00D308AF">
        <w:rPr>
          <w:rFonts w:cs="Kartika"/>
          <w:lang w:eastAsia="fr-FR" w:bidi="ml"/>
        </w:rPr>
        <w:t>Établissement</w:t>
      </w:r>
      <w:r w:rsidRPr="00D308AF">
        <w:rPr>
          <w:rFonts w:cs="Kartika"/>
          <w:lang w:eastAsia="fr-FR" w:bidi="ml"/>
        </w:rPr>
        <w:t xml:space="preserve"> Français du Sang (adresse identique)</w:t>
      </w:r>
    </w:p>
    <w:p w14:paraId="6A34CB8C" w14:textId="77777777" w:rsidR="00EA4CE6" w:rsidRPr="00B86CA7" w:rsidRDefault="00EA4CE6" w:rsidP="00EA4CE6">
      <w:pPr>
        <w:suppressAutoHyphens w:val="0"/>
        <w:jc w:val="both"/>
        <w:rPr>
          <w:rFonts w:ascii="Arial" w:hAnsi="Arial" w:cs="Arial"/>
          <w:color w:val="0000FF"/>
          <w:lang w:eastAsia="fr-FR" w:bidi="m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2" w14:textId="06A0FF1C" w:rsidR="009B1CD0" w:rsidRPr="00D308AF"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6" w14:textId="442B9764" w:rsidR="00EA4CE6" w:rsidRPr="00D308AF" w:rsidRDefault="00EA4CE6" w:rsidP="00D308AF">
      <w:pPr>
        <w:pStyle w:val="fcase2metab"/>
        <w:ind w:left="0" w:firstLine="0"/>
        <w:jc w:val="center"/>
        <w:rPr>
          <w:rFonts w:cs="Kartika"/>
          <w:lang w:eastAsia="fr-FR" w:bidi="ml"/>
        </w:rPr>
      </w:pPr>
      <w:r w:rsidRPr="00D308AF">
        <w:rPr>
          <w:rFonts w:ascii="Arial" w:hAnsi="Arial" w:cs="Arial"/>
        </w:rPr>
        <w:tab/>
      </w:r>
      <w:r w:rsidRPr="00D308AF">
        <w:rPr>
          <w:rFonts w:cs="Kartika"/>
          <w:lang w:eastAsia="fr-FR" w:bidi="ml"/>
        </w:rPr>
        <w:t>Monsieur le Président de l’</w:t>
      </w:r>
      <w:r w:rsidR="00927397" w:rsidRPr="00D308AF">
        <w:rPr>
          <w:rFonts w:cs="Kartika"/>
          <w:lang w:eastAsia="fr-FR" w:bidi="ml"/>
        </w:rPr>
        <w:t>Établissement</w:t>
      </w:r>
      <w:r w:rsidRPr="00D308AF">
        <w:rPr>
          <w:rFonts w:cs="Kartika"/>
          <w:lang w:eastAsia="fr-FR" w:bidi="ml"/>
        </w:rPr>
        <w:t xml:space="preserve"> Français du Sang (adresse identique)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C" w14:textId="72BCDAE5" w:rsidR="00EA4CE6" w:rsidRPr="002D03BB" w:rsidRDefault="00EA4CE6" w:rsidP="00D308AF">
      <w:pPr>
        <w:tabs>
          <w:tab w:val="left" w:pos="426"/>
          <w:tab w:val="left" w:pos="851"/>
        </w:tabs>
        <w:suppressAutoHyphens w:val="0"/>
        <w:jc w:val="center"/>
        <w:rPr>
          <w:rFonts w:ascii="Arial" w:hAnsi="Arial" w:cs="Arial"/>
          <w:color w:val="0000FF"/>
          <w:lang w:eastAsia="fr-FR" w:bidi="ml"/>
        </w:rPr>
      </w:pPr>
      <w:r w:rsidRPr="00D308AF">
        <w:rPr>
          <w:rFonts w:ascii="Arial" w:hAnsi="Arial" w:cs="Arial"/>
          <w:lang w:eastAsia="fr-FR" w:bidi="ml"/>
        </w:rPr>
        <w:t>Monsieur le Président de l’</w:t>
      </w:r>
      <w:r w:rsidR="00927397" w:rsidRPr="00D308AF">
        <w:rPr>
          <w:rFonts w:ascii="Arial" w:hAnsi="Arial" w:cs="Arial"/>
          <w:lang w:eastAsia="fr-FR" w:bidi="ml"/>
        </w:rPr>
        <w:t>Établissement</w:t>
      </w:r>
      <w:r w:rsidRPr="00D308AF">
        <w:rPr>
          <w:rFonts w:ascii="Arial" w:hAnsi="Arial" w:cs="Arial"/>
          <w:lang w:eastAsia="fr-FR" w:bidi="ml"/>
        </w:rPr>
        <w:t xml:space="preserve"> Français du Sang (adresse identique)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Pr="00D308AF"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 xml:space="preserve">Désignation, </w:t>
      </w:r>
      <w:r w:rsidRPr="00D308AF">
        <w:rPr>
          <w:rFonts w:ascii="Arial" w:hAnsi="Arial" w:cs="Arial"/>
          <w:b/>
        </w:rPr>
        <w:t>adresse, numéro de téléphone du comptable assignataire</w:t>
      </w:r>
      <w:r w:rsidRPr="00D308AF">
        <w:rPr>
          <w:rFonts w:ascii="Arial" w:hAnsi="Arial" w:cs="Arial"/>
        </w:rPr>
        <w:t> :</w:t>
      </w:r>
    </w:p>
    <w:p w14:paraId="6A34CC13" w14:textId="77777777" w:rsidR="009B1CD0" w:rsidRPr="00D308AF" w:rsidRDefault="009B1CD0" w:rsidP="009B45B9">
      <w:pPr>
        <w:pStyle w:val="fcase2metab"/>
        <w:rPr>
          <w:rFonts w:ascii="Arial" w:hAnsi="Arial" w:cs="Arial"/>
        </w:rPr>
      </w:pPr>
    </w:p>
    <w:p w14:paraId="6A34CC15" w14:textId="77777777" w:rsidR="004055D2" w:rsidRPr="00D308AF" w:rsidRDefault="004055D2" w:rsidP="002D03BB">
      <w:pPr>
        <w:tabs>
          <w:tab w:val="left" w:pos="426"/>
          <w:tab w:val="left" w:pos="851"/>
        </w:tabs>
        <w:suppressAutoHyphens w:val="0"/>
        <w:jc w:val="center"/>
        <w:rPr>
          <w:rFonts w:ascii="Arial" w:hAnsi="Arial" w:cs="Arial"/>
          <w:lang w:eastAsia="fr-FR" w:bidi="ml"/>
        </w:rPr>
      </w:pPr>
      <w:r w:rsidRPr="00D308AF">
        <w:rPr>
          <w:rFonts w:cs="Kartika"/>
          <w:lang w:eastAsia="fr-FR" w:bidi="ml"/>
        </w:rPr>
        <w:t>Monsieur l’Agent Comptable Principal (adresse identique)</w:t>
      </w:r>
    </w:p>
    <w:p w14:paraId="6A34CC16" w14:textId="77777777" w:rsidR="004055D2" w:rsidRPr="00D308AF" w:rsidRDefault="004055D2" w:rsidP="002D03BB">
      <w:pPr>
        <w:tabs>
          <w:tab w:val="left" w:pos="426"/>
          <w:tab w:val="left" w:pos="851"/>
        </w:tabs>
        <w:suppressAutoHyphens w:val="0"/>
        <w:spacing w:after="120"/>
        <w:jc w:val="center"/>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52267B9A"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1D64C9" w14:paraId="20A3BD08" w14:textId="77777777" w:rsidTr="00DE7864">
        <w:tc>
          <w:tcPr>
            <w:tcW w:w="10277" w:type="dxa"/>
            <w:shd w:val="clear" w:color="auto" w:fill="66CCFF"/>
          </w:tcPr>
          <w:p w14:paraId="540360C1" w14:textId="71B4593F" w:rsidR="001D64C9" w:rsidRDefault="001D64C9" w:rsidP="001D64C9">
            <w:pPr>
              <w:pStyle w:val="Titre4"/>
              <w:tabs>
                <w:tab w:val="left" w:pos="851"/>
              </w:tabs>
            </w:pPr>
            <w:r w:rsidRPr="001D64C9">
              <w:lastRenderedPageBreak/>
              <w:t>E – Décision du pouvoir adjudicateur</w:t>
            </w:r>
          </w:p>
        </w:tc>
      </w:tr>
    </w:tbl>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5B33BB38"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F41BB">
        <w:rPr>
          <w:rFonts w:ascii="Arial" w:hAnsi="Arial" w:cs="Arial"/>
          <w:lang w:eastAsia="fr-FR" w:bidi="ml"/>
        </w:rPr>
      </w:r>
      <w:r w:rsidR="004F41B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r w:rsidR="00D308AF" w:rsidRPr="00791F91">
        <w:rPr>
          <w:rFonts w:ascii="Arial" w:hAnsi="Arial" w:cs="Arial"/>
          <w:lang w:eastAsia="fr-FR" w:bidi="ml"/>
        </w:rPr>
        <w:t>En</w:t>
      </w:r>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62C1462F"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F41BB">
        <w:rPr>
          <w:rFonts w:ascii="Arial" w:hAnsi="Arial" w:cs="Arial"/>
          <w:lang w:eastAsia="fr-FR" w:bidi="ml"/>
        </w:rPr>
      </w:r>
      <w:r w:rsidR="004F41B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r w:rsidR="00D308AF" w:rsidRPr="00791F91">
        <w:rPr>
          <w:rFonts w:ascii="Arial" w:hAnsi="Arial" w:cs="Arial"/>
          <w:lang w:eastAsia="fr-FR" w:bidi="ml"/>
        </w:rPr>
        <w:t>En</w:t>
      </w:r>
      <w:r w:rsidRPr="00791F91">
        <w:rPr>
          <w:rFonts w:ascii="Arial" w:hAnsi="Arial" w:cs="Arial"/>
          <w:lang w:eastAsia="fr-FR" w:bidi="ml"/>
        </w:rPr>
        <w:t xml:space="preserve"> ce qui concerne les lots ci-après seulement : ………………………………………</w:t>
      </w:r>
      <w:proofErr w:type="gramStart"/>
      <w:r w:rsidRPr="00791F91">
        <w:rPr>
          <w:rFonts w:ascii="Arial" w:hAnsi="Arial" w:cs="Arial"/>
          <w:lang w:eastAsia="fr-FR" w:bidi="ml"/>
        </w:rPr>
        <w:t>…….</w:t>
      </w:r>
      <w:proofErr w:type="gramEnd"/>
      <w:r w:rsidRPr="00791F91">
        <w:rPr>
          <w:rFonts w:ascii="Arial" w:hAnsi="Arial" w:cs="Arial"/>
          <w:lang w:eastAsia="fr-FR" w:bidi="ml"/>
        </w:rPr>
        <w:t>.</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F41BB">
        <w:rPr>
          <w:rFonts w:ascii="Arial" w:hAnsi="Arial" w:cs="Arial"/>
          <w:lang w:eastAsia="fr-FR" w:bidi="ml"/>
        </w:rPr>
      </w:r>
      <w:r w:rsidR="004F41B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F41BB">
        <w:rPr>
          <w:rFonts w:ascii="Arial" w:hAnsi="Arial" w:cs="Arial"/>
          <w:lang w:eastAsia="fr-FR" w:bidi="ml"/>
        </w:rPr>
      </w:r>
      <w:r w:rsidR="004F41BB">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F41BB">
        <w:rPr>
          <w:rFonts w:ascii="Arial" w:hAnsi="Arial" w:cs="Arial"/>
          <w:lang w:eastAsia="fr-FR" w:bidi="ml"/>
        </w:rPr>
      </w:r>
      <w:r w:rsidR="004F41BB">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F41BB">
        <w:rPr>
          <w:rFonts w:ascii="Arial" w:hAnsi="Arial" w:cs="Arial"/>
          <w:lang w:eastAsia="fr-FR" w:bidi="ml"/>
        </w:rPr>
      </w:r>
      <w:r w:rsidR="004F41B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5" w14:textId="77777777" w:rsidR="00791F91" w:rsidRPr="00D308AF" w:rsidRDefault="00791F91" w:rsidP="00791F91">
      <w:pPr>
        <w:suppressAutoHyphens w:val="0"/>
        <w:ind w:left="426"/>
        <w:jc w:val="both"/>
        <w:rPr>
          <w:rFonts w:ascii="Arial" w:hAnsi="Arial" w:cs="Arial"/>
          <w:sz w:val="22"/>
          <w:lang w:eastAsia="fr-FR" w:bidi="ml"/>
        </w:rPr>
      </w:pPr>
    </w:p>
    <w:p w14:paraId="6A34CC36" w14:textId="5764E73B" w:rsidR="00791F91" w:rsidRPr="00D308AF"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D308AF">
        <w:rPr>
          <w:rFonts w:ascii="Arial" w:hAnsi="Arial" w:cs="Arial"/>
          <w:b/>
          <w:bCs/>
          <w:lang w:eastAsia="fr-FR" w:bidi="ml"/>
        </w:rPr>
        <w:t xml:space="preserve">Avis du Contrôleur Général Économique et Financier : </w:t>
      </w:r>
    </w:p>
    <w:p w14:paraId="6A34CC37" w14:textId="77777777" w:rsidR="00791F91" w:rsidRPr="00D308AF"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D308AF"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D308AF">
        <w:rPr>
          <w:rFonts w:ascii="Arial" w:hAnsi="Arial" w:cs="Arial"/>
          <w:lang w:eastAsia="fr-FR" w:bidi="ml"/>
        </w:rPr>
        <w:t>Fait à Saint Denis, le</w:t>
      </w:r>
      <w:r w:rsidRPr="00D308AF">
        <w:rPr>
          <w:rFonts w:ascii="Arial" w:hAnsi="Arial" w:cs="Arial"/>
          <w:lang w:eastAsia="fr-FR" w:bidi="ml"/>
        </w:rPr>
        <w:tab/>
      </w:r>
    </w:p>
    <w:p w14:paraId="6A34CC39" w14:textId="77777777" w:rsidR="00791F91" w:rsidRPr="00D308AF"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D308AF"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D308AF">
        <w:rPr>
          <w:rFonts w:ascii="Arial" w:hAnsi="Arial" w:cs="Arial"/>
          <w:lang w:eastAsia="fr-FR" w:bidi="ml"/>
        </w:rPr>
        <w:t xml:space="preserve">Numéro </w:t>
      </w:r>
      <w:r w:rsidR="00692FEC" w:rsidRPr="00D308AF">
        <w:rPr>
          <w:rFonts w:ascii="Arial" w:hAnsi="Arial" w:cs="Arial"/>
          <w:lang w:eastAsia="fr-FR" w:bidi="ml"/>
        </w:rPr>
        <w:t>d’avis</w:t>
      </w:r>
      <w:r w:rsidRPr="00D308AF">
        <w:rPr>
          <w:rFonts w:ascii="Arial" w:hAnsi="Arial" w:cs="Arial"/>
          <w:lang w:eastAsia="fr-FR" w:bidi="ml"/>
        </w:rPr>
        <w:t> :</w:t>
      </w:r>
      <w:r w:rsidRPr="00D308AF">
        <w:rPr>
          <w:rFonts w:ascii="Arial" w:hAnsi="Arial" w:cs="Arial"/>
          <w:lang w:eastAsia="fr-FR" w:bidi="ml"/>
        </w:rPr>
        <w:tab/>
      </w:r>
    </w:p>
    <w:p w14:paraId="6A34CC3B"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76" w14:textId="00FEE03E" w:rsidR="002C2CA3" w:rsidRDefault="002C2CA3" w:rsidP="004F41BB">
      <w:pPr>
        <w:suppressAutoHyphens w:val="0"/>
        <w:rPr>
          <w:lang w:eastAsia="fr-FR" w:bidi="ml"/>
        </w:rPr>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D677C5" w:rsidRDefault="00D677C5">
      <w:r>
        <w:separator/>
      </w:r>
    </w:p>
  </w:endnote>
  <w:endnote w:type="continuationSeparator" w:id="0">
    <w:p w14:paraId="18DFDB6D" w14:textId="77777777" w:rsidR="00D677C5" w:rsidRDefault="00D67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D677C5" w14:paraId="6A34CC92" w14:textId="77777777" w:rsidTr="00B141CA">
      <w:trPr>
        <w:tblHeader/>
      </w:trPr>
      <w:tc>
        <w:tcPr>
          <w:tcW w:w="3048" w:type="dxa"/>
          <w:shd w:val="clear" w:color="auto" w:fill="66CCFF"/>
        </w:tcPr>
        <w:p w14:paraId="6A34CC8C" w14:textId="6159D42F" w:rsidR="00D677C5" w:rsidRPr="005A5FCD" w:rsidRDefault="00D677C5"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9CF1598" w:rsidR="00D677C5" w:rsidRDefault="00D677C5" w:rsidP="001D64C9">
          <w:pPr>
            <w:jc w:val="center"/>
            <w:rPr>
              <w:rFonts w:ascii="Arial" w:hAnsi="Arial" w:cs="Arial"/>
              <w:b/>
            </w:rPr>
          </w:pPr>
          <w:r w:rsidRPr="001D64C9">
            <w:rPr>
              <w:rFonts w:ascii="Arial" w:hAnsi="Arial" w:cs="Arial"/>
              <w:b/>
              <w:i/>
            </w:rPr>
            <w:t>(</w:t>
          </w:r>
          <w:r w:rsidRPr="001D64C9">
            <w:rPr>
              <w:rFonts w:ascii="Arial" w:hAnsi="Arial" w:cs="Arial"/>
              <w:b/>
            </w:rPr>
            <w:t>SC2943)</w:t>
          </w:r>
        </w:p>
      </w:tc>
      <w:tc>
        <w:tcPr>
          <w:tcW w:w="896" w:type="dxa"/>
          <w:shd w:val="clear" w:color="auto" w:fill="66CCFF"/>
        </w:tcPr>
        <w:p w14:paraId="6A34CC8E" w14:textId="77777777" w:rsidR="00D677C5" w:rsidRDefault="00D677C5">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D677C5" w:rsidRDefault="00D677C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D677C5" w:rsidRDefault="00D677C5">
          <w:pPr>
            <w:jc w:val="center"/>
          </w:pPr>
          <w:r>
            <w:rPr>
              <w:rFonts w:ascii="Arial" w:hAnsi="Arial" w:cs="Arial"/>
              <w:b/>
            </w:rPr>
            <w:t>/</w:t>
          </w:r>
        </w:p>
      </w:tc>
      <w:tc>
        <w:tcPr>
          <w:tcW w:w="544" w:type="dxa"/>
          <w:shd w:val="clear" w:color="auto" w:fill="66CCFF"/>
        </w:tcPr>
        <w:p w14:paraId="6A34CC91" w14:textId="3A3F7E6C" w:rsidR="00D677C5" w:rsidRDefault="00D677C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D677C5" w:rsidRDefault="00D677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D677C5" w:rsidRDefault="00D677C5">
      <w:r>
        <w:separator/>
      </w:r>
    </w:p>
  </w:footnote>
  <w:footnote w:type="continuationSeparator" w:id="0">
    <w:p w14:paraId="1D586A46" w14:textId="77777777" w:rsidR="00D677C5" w:rsidRDefault="00D677C5">
      <w:r>
        <w:continuationSeparator/>
      </w:r>
    </w:p>
  </w:footnote>
  <w:footnote w:id="1">
    <w:p w14:paraId="6A34CC94" w14:textId="77777777" w:rsidR="00D677C5" w:rsidRDefault="00D677C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7B5C42"/>
    <w:multiLevelType w:val="hybridMultilevel"/>
    <w:tmpl w:val="A72A64C0"/>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36EF7"/>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1D64C9"/>
    <w:rsid w:val="0021527A"/>
    <w:rsid w:val="0021797C"/>
    <w:rsid w:val="00225A1A"/>
    <w:rsid w:val="00244CBD"/>
    <w:rsid w:val="00263DC7"/>
    <w:rsid w:val="00281AFD"/>
    <w:rsid w:val="002904AF"/>
    <w:rsid w:val="00293087"/>
    <w:rsid w:val="00293BCF"/>
    <w:rsid w:val="00295B9D"/>
    <w:rsid w:val="002C04E1"/>
    <w:rsid w:val="002C2CA3"/>
    <w:rsid w:val="002C4B3E"/>
    <w:rsid w:val="002C79D6"/>
    <w:rsid w:val="002D03BB"/>
    <w:rsid w:val="002D4DD8"/>
    <w:rsid w:val="002F52DD"/>
    <w:rsid w:val="003261C6"/>
    <w:rsid w:val="00332B12"/>
    <w:rsid w:val="00333B9F"/>
    <w:rsid w:val="00351933"/>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4F41BB"/>
    <w:rsid w:val="00514DAF"/>
    <w:rsid w:val="005204F5"/>
    <w:rsid w:val="00532EC7"/>
    <w:rsid w:val="00541CA3"/>
    <w:rsid w:val="00547A37"/>
    <w:rsid w:val="005545C0"/>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0017A"/>
    <w:rsid w:val="0081250A"/>
    <w:rsid w:val="00825C6A"/>
    <w:rsid w:val="0083205E"/>
    <w:rsid w:val="00844DAA"/>
    <w:rsid w:val="00873B3B"/>
    <w:rsid w:val="008934D6"/>
    <w:rsid w:val="008A7D6D"/>
    <w:rsid w:val="008C04ED"/>
    <w:rsid w:val="008D2C3C"/>
    <w:rsid w:val="008D3A70"/>
    <w:rsid w:val="00926CF0"/>
    <w:rsid w:val="00927397"/>
    <w:rsid w:val="00931D42"/>
    <w:rsid w:val="00934503"/>
    <w:rsid w:val="00955F0A"/>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93225"/>
    <w:rsid w:val="00BA44E5"/>
    <w:rsid w:val="00BC47FC"/>
    <w:rsid w:val="00BD479D"/>
    <w:rsid w:val="00BE5AA2"/>
    <w:rsid w:val="00BE6078"/>
    <w:rsid w:val="00BE6484"/>
    <w:rsid w:val="00C07B12"/>
    <w:rsid w:val="00C3106D"/>
    <w:rsid w:val="00C62520"/>
    <w:rsid w:val="00C70697"/>
    <w:rsid w:val="00C8761C"/>
    <w:rsid w:val="00C91060"/>
    <w:rsid w:val="00C911FE"/>
    <w:rsid w:val="00C9625C"/>
    <w:rsid w:val="00CB092A"/>
    <w:rsid w:val="00CB1C4C"/>
    <w:rsid w:val="00CD185D"/>
    <w:rsid w:val="00CD46CC"/>
    <w:rsid w:val="00CE0D69"/>
    <w:rsid w:val="00CE7CB8"/>
    <w:rsid w:val="00D0068B"/>
    <w:rsid w:val="00D308AF"/>
    <w:rsid w:val="00D46BC7"/>
    <w:rsid w:val="00D677C5"/>
    <w:rsid w:val="00D75A57"/>
    <w:rsid w:val="00D904A2"/>
    <w:rsid w:val="00DA4F40"/>
    <w:rsid w:val="00DB7F85"/>
    <w:rsid w:val="00DC1F0C"/>
    <w:rsid w:val="00E25C1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553D9"/>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90594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FA25C850-2BA7-412D-A819-63F3A3CAE6E4}">
  <ds:schemaRefs>
    <ds:schemaRef ds:uri="http://schemas.openxmlformats.org/officeDocument/2006/bibliography"/>
  </ds:schemaRefs>
</ds:datastoreItem>
</file>

<file path=customXml/itemProps5.xml><?xml version="1.0" encoding="utf-8"?>
<ds:datastoreItem xmlns:ds="http://schemas.openxmlformats.org/officeDocument/2006/customXml" ds:itemID="{983121A2-4891-49C4-A24E-0B9C4F6BF1D0}">
  <ds:schemaRefs>
    <ds:schemaRef ds:uri="http://schemas.microsoft.com/office/2006/documentManagement/types"/>
    <ds:schemaRef ds:uri="http://purl.org/dc/elements/1.1/"/>
    <ds:schemaRef ds:uri="http://purl.org/dc/terms/"/>
    <ds:schemaRef ds:uri="8cabc909-925b-4993-810a-c39a03b082db"/>
    <ds:schemaRef ds:uri="http://purl.org/dc/dcmitype/"/>
    <ds:schemaRef ds:uri="3db10a5d-558e-4c80-b55c-f43536d34388"/>
    <ds:schemaRef ds:uri="http://schemas.microsoft.com/office/infopath/2007/PartnerControls"/>
    <ds:schemaRef ds:uri="http://www.w3.org/XML/1998/namespace"/>
    <ds:schemaRef ds:uri="http://schemas.openxmlformats.org/package/2006/metadata/core-properties"/>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8</Pages>
  <Words>1676</Words>
  <Characters>9224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GHERRAM Tarik</cp:lastModifiedBy>
  <cp:revision>4</cp:revision>
  <cp:lastPrinted>2016-04-08T14:31:00Z</cp:lastPrinted>
  <dcterms:created xsi:type="dcterms:W3CDTF">2025-05-27T07:30:00Z</dcterms:created>
  <dcterms:modified xsi:type="dcterms:W3CDTF">2025-05-27T11:43:00Z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