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7AF" w:rsidRPr="004F354F" w:rsidRDefault="001617AF" w:rsidP="001617AF">
      <w:pPr>
        <w:jc w:val="both"/>
        <w:rPr>
          <w:rFonts w:ascii="Arial" w:hAnsi="Arial" w:cs="Arial"/>
          <w:b/>
          <w:bCs/>
          <w:sz w:val="18"/>
          <w:szCs w:val="18"/>
        </w:rPr>
      </w:pPr>
      <w:r w:rsidRPr="004F354F">
        <w:rPr>
          <w:rFonts w:ascii="Arial" w:hAnsi="Arial" w:cs="Arial"/>
          <w:noProof/>
          <w:sz w:val="18"/>
          <w:szCs w:val="18"/>
          <w:lang w:eastAsia="fr-FR"/>
        </w:rPr>
        <w:drawing>
          <wp:inline distT="0" distB="0" distL="0" distR="0" wp14:anchorId="6EEF1A67" wp14:editId="65D4E19E">
            <wp:extent cx="3223895" cy="123507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23895" cy="1235075"/>
                    </a:xfrm>
                    <a:prstGeom prst="rect">
                      <a:avLst/>
                    </a:prstGeom>
                    <a:noFill/>
                    <a:ln>
                      <a:noFill/>
                    </a:ln>
                  </pic:spPr>
                </pic:pic>
              </a:graphicData>
            </a:graphic>
          </wp:inline>
        </w:drawing>
      </w: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1617AF" w:rsidRDefault="001617AF" w:rsidP="001617AF">
      <w:pPr>
        <w:autoSpaceDE w:val="0"/>
        <w:autoSpaceDN w:val="0"/>
        <w:spacing w:after="0" w:line="240" w:lineRule="auto"/>
        <w:jc w:val="both"/>
        <w:rPr>
          <w:rFonts w:ascii="Arial" w:eastAsia="Times New Roman" w:hAnsi="Arial" w:cs="Arial"/>
          <w:b/>
          <w:bCs/>
          <w:sz w:val="18"/>
          <w:szCs w:val="18"/>
          <w:lang w:eastAsia="fr-FR"/>
        </w:rPr>
      </w:pPr>
    </w:p>
    <w:p w:rsidR="001617AF" w:rsidRPr="004F354F" w:rsidRDefault="001617AF" w:rsidP="001617AF">
      <w:pPr>
        <w:pStyle w:val="RedTitre1"/>
        <w:keepNext/>
        <w:framePr w:hSpace="0" w:wrap="auto" w:vAnchor="margin" w:xAlign="left" w:yAlign="inline"/>
        <w:widowControl/>
        <w:jc w:val="both"/>
        <w:rPr>
          <w:sz w:val="18"/>
          <w:szCs w:val="18"/>
        </w:rPr>
      </w:pPr>
      <w:r w:rsidRPr="004F354F">
        <w:rPr>
          <w:sz w:val="18"/>
          <w:szCs w:val="18"/>
        </w:rPr>
        <w:t xml:space="preserve">CADRE DE REPONSE TECHNIQUE RELATIF AU MARCHE </w:t>
      </w:r>
      <w:r>
        <w:rPr>
          <w:sz w:val="18"/>
          <w:szCs w:val="18"/>
        </w:rPr>
        <w:t xml:space="preserve">MISE A DISPOSITION D’UNE EQUIPE SECURITE </w:t>
      </w:r>
      <w:r w:rsidR="00AB0FEC">
        <w:rPr>
          <w:sz w:val="18"/>
          <w:szCs w:val="18"/>
        </w:rPr>
        <w:t>INCE</w:t>
      </w:r>
      <w:bookmarkStart w:id="0" w:name="_GoBack"/>
      <w:bookmarkEnd w:id="0"/>
      <w:r w:rsidR="00AB0FEC">
        <w:rPr>
          <w:sz w:val="18"/>
          <w:szCs w:val="18"/>
        </w:rPr>
        <w:t xml:space="preserve">NDIE </w:t>
      </w:r>
      <w:r>
        <w:rPr>
          <w:sz w:val="18"/>
          <w:szCs w:val="18"/>
        </w:rPr>
        <w:t>– SURETE AU CENTRE HOSPITALIER DE MACON</w:t>
      </w:r>
    </w:p>
    <w:p w:rsidR="001617AF" w:rsidRPr="004F354F" w:rsidRDefault="001617AF" w:rsidP="001617AF">
      <w:pPr>
        <w:pStyle w:val="RedNomDoc"/>
        <w:keepNext/>
        <w:widowControl/>
        <w:jc w:val="both"/>
        <w:rPr>
          <w:sz w:val="18"/>
          <w:szCs w:val="18"/>
        </w:rPr>
      </w:pPr>
    </w:p>
    <w:p w:rsidR="001617AF" w:rsidRPr="004F354F" w:rsidRDefault="001617AF" w:rsidP="001617AF">
      <w:pPr>
        <w:pStyle w:val="RedNomDoc"/>
        <w:keepNext/>
        <w:widowControl/>
        <w:jc w:val="both"/>
        <w:rPr>
          <w:sz w:val="18"/>
          <w:szCs w:val="18"/>
        </w:rPr>
      </w:pPr>
    </w:p>
    <w:p w:rsidR="001617AF" w:rsidRPr="004F354F" w:rsidRDefault="001617AF" w:rsidP="001617AF">
      <w:pPr>
        <w:pStyle w:val="RedNomDoc"/>
        <w:keepNext/>
        <w:widowControl/>
        <w:jc w:val="both"/>
        <w:rPr>
          <w:sz w:val="18"/>
          <w:szCs w:val="18"/>
        </w:rPr>
      </w:pPr>
    </w:p>
    <w:p w:rsidR="001617AF" w:rsidRPr="004F354F" w:rsidRDefault="001617AF" w:rsidP="001617AF">
      <w:pPr>
        <w:pStyle w:val="RedNomDoc"/>
        <w:keepNext/>
        <w:widowControl/>
        <w:jc w:val="both"/>
        <w:rPr>
          <w:strike/>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xmsonormal"/>
        <w:shd w:val="clear" w:color="auto" w:fill="FFFFFF"/>
        <w:spacing w:before="0" w:beforeAutospacing="0" w:after="0" w:afterAutospacing="0"/>
        <w:jc w:val="both"/>
        <w:rPr>
          <w:rFonts w:ascii="Arial" w:hAnsi="Arial" w:cs="Arial"/>
          <w:color w:val="212121"/>
          <w:sz w:val="18"/>
          <w:szCs w:val="18"/>
        </w:rPr>
      </w:pPr>
    </w:p>
    <w:p w:rsidR="001617AF" w:rsidRPr="004F354F" w:rsidRDefault="001617AF" w:rsidP="001617AF">
      <w:pPr>
        <w:pStyle w:val="RedNomDoc"/>
        <w:keepNext/>
        <w:widowControl/>
        <w:jc w:val="both"/>
        <w:rPr>
          <w:sz w:val="18"/>
          <w:szCs w:val="18"/>
        </w:rPr>
      </w:pPr>
      <w:r w:rsidRPr="004F354F">
        <w:rPr>
          <w:sz w:val="18"/>
          <w:szCs w:val="18"/>
        </w:rPr>
        <w:t>Consignes pour remplir le présent document</w:t>
      </w:r>
    </w:p>
    <w:p w:rsidR="001617AF" w:rsidRPr="004F354F" w:rsidRDefault="001617AF" w:rsidP="001617AF">
      <w:pPr>
        <w:tabs>
          <w:tab w:val="left" w:pos="432"/>
        </w:tabs>
        <w:jc w:val="both"/>
        <w:rPr>
          <w:rFonts w:ascii="Arial" w:hAnsi="Arial" w:cs="Arial"/>
          <w:sz w:val="18"/>
          <w:szCs w:val="18"/>
        </w:rPr>
      </w:pPr>
    </w:p>
    <w:p w:rsidR="001617AF" w:rsidRPr="001617AF" w:rsidRDefault="001617AF" w:rsidP="001617AF">
      <w:pPr>
        <w:tabs>
          <w:tab w:val="left" w:pos="432"/>
        </w:tabs>
        <w:jc w:val="both"/>
        <w:rPr>
          <w:rFonts w:ascii="Arial" w:hAnsi="Arial" w:cs="Arial"/>
          <w:sz w:val="18"/>
          <w:szCs w:val="18"/>
        </w:rPr>
      </w:pPr>
      <w:r w:rsidRPr="001617AF">
        <w:rPr>
          <w:rFonts w:ascii="Arial" w:hAnsi="Arial" w:cs="Arial"/>
          <w:sz w:val="18"/>
          <w:szCs w:val="18"/>
        </w:rPr>
        <w:t xml:space="preserve">Le candidat devra remplir intégralement chaque rubrique du présent cadre de réponse technique en apportant une réponse rédigée et adaptée au présent marché sans procéder seulement à un renvoi systématique à un document annexe. </w:t>
      </w:r>
    </w:p>
    <w:p w:rsidR="001617AF" w:rsidRPr="001617AF" w:rsidRDefault="001617AF" w:rsidP="001617AF">
      <w:pPr>
        <w:tabs>
          <w:tab w:val="left" w:pos="432"/>
        </w:tabs>
        <w:jc w:val="both"/>
        <w:rPr>
          <w:rFonts w:ascii="Arial" w:hAnsi="Arial" w:cs="Arial"/>
          <w:sz w:val="18"/>
          <w:szCs w:val="18"/>
        </w:rPr>
      </w:pPr>
      <w:r w:rsidRPr="001617AF">
        <w:rPr>
          <w:rFonts w:ascii="Arial" w:hAnsi="Arial" w:cs="Arial"/>
          <w:sz w:val="18"/>
          <w:szCs w:val="18"/>
        </w:rPr>
        <w:t>Les éléments inscrits ci-dessous engagent les candidats pour la durée du marché. En cas de modifications, un accord devra être trouvé entre les différentes parties au marché et formalisé par le biais d’un avenant.</w:t>
      </w:r>
    </w:p>
    <w:p w:rsidR="001617AF" w:rsidRPr="001617AF" w:rsidRDefault="001617AF" w:rsidP="001617AF">
      <w:pPr>
        <w:tabs>
          <w:tab w:val="left" w:pos="432"/>
        </w:tabs>
        <w:jc w:val="both"/>
        <w:rPr>
          <w:rFonts w:ascii="Arial" w:hAnsi="Arial" w:cs="Arial"/>
          <w:sz w:val="18"/>
          <w:szCs w:val="18"/>
        </w:rPr>
      </w:pPr>
      <w:r w:rsidRPr="001617AF">
        <w:rPr>
          <w:rFonts w:ascii="Arial" w:hAnsi="Arial" w:cs="Arial"/>
          <w:sz w:val="18"/>
          <w:szCs w:val="18"/>
        </w:rPr>
        <w:t>Le soumissionnaire devra répondre à l’ensemble des items indiqués dans ce mémoire technique et environnemental type et dans l’ordre où elles sont listées.</w:t>
      </w:r>
    </w:p>
    <w:p w:rsidR="001617AF" w:rsidRPr="001617AF" w:rsidRDefault="001617AF" w:rsidP="001617AF">
      <w:pPr>
        <w:tabs>
          <w:tab w:val="left" w:pos="432"/>
        </w:tabs>
        <w:jc w:val="both"/>
        <w:rPr>
          <w:rFonts w:ascii="Arial" w:hAnsi="Arial" w:cs="Arial"/>
          <w:sz w:val="18"/>
          <w:szCs w:val="18"/>
        </w:rPr>
      </w:pPr>
      <w:r w:rsidRPr="001617AF">
        <w:rPr>
          <w:rFonts w:ascii="Arial" w:hAnsi="Arial" w:cs="Arial"/>
          <w:sz w:val="18"/>
          <w:szCs w:val="18"/>
        </w:rPr>
        <w:t>Le mémoire devra être transmis dans l’offre du soumissionnaire, sous peine de rejet d’offre.</w:t>
      </w:r>
    </w:p>
    <w:p w:rsidR="001617AF" w:rsidRPr="004F354F" w:rsidRDefault="001617AF" w:rsidP="001617AF">
      <w:pPr>
        <w:tabs>
          <w:tab w:val="left" w:pos="432"/>
        </w:tabs>
        <w:jc w:val="both"/>
        <w:rPr>
          <w:rFonts w:ascii="Arial" w:hAnsi="Arial" w:cs="Arial"/>
          <w:sz w:val="18"/>
          <w:szCs w:val="18"/>
        </w:rPr>
      </w:pPr>
      <w:r w:rsidRPr="001617AF">
        <w:rPr>
          <w:rFonts w:ascii="Arial" w:hAnsi="Arial" w:cs="Arial"/>
          <w:sz w:val="18"/>
          <w:szCs w:val="18"/>
        </w:rPr>
        <w:t>Le mémoire ne devra pas dépasser 60 pages recto (page de garde et annexes non comprises, le cas échéant). En cas de dépassement du nombre de pages, seules les 60 premières pages seront analysées.</w:t>
      </w:r>
    </w:p>
    <w:p w:rsidR="001617AF" w:rsidRPr="004F354F" w:rsidRDefault="001617AF" w:rsidP="001617AF">
      <w:pPr>
        <w:tabs>
          <w:tab w:val="left" w:pos="432"/>
        </w:tabs>
        <w:jc w:val="both"/>
        <w:rPr>
          <w:rFonts w:ascii="Arial" w:hAnsi="Arial" w:cs="Arial"/>
          <w:sz w:val="18"/>
          <w:szCs w:val="18"/>
        </w:rPr>
      </w:pPr>
    </w:p>
    <w:p w:rsidR="001617AF" w:rsidRPr="004F354F" w:rsidRDefault="001617AF" w:rsidP="001617AF">
      <w:pPr>
        <w:pStyle w:val="RedNomDoc"/>
        <w:keepNext/>
        <w:widowControl/>
        <w:numPr>
          <w:ilvl w:val="0"/>
          <w:numId w:val="1"/>
        </w:numPr>
        <w:jc w:val="both"/>
        <w:rPr>
          <w:bCs w:val="0"/>
          <w:sz w:val="18"/>
          <w:szCs w:val="18"/>
        </w:rPr>
      </w:pPr>
      <w:r w:rsidRPr="004F354F">
        <w:rPr>
          <w:b w:val="0"/>
          <w:sz w:val="18"/>
          <w:szCs w:val="18"/>
        </w:rPr>
        <w:br w:type="page"/>
      </w:r>
    </w:p>
    <w:p w:rsidR="00C44E27" w:rsidRPr="008E2366" w:rsidRDefault="00C44E27" w:rsidP="00C44E27">
      <w:pPr>
        <w:keepNext/>
        <w:widowControl w:val="0"/>
        <w:autoSpaceDE w:val="0"/>
        <w:autoSpaceDN w:val="0"/>
        <w:spacing w:after="0" w:line="240" w:lineRule="auto"/>
        <w:jc w:val="both"/>
        <w:rPr>
          <w:rFonts w:ascii="Arial" w:eastAsia="Times New Roman" w:hAnsi="Arial" w:cs="Arial"/>
          <w:b/>
          <w:sz w:val="18"/>
          <w:szCs w:val="18"/>
          <w:lang w:eastAsia="fr-FR"/>
        </w:rPr>
      </w:pPr>
      <w:r w:rsidRPr="008E2366">
        <w:rPr>
          <w:u w:val="single"/>
        </w:rPr>
        <w:lastRenderedPageBreak/>
        <w:t>Identification du candidat</w:t>
      </w:r>
      <w:r w:rsidRPr="000D5F3F">
        <w:t xml:space="preserve"> :</w:t>
      </w:r>
    </w:p>
    <w:p w:rsidR="00C44E27" w:rsidRDefault="00C44E27" w:rsidP="00C44E27">
      <w:r>
        <w:t xml:space="preserve">Nom : </w:t>
      </w:r>
    </w:p>
    <w:p w:rsidR="00C44E27" w:rsidRDefault="00C44E27" w:rsidP="00C44E27">
      <w:r>
        <w:t xml:space="preserve">Adresse : </w:t>
      </w:r>
    </w:p>
    <w:p w:rsidR="00C44E27" w:rsidRDefault="00C44E27" w:rsidP="00C44E27">
      <w:r>
        <w:t xml:space="preserve">Tél : </w:t>
      </w:r>
    </w:p>
    <w:p w:rsidR="00C44E27" w:rsidRDefault="00C44E27" w:rsidP="00C44E27">
      <w:r>
        <w:t xml:space="preserve">Fax : </w:t>
      </w:r>
    </w:p>
    <w:p w:rsidR="00C44E27" w:rsidRDefault="00C44E27" w:rsidP="00C44E27">
      <w:r>
        <w:t xml:space="preserve">Courriel : </w:t>
      </w:r>
    </w:p>
    <w:p w:rsidR="00C44E27" w:rsidRDefault="00C44E27" w:rsidP="00C44E27">
      <w:r>
        <w:t>Indiquer les coordonnées de la personne référente sur cette consultation :</w:t>
      </w:r>
    </w:p>
    <w:p w:rsidR="00C44E27" w:rsidRDefault="00C44E27" w:rsidP="00C44E27">
      <w:r>
        <w:t>Numéro préfectoral de la société :</w:t>
      </w:r>
    </w:p>
    <w:p w:rsidR="00C44E27" w:rsidRDefault="00C44E27" w:rsidP="00C44E27">
      <w:r>
        <w:t>Effectifs de la société en France :</w:t>
      </w:r>
    </w:p>
    <w:p w:rsidR="00C44E27" w:rsidRDefault="00C44E27" w:rsidP="00C44E27">
      <w:r>
        <w:t>Effectifs de la société en Saône et Loire :</w:t>
      </w:r>
    </w:p>
    <w:p w:rsidR="00C44E27" w:rsidRDefault="00C44E27" w:rsidP="00C44E27">
      <w:r>
        <w:t>Le pourcentage du budget de la société consacré à la formation :</w:t>
      </w:r>
    </w:p>
    <w:p w:rsidR="00C44E27" w:rsidRDefault="00C44E27" w:rsidP="00C44E27">
      <w:r>
        <w:t>Taux turnover des agents de la société en % :</w:t>
      </w:r>
    </w:p>
    <w:p w:rsidR="00C44E27" w:rsidRPr="000D5F3F" w:rsidRDefault="00C44E27" w:rsidP="00C44E27"/>
    <w:p w:rsidR="00C44E27" w:rsidRDefault="00C44E27" w:rsidP="00C44E27">
      <w:r w:rsidRPr="000D5F3F">
        <w:rPr>
          <w:u w:val="single"/>
        </w:rPr>
        <w:t>Remplacement des agents</w:t>
      </w:r>
      <w:r w:rsidR="00E1134E">
        <w:t xml:space="preserve"> : 1</w:t>
      </w:r>
      <w:r>
        <w:t>5 points</w:t>
      </w:r>
    </w:p>
    <w:p w:rsidR="00C44E27" w:rsidRPr="00CA1DAB" w:rsidRDefault="00C44E27" w:rsidP="00C44E27">
      <w:pPr>
        <w:rPr>
          <w:color w:val="FF0000"/>
        </w:rPr>
      </w:pPr>
      <w:r>
        <w:t xml:space="preserve">Délai de remplacement d'un agent absent à la relève sur lequel s'engage la société : </w:t>
      </w:r>
    </w:p>
    <w:p w:rsidR="00C44E27" w:rsidRDefault="00C44E27" w:rsidP="00C44E27">
      <w:r>
        <w:t xml:space="preserve">Modalités détaillées de remplacement d'un agent absent à une relève : </w:t>
      </w:r>
    </w:p>
    <w:p w:rsidR="00C44E27" w:rsidRDefault="00C44E27" w:rsidP="00C44E27">
      <w:r>
        <w:t xml:space="preserve">Description du dispositif et de la procédure d'astreinte mis en place : </w:t>
      </w:r>
    </w:p>
    <w:p w:rsidR="00C44E27" w:rsidRDefault="00C44E27" w:rsidP="00C44E27">
      <w:r>
        <w:t xml:space="preserve">Moyens humains d'astreinte prévus : </w:t>
      </w:r>
    </w:p>
    <w:p w:rsidR="00C44E27" w:rsidRDefault="00C44E27" w:rsidP="00C44E27">
      <w:pPr>
        <w:rPr>
          <w:color w:val="FF0000"/>
        </w:rPr>
      </w:pPr>
      <w:r>
        <w:t xml:space="preserve">Dispositions exceptionnelles en cas de grève ou d'épidémie des agents pour assurer la prestation : </w:t>
      </w:r>
    </w:p>
    <w:p w:rsidR="00C44E27" w:rsidRPr="008E2366" w:rsidRDefault="00C44E27" w:rsidP="00C44E27">
      <w:pPr>
        <w:rPr>
          <w:color w:val="FF0000"/>
        </w:rPr>
      </w:pPr>
    </w:p>
    <w:p w:rsidR="00C44E27" w:rsidRDefault="00C44E27" w:rsidP="00C44E27">
      <w:r w:rsidRPr="00955F62">
        <w:rPr>
          <w:u w:val="single"/>
        </w:rPr>
        <w:t>Démarche qualité et sécurité</w:t>
      </w:r>
      <w:r w:rsidR="00E1134E">
        <w:t xml:space="preserve"> : 1</w:t>
      </w:r>
      <w:r>
        <w:t>5 points</w:t>
      </w:r>
      <w:r>
        <w:tab/>
      </w:r>
      <w:r>
        <w:tab/>
      </w:r>
    </w:p>
    <w:p w:rsidR="00C44E27" w:rsidRDefault="00C44E27" w:rsidP="00C44E27">
      <w:r>
        <w:t>Démarche qualité pour le suivi de la prestation</w:t>
      </w:r>
      <w:r>
        <w:tab/>
        <w:t xml:space="preserve">: </w:t>
      </w:r>
    </w:p>
    <w:p w:rsidR="00C44E27" w:rsidRDefault="00C44E27" w:rsidP="00C44E27">
      <w:r>
        <w:t xml:space="preserve">Analyse du risque concernant la sécurité (incendie, sureté) en milieu hospitalier : </w:t>
      </w:r>
      <w:r>
        <w:tab/>
      </w:r>
    </w:p>
    <w:p w:rsidR="00C44E27" w:rsidRDefault="00C44E27" w:rsidP="00C44E27"/>
    <w:p w:rsidR="00C44E27" w:rsidRDefault="00C44E27" w:rsidP="00C44E27">
      <w:r w:rsidRPr="00955F62">
        <w:rPr>
          <w:u w:val="single"/>
        </w:rPr>
        <w:t>Documents et moyens matériels, habillement</w:t>
      </w:r>
      <w:r w:rsidR="00E1134E">
        <w:t xml:space="preserve"> : 9</w:t>
      </w:r>
      <w:r>
        <w:t xml:space="preserve"> points</w:t>
      </w:r>
      <w:r>
        <w:tab/>
      </w:r>
      <w:r>
        <w:tab/>
      </w:r>
    </w:p>
    <w:p w:rsidR="00C44E27" w:rsidRDefault="00C44E27" w:rsidP="00C44E27">
      <w:r>
        <w:t>Un planning 3 agents défini 15 jours avant :</w:t>
      </w:r>
      <w:r>
        <w:rPr>
          <w:color w:val="FF0000"/>
        </w:rPr>
        <w:t xml:space="preserve"> </w:t>
      </w:r>
      <w:r>
        <w:tab/>
      </w:r>
    </w:p>
    <w:p w:rsidR="00C44E27" w:rsidRDefault="00C44E27" w:rsidP="00C44E27">
      <w:r>
        <w:t xml:space="preserve">Moyens matériels et habillement fournis : </w:t>
      </w:r>
      <w:r>
        <w:tab/>
      </w:r>
      <w:r>
        <w:tab/>
      </w:r>
    </w:p>
    <w:p w:rsidR="00C44E27" w:rsidRDefault="00C44E27" w:rsidP="00C44E27">
      <w:r>
        <w:t xml:space="preserve">Fiche de contrôle de site : </w:t>
      </w:r>
      <w:r>
        <w:tab/>
      </w:r>
      <w:r>
        <w:tab/>
      </w:r>
    </w:p>
    <w:p w:rsidR="00C44E27" w:rsidRPr="00CA1DAB" w:rsidRDefault="00C44E27" w:rsidP="00C44E27">
      <w:pPr>
        <w:rPr>
          <w:color w:val="FF0000"/>
        </w:rPr>
      </w:pPr>
      <w:r>
        <w:t>Une fiche de poste SSIAP 2 adaptée au type U :</w:t>
      </w:r>
      <w:r>
        <w:tab/>
      </w:r>
    </w:p>
    <w:p w:rsidR="00C44E27" w:rsidRDefault="00C44E27" w:rsidP="00C44E27">
      <w:r>
        <w:t>Une fiche de poste SSIAP 1 adaptée au type U :</w:t>
      </w:r>
      <w:r>
        <w:tab/>
      </w:r>
      <w:r>
        <w:tab/>
      </w:r>
      <w:r>
        <w:tab/>
      </w:r>
    </w:p>
    <w:p w:rsidR="00C44E27" w:rsidRDefault="00C44E27" w:rsidP="00C44E27"/>
    <w:p w:rsidR="00C44E27" w:rsidRDefault="00C44E27" w:rsidP="00C44E27">
      <w:r w:rsidRPr="001C5298">
        <w:rPr>
          <w:u w:val="single"/>
        </w:rPr>
        <w:t>Encadrement</w:t>
      </w:r>
      <w:r w:rsidR="00E1134E">
        <w:t xml:space="preserve"> : 6</w:t>
      </w:r>
      <w:r>
        <w:t xml:space="preserve"> points</w:t>
      </w:r>
      <w:r>
        <w:tab/>
      </w:r>
      <w:r>
        <w:tab/>
      </w:r>
    </w:p>
    <w:p w:rsidR="00C44E27" w:rsidRDefault="00C44E27" w:rsidP="00C44E27">
      <w:r>
        <w:lastRenderedPageBreak/>
        <w:t>Organisation de l'encadrement de l'agence dont dépend le CH Macon :</w:t>
      </w:r>
      <w:r>
        <w:tab/>
      </w:r>
    </w:p>
    <w:p w:rsidR="00C44E27" w:rsidRDefault="00C44E27" w:rsidP="00C44E27">
      <w:r>
        <w:t>Nombre de personnes d'encadrement de l'agence dont dépend le CH Macon :</w:t>
      </w:r>
      <w:r>
        <w:tab/>
      </w:r>
      <w:r>
        <w:tab/>
      </w:r>
    </w:p>
    <w:p w:rsidR="00C44E27" w:rsidRDefault="00C44E27" w:rsidP="00C44E27">
      <w:r>
        <w:t>Qualification et formation des personnes assurant l'encadrement au sein de l'agence dont dépend le Centre Hospitalier de Macon :</w:t>
      </w:r>
      <w:r>
        <w:tab/>
      </w:r>
    </w:p>
    <w:p w:rsidR="00C44E27" w:rsidRDefault="00C44E27" w:rsidP="00C44E27">
      <w:pPr>
        <w:rPr>
          <w:color w:val="FF0000"/>
        </w:rPr>
      </w:pPr>
      <w:r>
        <w:t xml:space="preserve">Détail des méthodes et procédures de contrôle interne effectuées par l’encadrement : </w:t>
      </w:r>
      <w:r w:rsidRPr="00612E3A">
        <w:rPr>
          <w:color w:val="FF0000"/>
        </w:rPr>
        <w:t xml:space="preserve"> </w:t>
      </w:r>
    </w:p>
    <w:p w:rsidR="00C44E27" w:rsidRDefault="00C44E27" w:rsidP="00C44E27"/>
    <w:p w:rsidR="00C44E27" w:rsidRDefault="00C44E27" w:rsidP="00C44E27">
      <w:r w:rsidRPr="001C5298">
        <w:rPr>
          <w:u w:val="single"/>
        </w:rPr>
        <w:t>Procédure d'investiture</w:t>
      </w:r>
      <w:r w:rsidR="00E1134E">
        <w:t xml:space="preserve"> : 9</w:t>
      </w:r>
      <w:r>
        <w:t xml:space="preserve"> points</w:t>
      </w:r>
      <w:r>
        <w:tab/>
      </w:r>
      <w:r>
        <w:tab/>
      </w:r>
    </w:p>
    <w:p w:rsidR="00C44E27" w:rsidRDefault="00C44E27" w:rsidP="00C44E27">
      <w:r>
        <w:t xml:space="preserve">Descriptif pour la mise en place de la prestation : </w:t>
      </w:r>
      <w:r>
        <w:tab/>
      </w:r>
      <w:r>
        <w:tab/>
      </w:r>
    </w:p>
    <w:p w:rsidR="00C44E27" w:rsidRDefault="00C44E27" w:rsidP="00C44E27">
      <w:r>
        <w:t>Détail des méthodes et procédures de contrôle interne de la prestation</w:t>
      </w:r>
      <w:r>
        <w:tab/>
        <w:t xml:space="preserve"> : </w:t>
      </w:r>
      <w:r>
        <w:tab/>
      </w:r>
    </w:p>
    <w:p w:rsidR="00C44E27" w:rsidRPr="00612E3A" w:rsidRDefault="00C44E27" w:rsidP="00C44E27">
      <w:pPr>
        <w:rPr>
          <w:color w:val="FF0000"/>
        </w:rPr>
      </w:pPr>
      <w:r>
        <w:t>Plan de prévention adapté au Type U :</w:t>
      </w:r>
      <w:r>
        <w:tab/>
      </w:r>
    </w:p>
    <w:p w:rsidR="00C44E27" w:rsidRDefault="00C44E27" w:rsidP="00C44E27"/>
    <w:p w:rsidR="00C44E27" w:rsidRDefault="00C44E27" w:rsidP="00C44E27">
      <w:r w:rsidRPr="00612E3A">
        <w:rPr>
          <w:u w:val="single"/>
        </w:rPr>
        <w:t>Profil des agents affectés au CH Macon</w:t>
      </w:r>
      <w:r w:rsidR="00E1134E">
        <w:t xml:space="preserve"> : 3</w:t>
      </w:r>
      <w:r>
        <w:t xml:space="preserve"> points                            </w:t>
      </w:r>
    </w:p>
    <w:p w:rsidR="00C44E27" w:rsidRDefault="00C44E27" w:rsidP="00C44E27">
      <w:r>
        <w:t xml:space="preserve">Nombre d'agents affectés au Centre Hospitalier : </w:t>
      </w:r>
    </w:p>
    <w:p w:rsidR="00C44E27" w:rsidRDefault="00C44E27" w:rsidP="00C44E27">
      <w:r>
        <w:t xml:space="preserve">Moyens mis en place pour le suivi des recyclages obligatoires des agents affectés sur le CH : </w:t>
      </w:r>
    </w:p>
    <w:p w:rsidR="00C44E27" w:rsidRDefault="00C44E27" w:rsidP="00C44E27">
      <w:r>
        <w:t xml:space="preserve">Formation interne ou externe pour le suivi des recyclages : </w:t>
      </w:r>
    </w:p>
    <w:p w:rsidR="00C44E27" w:rsidRDefault="00C44E27" w:rsidP="00C44E27"/>
    <w:p w:rsidR="00C44E27" w:rsidRPr="005362E9" w:rsidRDefault="00C44E27" w:rsidP="00C44E27">
      <w:r w:rsidRPr="001C5298">
        <w:rPr>
          <w:u w:val="single"/>
        </w:rPr>
        <w:t>Développement durable</w:t>
      </w:r>
      <w:r>
        <w:t xml:space="preserve"> : </w:t>
      </w:r>
      <w:r w:rsidR="00E1134E">
        <w:t>3</w:t>
      </w:r>
      <w:r w:rsidRPr="005362E9">
        <w:t xml:space="preserve"> points</w:t>
      </w:r>
    </w:p>
    <w:p w:rsidR="00C44E27" w:rsidRPr="001C5298" w:rsidRDefault="00C44E27" w:rsidP="00C44E27">
      <w:r>
        <w:t>Moyens mis en place :</w:t>
      </w:r>
      <w:r>
        <w:tab/>
      </w:r>
      <w:r>
        <w:tab/>
      </w:r>
    </w:p>
    <w:p w:rsidR="00955F62" w:rsidRPr="00C44E27" w:rsidRDefault="00955F62" w:rsidP="00C44E27"/>
    <w:sectPr w:rsidR="00955F62" w:rsidRPr="00C44E27" w:rsidSect="005362E9">
      <w:pgSz w:w="11906" w:h="16838"/>
      <w:pgMar w:top="426" w:right="849"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7C90"/>
    <w:multiLevelType w:val="hybridMultilevel"/>
    <w:tmpl w:val="BCC46046"/>
    <w:lvl w:ilvl="0" w:tplc="AB402F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3F"/>
    <w:rsid w:val="00025743"/>
    <w:rsid w:val="000D5F3F"/>
    <w:rsid w:val="001617AF"/>
    <w:rsid w:val="001C5298"/>
    <w:rsid w:val="004E2569"/>
    <w:rsid w:val="00955F62"/>
    <w:rsid w:val="00AB0FEC"/>
    <w:rsid w:val="00C44E27"/>
    <w:rsid w:val="00E113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6D07"/>
  <w15:docId w15:val="{0B26976E-E797-4C8D-B36A-7D4A5FA9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E2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D5F3F"/>
    <w:pPr>
      <w:autoSpaceDE w:val="0"/>
      <w:autoSpaceDN w:val="0"/>
      <w:adjustRightInd w:val="0"/>
      <w:spacing w:after="0" w:line="240" w:lineRule="auto"/>
    </w:pPr>
    <w:rPr>
      <w:rFonts w:ascii="Arial" w:hAnsi="Arial" w:cs="Arial"/>
      <w:color w:val="000000"/>
      <w:sz w:val="24"/>
      <w:szCs w:val="24"/>
    </w:rPr>
  </w:style>
  <w:style w:type="paragraph" w:customStyle="1" w:styleId="RedTitre">
    <w:name w:val="RedTitre"/>
    <w:basedOn w:val="Normal"/>
    <w:rsid w:val="001617AF"/>
    <w:pPr>
      <w:framePr w:hSpace="142" w:wrap="auto" w:vAnchor="text" w:hAnchor="text" w:xAlign="center" w:y="1"/>
      <w:widowControl w:val="0"/>
      <w:autoSpaceDE w:val="0"/>
      <w:autoSpaceDN w:val="0"/>
      <w:spacing w:after="0" w:line="240" w:lineRule="auto"/>
      <w:jc w:val="center"/>
    </w:pPr>
    <w:rPr>
      <w:rFonts w:ascii="Arial" w:eastAsia="Times New Roman" w:hAnsi="Arial" w:cs="Arial"/>
      <w:b/>
      <w:bCs/>
      <w:lang w:eastAsia="fr-FR"/>
    </w:rPr>
  </w:style>
  <w:style w:type="paragraph" w:customStyle="1" w:styleId="RedLiRub">
    <w:name w:val="RedLiRub"/>
    <w:basedOn w:val="Normal"/>
    <w:rsid w:val="001617AF"/>
    <w:pPr>
      <w:widowControl w:val="0"/>
      <w:autoSpaceDE w:val="0"/>
      <w:autoSpaceDN w:val="0"/>
      <w:spacing w:after="0" w:line="240" w:lineRule="auto"/>
    </w:pPr>
    <w:rPr>
      <w:rFonts w:ascii="Arial" w:eastAsia="Times New Roman" w:hAnsi="Arial" w:cs="Arial"/>
      <w:lang w:eastAsia="fr-FR"/>
    </w:rPr>
  </w:style>
  <w:style w:type="paragraph" w:customStyle="1" w:styleId="RedNomDoc">
    <w:name w:val="RedNomDoc"/>
    <w:basedOn w:val="Normal"/>
    <w:rsid w:val="001617AF"/>
    <w:pPr>
      <w:widowControl w:val="0"/>
      <w:autoSpaceDE w:val="0"/>
      <w:autoSpaceDN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rsid w:val="001617AF"/>
    <w:pPr>
      <w:framePr w:hSpace="142" w:wrap="auto" w:vAnchor="text" w:hAnchor="text" w:xAlign="center" w:y="1"/>
      <w:widowControl w:val="0"/>
      <w:autoSpaceDE w:val="0"/>
      <w:autoSpaceDN w:val="0"/>
      <w:spacing w:after="0" w:line="240" w:lineRule="auto"/>
      <w:jc w:val="center"/>
    </w:pPr>
    <w:rPr>
      <w:rFonts w:ascii="Arial" w:eastAsia="Times New Roman" w:hAnsi="Arial" w:cs="Arial"/>
      <w:b/>
      <w:bCs/>
      <w:lang w:eastAsia="fr-FR"/>
    </w:rPr>
  </w:style>
  <w:style w:type="paragraph" w:customStyle="1" w:styleId="xmsonormal">
    <w:name w:val="x_msonormal"/>
    <w:basedOn w:val="Normal"/>
    <w:rsid w:val="001617A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504</Words>
  <Characters>2773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Centre Hospitalier de Mâcon</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COLOMBO Laurent</dc:creator>
  <cp:lastModifiedBy>Carine BERGERET</cp:lastModifiedBy>
  <cp:revision>5</cp:revision>
  <dcterms:created xsi:type="dcterms:W3CDTF">2025-02-18T10:50:00Z</dcterms:created>
  <dcterms:modified xsi:type="dcterms:W3CDTF">2025-05-23T14:36:00Z</dcterms:modified>
</cp:coreProperties>
</file>