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ED5943">
            <w:pPr>
              <w:ind w:left="-70"/>
              <w:jc w:val="center"/>
              <w:rPr>
                <w:rFonts w:ascii="Arial" w:hAnsi="Arial" w:cs="Arial"/>
              </w:rPr>
            </w:pPr>
            <w:r>
              <w:rPr>
                <w:rFonts w:ascii="Arial" w:hAnsi="Arial" w:cs="Arial"/>
                <w:noProof/>
              </w:rPr>
              <w:drawing>
                <wp:anchor distT="0" distB="0" distL="114300" distR="114300" simplePos="0" relativeHeight="251658240" behindDoc="0" locked="0" layoutInCell="1" allowOverlap="1" wp14:editId="6DF4E1B9">
                  <wp:simplePos x="0" y="0"/>
                  <wp:positionH relativeFrom="column">
                    <wp:posOffset>-51840</wp:posOffset>
                  </wp:positionH>
                  <wp:positionV relativeFrom="paragraph">
                    <wp:posOffset>12065</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B34EB6">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453834">
              <w:rPr>
                <w:rFonts w:ascii="Arial" w:hAnsi="Arial" w:cs="Arial"/>
                <w:b/>
                <w:sz w:val="24"/>
              </w:rPr>
              <w:t>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ED5943">
              <w:rPr>
                <w:rFonts w:ascii="Arial" w:hAnsi="Arial" w:cs="Arial"/>
                <w:b/>
                <w:sz w:val="24"/>
              </w:rPr>
              <w:t>23</w:t>
            </w:r>
            <w:r w:rsidR="00B34EB6">
              <w:rPr>
                <w:rFonts w:ascii="Arial" w:hAnsi="Arial" w:cs="Arial"/>
                <w:b/>
                <w:sz w:val="24"/>
              </w:rPr>
              <w:t>6</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ED5943">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B34EB6">
            <w:pPr>
              <w:spacing w:before="60" w:after="60"/>
              <w:jc w:val="both"/>
              <w:rPr>
                <w:rFonts w:ascii="Arial" w:hAnsi="Arial" w:cs="Arial"/>
                <w:b/>
              </w:rPr>
            </w:pPr>
            <w:r w:rsidRPr="00EE2373">
              <w:rPr>
                <w:rFonts w:ascii="Arial" w:hAnsi="Arial" w:cs="Arial"/>
                <w:b/>
              </w:rPr>
              <w:t>Objet :</w:t>
            </w:r>
            <w:r w:rsidR="001329D9">
              <w:rPr>
                <w:rFonts w:ascii="Arial" w:hAnsi="Arial" w:cs="Arial"/>
                <w:b/>
              </w:rPr>
              <w:t xml:space="preserve"> </w:t>
            </w:r>
            <w:r w:rsidR="009A4A4F" w:rsidRPr="009A4A4F">
              <w:rPr>
                <w:rFonts w:ascii="Arial" w:hAnsi="Arial" w:cs="Arial"/>
                <w:b/>
              </w:rPr>
              <w:t xml:space="preserve">Approvisionnement </w:t>
            </w:r>
            <w:r w:rsidR="006B46A7" w:rsidRPr="006B46A7">
              <w:rPr>
                <w:rFonts w:ascii="Arial" w:hAnsi="Arial" w:cs="Arial"/>
                <w:b/>
              </w:rPr>
              <w:t xml:space="preserve">de divers produits et consommables destinés au traitement de l’eau de consommation humaine </w:t>
            </w:r>
            <w:bookmarkStart w:id="0" w:name="_GoBack"/>
            <w:bookmarkEnd w:id="0"/>
            <w:r w:rsidR="009A4A4F" w:rsidRPr="009A4A4F">
              <w:rPr>
                <w:rFonts w:ascii="Arial" w:hAnsi="Arial" w:cs="Arial"/>
                <w:b/>
              </w:rPr>
              <w:t>(EDCH) au profit de la Marine Nationale.</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F23DEC" w:rsidRDefault="00D57C8E">
            <w:pPr>
              <w:spacing w:before="60" w:after="60"/>
              <w:jc w:val="center"/>
              <w:rPr>
                <w:rFonts w:ascii="Arial" w:hAnsi="Arial" w:cs="Arial"/>
                <w:b/>
                <w:bCs/>
              </w:rPr>
            </w:pPr>
            <w:r w:rsidRPr="00EE2373">
              <w:rPr>
                <w:rFonts w:ascii="Arial" w:hAnsi="Arial" w:cs="Arial"/>
                <w:b/>
                <w:bCs/>
              </w:rPr>
              <w:t>TTC</w:t>
            </w:r>
          </w:p>
          <w:p w:rsidR="00D57C8E" w:rsidRPr="00F23DEC" w:rsidRDefault="00D57C8E" w:rsidP="00F76E44">
            <w:pPr>
              <w:rPr>
                <w:rFonts w:ascii="Arial" w:hAnsi="Arial" w:cs="Arial"/>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D57C8E" w:rsidRPr="00F23DEC" w:rsidRDefault="00D57C8E" w:rsidP="00F76E44">
            <w:pPr>
              <w:rPr>
                <w:rFonts w:ascii="Arial" w:hAnsi="Arial" w:cs="Arial"/>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EC533C" w:rsidRDefault="00EC533C" w:rsidP="00F20863">
            <w:pPr>
              <w:jc w:val="right"/>
              <w:rPr>
                <w:rFonts w:ascii="Arial" w:hAnsi="Arial" w:cs="Arial"/>
              </w:rPr>
            </w:pPr>
          </w:p>
          <w:p w:rsidR="00453834" w:rsidRDefault="00453834" w:rsidP="00EC533C">
            <w:pPr>
              <w:rPr>
                <w:rFonts w:ascii="Arial" w:hAnsi="Arial" w:cs="Arial"/>
              </w:rPr>
            </w:pPr>
          </w:p>
          <w:p w:rsidR="00453834" w:rsidRPr="00453834" w:rsidRDefault="00453834" w:rsidP="00453834">
            <w:pPr>
              <w:rPr>
                <w:rFonts w:ascii="Arial" w:hAnsi="Arial" w:cs="Arial"/>
              </w:rPr>
            </w:pPr>
          </w:p>
          <w:p w:rsidR="00D57C8E" w:rsidRPr="00453834" w:rsidRDefault="00D57C8E" w:rsidP="00453834">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rsidR="00EF594B" w:rsidRDefault="00517477" w:rsidP="00517477">
            <w:pPr>
              <w:pStyle w:val="Notedebasdepage"/>
              <w:tabs>
                <w:tab w:val="left" w:pos="4875"/>
              </w:tabs>
              <w:rPr>
                <w:rFonts w:ascii="Arial" w:hAnsi="Arial" w:cs="Arial"/>
              </w:rPr>
            </w:pPr>
            <w:r w:rsidRPr="00EE2373">
              <w:rPr>
                <w:rFonts w:ascii="Arial" w:hAnsi="Arial" w:cs="Arial"/>
              </w:rPr>
              <w:tab/>
            </w:r>
          </w:p>
          <w:p w:rsidR="00D57C8E" w:rsidRDefault="00D57C8E" w:rsidP="00F76E44"/>
          <w:p w:rsidR="00F76E44" w:rsidRDefault="00F76E44" w:rsidP="00F76E44"/>
          <w:p w:rsidR="00F76E44" w:rsidRDefault="00F76E44" w:rsidP="00F76E44"/>
          <w:p w:rsidR="00F76E44" w:rsidRDefault="00F76E44" w:rsidP="00F76E44"/>
          <w:p w:rsidR="00F76E44" w:rsidRPr="00F23DEC" w:rsidRDefault="00F76E44" w:rsidP="00F76E44"/>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B34EB6" w:rsidP="00B34EB6">
            <w:pPr>
              <w:spacing w:before="40"/>
              <w:jc w:val="center"/>
              <w:rPr>
                <w:rFonts w:ascii="Arial" w:hAnsi="Arial" w:cs="Arial"/>
                <w:b/>
                <w:bCs/>
              </w:rPr>
            </w:pPr>
            <w:r>
              <w:rPr>
                <w:rFonts w:ascii="Arial" w:hAnsi="Arial" w:cs="Arial"/>
                <w:b/>
                <w:bCs/>
              </w:rPr>
              <w:t>163</w:t>
            </w:r>
            <w:r w:rsidR="00ED5943">
              <w:rPr>
                <w:rFonts w:ascii="Arial" w:hAnsi="Arial" w:cs="Arial"/>
                <w:b/>
                <w:bCs/>
              </w:rPr>
              <w:t>0</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C064C3">
            <w:pPr>
              <w:spacing w:before="40"/>
              <w:jc w:val="center"/>
              <w:rPr>
                <w:rFonts w:ascii="Arial" w:hAnsi="Arial" w:cs="Arial"/>
                <w:b/>
                <w:bCs/>
              </w:rPr>
            </w:pPr>
            <w:r w:rsidRPr="001329D9">
              <w:rPr>
                <w:rFonts w:ascii="Arial" w:hAnsi="Arial" w:cs="Arial"/>
                <w:b/>
                <w:bCs/>
              </w:rPr>
              <w:t>2</w:t>
            </w:r>
            <w:r w:rsidR="00ED5943">
              <w:rPr>
                <w:rFonts w:ascii="Arial" w:hAnsi="Arial" w:cs="Arial"/>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définitifs.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de </w:t>
      </w:r>
      <w:r w:rsidR="004C3A43" w:rsidRPr="004C3A43">
        <w:rPr>
          <w:rFonts w:cs="Arial"/>
          <w:sz w:val="22"/>
          <w:szCs w:val="22"/>
          <w:lang w:val="fr-FR"/>
        </w:rPr>
        <w:t>jui</w:t>
      </w:r>
      <w:r w:rsidR="00DF7259">
        <w:rPr>
          <w:rFonts w:cs="Arial"/>
          <w:sz w:val="22"/>
          <w:szCs w:val="22"/>
          <w:lang w:val="fr-FR"/>
        </w:rPr>
        <w:t>n</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Pr="00BA5DF3" w:rsidRDefault="00BA5DF3" w:rsidP="00A40037">
      <w:pPr>
        <w:tabs>
          <w:tab w:val="left" w:pos="851"/>
          <w:tab w:val="left" w:pos="4678"/>
        </w:tabs>
        <w:spacing w:before="60" w:after="120"/>
        <w:ind w:left="425" w:right="-28"/>
        <w:jc w:val="both"/>
        <w:rPr>
          <w:rFonts w:ascii="Arial" w:hAnsi="Arial" w:cs="Arial"/>
          <w:b/>
          <w:bCs/>
          <w:sz w:val="22"/>
          <w:szCs w:val="22"/>
        </w:rPr>
      </w:pPr>
      <w:r>
        <w:rPr>
          <w:rFonts w:ascii="Arial" w:hAnsi="Arial" w:cs="Arial"/>
          <w:b/>
          <w:bCs/>
          <w:sz w:val="22"/>
          <w:szCs w:val="22"/>
        </w:rPr>
        <w:t>2.3</w:t>
      </w:r>
      <w:r w:rsidR="00A40037">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A40037">
      <w:pPr>
        <w:pStyle w:val="Corpsdetexte"/>
        <w:spacing w:line="240" w:lineRule="auto"/>
        <w:ind w:left="567" w:right="-114"/>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A40037">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A40037">
      <w:pPr>
        <w:pStyle w:val="Listepuces"/>
        <w:rPr>
          <w:rFonts w:ascii="Arial" w:hAnsi="Arial" w:cs="Arial"/>
        </w:rPr>
      </w:pPr>
      <w:r w:rsidRPr="00EE2373">
        <w:rPr>
          <w:rFonts w:ascii="Arial" w:hAnsi="Arial" w:cs="Arial"/>
        </w:rPr>
        <w:t xml:space="preserve">ou </w:t>
      </w:r>
    </w:p>
    <w:p w:rsidR="005A16B4" w:rsidRPr="00EE2373" w:rsidRDefault="005A16B4" w:rsidP="00A40037">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DF7259" w:rsidRPr="00DF7259" w:rsidRDefault="00DF7259" w:rsidP="00DF7259">
      <w:pPr>
        <w:ind w:left="567"/>
        <w:jc w:val="both"/>
        <w:rPr>
          <w:rFonts w:ascii="Arial" w:hAnsi="Arial" w:cs="Arial"/>
          <w:sz w:val="22"/>
          <w:szCs w:val="22"/>
          <w:lang w:val="x-none" w:eastAsia="x-none"/>
        </w:rPr>
      </w:pPr>
      <w:r w:rsidRPr="00DF7259">
        <w:rPr>
          <w:rFonts w:ascii="Arial" w:hAnsi="Arial" w:cs="Arial"/>
          <w:sz w:val="22"/>
          <w:szCs w:val="22"/>
          <w:lang w:val="x-none" w:eastAsia="x-none"/>
        </w:rPr>
        <w:t>Quelle que soit la durée de la prestation servant d’assiette de calcul de l’avance, le remboursement débute :</w:t>
      </w:r>
    </w:p>
    <w:p w:rsidR="00DF7259" w:rsidRPr="00DF7259" w:rsidRDefault="00DF7259" w:rsidP="00DF7259">
      <w:pPr>
        <w:ind w:left="567"/>
        <w:jc w:val="both"/>
        <w:rPr>
          <w:rFonts w:ascii="Arial" w:hAnsi="Arial" w:cs="Arial"/>
          <w:sz w:val="22"/>
          <w:szCs w:val="22"/>
          <w:lang w:val="x-none" w:eastAsia="x-none"/>
        </w:rPr>
      </w:pPr>
    </w:p>
    <w:p w:rsidR="00DF7259" w:rsidRPr="00DF7259" w:rsidRDefault="00DF7259" w:rsidP="00DF7259">
      <w:pPr>
        <w:ind w:left="567"/>
        <w:jc w:val="both"/>
        <w:rPr>
          <w:rFonts w:ascii="Arial" w:hAnsi="Arial" w:cs="Arial"/>
          <w:sz w:val="22"/>
          <w:szCs w:val="22"/>
          <w:lang w:val="x-none" w:eastAsia="x-none"/>
        </w:rPr>
      </w:pPr>
      <w:r w:rsidRPr="00DF7259">
        <w:rPr>
          <w:rFonts w:ascii="Arial" w:hAnsi="Arial" w:cs="Arial"/>
          <w:sz w:val="22"/>
          <w:szCs w:val="22"/>
          <w:lang w:val="x-none" w:eastAsia="x-none"/>
        </w:rPr>
        <w:t>1° Lorsque le taux d’avance est inférieur ou égal à 30 %, quand le montant des prestations exécutées atteint 50 % du montant TTC du marché ;</w:t>
      </w:r>
    </w:p>
    <w:p w:rsidR="00DF7259" w:rsidRPr="00DF7259" w:rsidRDefault="00DF7259" w:rsidP="00DF7259">
      <w:pPr>
        <w:ind w:left="567"/>
        <w:jc w:val="both"/>
        <w:rPr>
          <w:rFonts w:ascii="Arial" w:hAnsi="Arial" w:cs="Arial"/>
          <w:sz w:val="22"/>
          <w:szCs w:val="22"/>
          <w:lang w:val="x-none" w:eastAsia="x-none"/>
        </w:rPr>
      </w:pPr>
    </w:p>
    <w:p w:rsidR="00DF7259" w:rsidRPr="00DF7259" w:rsidRDefault="00DF7259" w:rsidP="00DF7259">
      <w:pPr>
        <w:ind w:left="567"/>
        <w:jc w:val="both"/>
        <w:rPr>
          <w:rFonts w:ascii="Arial" w:hAnsi="Arial" w:cs="Arial"/>
          <w:sz w:val="22"/>
          <w:szCs w:val="22"/>
          <w:lang w:val="x-none" w:eastAsia="x-none"/>
        </w:rPr>
      </w:pPr>
      <w:r w:rsidRPr="00DF7259">
        <w:rPr>
          <w:rFonts w:ascii="Arial" w:hAnsi="Arial" w:cs="Arial"/>
          <w:sz w:val="22"/>
          <w:szCs w:val="22"/>
          <w:lang w:val="x-none" w:eastAsia="x-none"/>
        </w:rPr>
        <w:t>2° Lorsque le taux d’avance est supérieur à 30 % du montant TTC du marché, dès la première demande de paiement.</w:t>
      </w:r>
    </w:p>
    <w:p w:rsidR="00DF7259" w:rsidRPr="00DF7259" w:rsidRDefault="00DF7259" w:rsidP="00DF7259">
      <w:pPr>
        <w:ind w:left="567"/>
        <w:jc w:val="both"/>
        <w:rPr>
          <w:rFonts w:ascii="Arial" w:hAnsi="Arial" w:cs="Arial"/>
          <w:sz w:val="22"/>
          <w:szCs w:val="22"/>
          <w:lang w:val="x-none" w:eastAsia="x-none"/>
        </w:rPr>
      </w:pPr>
      <w:r w:rsidRPr="00DF7259">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DF7259" w:rsidRPr="00DF7259" w:rsidRDefault="00DF7259" w:rsidP="00DF7259">
      <w:pPr>
        <w:ind w:left="567"/>
        <w:jc w:val="both"/>
        <w:rPr>
          <w:rFonts w:ascii="Arial" w:hAnsi="Arial" w:cs="Arial"/>
          <w:sz w:val="22"/>
          <w:szCs w:val="22"/>
          <w:lang w:val="x-none" w:eastAsia="x-none"/>
        </w:rPr>
      </w:pPr>
    </w:p>
    <w:p w:rsidR="00EA5631" w:rsidRPr="00021A43" w:rsidRDefault="00DF7259" w:rsidP="00DF7259">
      <w:pPr>
        <w:ind w:left="567"/>
        <w:jc w:val="both"/>
        <w:rPr>
          <w:rFonts w:ascii="Arial" w:hAnsi="Arial" w:cs="Arial"/>
          <w:sz w:val="22"/>
          <w:szCs w:val="22"/>
          <w:lang w:val="x-none" w:eastAsia="x-none"/>
        </w:rPr>
      </w:pPr>
      <w:r w:rsidRPr="00DF7259">
        <w:rPr>
          <w:rFonts w:ascii="Arial" w:hAnsi="Arial" w:cs="Arial"/>
          <w:sz w:val="22"/>
          <w:szCs w:val="22"/>
          <w:lang w:val="x-none" w:eastAsia="x-none"/>
        </w:rPr>
        <w:t>Ces stipulations ne peuvent faire obstacle à la récupération d’un éventuel trop-perçu auprès du titulaire.</w:t>
      </w:r>
    </w:p>
    <w:p w:rsidR="00D57C8E" w:rsidRPr="00EE2373" w:rsidRDefault="00D57C8E">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F7259" w:rsidRPr="00DF7259" w:rsidRDefault="00DF7259" w:rsidP="00DF7259"/>
    <w:p w:rsidR="00D57C8E" w:rsidRPr="00EE2373" w:rsidRDefault="00D57C8E" w:rsidP="00A40037">
      <w:pPr>
        <w:pStyle w:val="Paragraphe1"/>
        <w:spacing w:after="120"/>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lastRenderedPageBreak/>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F7259" w:rsidRPr="00EE2373" w:rsidRDefault="00DF7259" w:rsidP="00B500D8">
      <w:pPr>
        <w:pStyle w:val="Paragraphe1"/>
        <w:spacing w:before="0" w:after="0"/>
        <w:ind w:left="567" w:right="-28"/>
        <w:rPr>
          <w:rFonts w:ascii="Arial" w:hAnsi="Arial" w:cs="Arial"/>
          <w:b/>
          <w:bCs/>
          <w:sz w:val="22"/>
        </w:rPr>
      </w:pP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2 - la date de l’admission des fournitures</w:t>
      </w:r>
      <w:r w:rsidR="00A40037">
        <w:rPr>
          <w:rFonts w:ascii="Arial" w:hAnsi="Arial" w:cs="Arial"/>
          <w:b w:val="0"/>
          <w:bCs/>
          <w:color w:val="auto"/>
          <w:szCs w:val="22"/>
          <w:u w:val="none"/>
        </w:rPr>
        <w:t>.</w:t>
      </w:r>
      <w:r w:rsidRPr="00EE2373">
        <w:rPr>
          <w:rFonts w:ascii="Arial" w:hAnsi="Arial" w:cs="Arial"/>
          <w:b w:val="0"/>
          <w:bCs/>
          <w:color w:val="auto"/>
          <w:szCs w:val="22"/>
          <w:u w:val="none"/>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rsidR="007F0DF0" w:rsidRPr="00540FB0"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A40037">
      <w:pPr>
        <w:ind w:left="567"/>
        <w:jc w:val="both"/>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w:t>
      </w:r>
    </w:p>
    <w:p w:rsidR="006703B6" w:rsidRDefault="003C24A4" w:rsidP="00A40037">
      <w:pPr>
        <w:pStyle w:val="Puce1"/>
        <w:numPr>
          <w:ilvl w:val="0"/>
          <w:numId w:val="0"/>
        </w:numPr>
        <w:ind w:left="567" w:right="-28"/>
        <w:jc w:val="both"/>
        <w:rPr>
          <w:rFonts w:ascii="Arial" w:hAnsi="Arial" w:cs="Arial"/>
          <w:sz w:val="22"/>
          <w:szCs w:val="22"/>
        </w:rPr>
      </w:pPr>
      <w:r w:rsidRPr="00EE2373">
        <w:rPr>
          <w:rFonts w:ascii="Arial" w:hAnsi="Arial" w:cs="Arial"/>
          <w:sz w:val="22"/>
          <w:szCs w:val="22"/>
        </w:rPr>
        <w:t>Les délais exprimés en jour</w:t>
      </w:r>
      <w:r w:rsidR="006703B6">
        <w:rPr>
          <w:rFonts w:ascii="Arial" w:hAnsi="Arial" w:cs="Arial"/>
          <w:sz w:val="22"/>
          <w:szCs w:val="22"/>
        </w:rPr>
        <w:t>s</w:t>
      </w:r>
    </w:p>
    <w:p w:rsidR="003C24A4" w:rsidRDefault="003C24A4" w:rsidP="00A40037">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F7259" w:rsidRPr="007F0DF0" w:rsidRDefault="00DF7259" w:rsidP="003C24A4">
      <w:pPr>
        <w:pStyle w:val="Puce1"/>
        <w:numPr>
          <w:ilvl w:val="0"/>
          <w:numId w:val="0"/>
        </w:numPr>
        <w:ind w:left="567" w:right="-28"/>
        <w:jc w:val="both"/>
        <w:rPr>
          <w:rFonts w:ascii="Arial" w:hAnsi="Arial" w:cs="Arial"/>
          <w:b/>
          <w:sz w:val="22"/>
          <w:szCs w:val="22"/>
        </w:rPr>
      </w:pP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rsidP="00A40037">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A40037">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A40037">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lastRenderedPageBreak/>
        <w:t>Le titulaire s'engage, par ailleurs, à ne pas grouper dans un même colis ou sur une même palette des fournitures livrées au titre de marchés différents.</w:t>
      </w:r>
    </w:p>
    <w:p w:rsidR="00D57C8E" w:rsidRDefault="00D57C8E" w:rsidP="00A40037">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F7259" w:rsidRPr="00EE2373" w:rsidRDefault="00DF7259">
      <w:pPr>
        <w:tabs>
          <w:tab w:val="left" w:pos="993"/>
          <w:tab w:val="left" w:pos="1560"/>
          <w:tab w:val="left" w:pos="2268"/>
        </w:tabs>
        <w:spacing w:before="120"/>
        <w:ind w:left="567" w:right="-28"/>
        <w:jc w:val="both"/>
        <w:rPr>
          <w:rFonts w:ascii="Arial" w:hAnsi="Arial" w:cs="Arial"/>
          <w:sz w:val="22"/>
          <w:szCs w:val="22"/>
        </w:rPr>
      </w:pP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7.9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lastRenderedPageBreak/>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9pt;height:17.9pt" o:ole="" filled="t">
            <v:fill opacity=".5"/>
            <v:imagedata r:id="rId15" o:title=""/>
          </v:shape>
          <w:control r:id="rId16"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rsidR="00DF7259" w:rsidRPr="00DF7259" w:rsidRDefault="00DF7259" w:rsidP="00DF7259"/>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F7259" w:rsidRPr="00EE2373" w:rsidRDefault="00DF7259" w:rsidP="00D46677">
      <w:pPr>
        <w:pStyle w:val="Paragraphe1"/>
        <w:ind w:left="567"/>
        <w:rPr>
          <w:rFonts w:ascii="Arial" w:hAnsi="Arial" w:cs="Arial"/>
          <w:sz w:val="22"/>
        </w:rPr>
      </w:pP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8pt;height:27.5pt" o:ole="" fillcolor="window">
            <v:imagedata r:id="rId17" o:title=""/>
          </v:shape>
          <o:OLEObject Type="Embed" ProgID="Equation.3" ShapeID="_x0000_i1029" DrawAspect="Content" ObjectID="_1809417062" r:id="rId18"/>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rsidP="00EE254C">
      <w:pPr>
        <w:pStyle w:val="Corpsdetexte"/>
        <w:spacing w:line="240" w:lineRule="auto"/>
        <w:ind w:left="567"/>
        <w:jc w:val="both"/>
        <w:rPr>
          <w:rFonts w:cs="Arial"/>
          <w:sz w:val="22"/>
          <w:szCs w:val="22"/>
        </w:rPr>
      </w:pPr>
      <w:r w:rsidRPr="00EE2373">
        <w:rPr>
          <w:rFonts w:cs="Arial"/>
          <w:sz w:val="22"/>
          <w:szCs w:val="22"/>
        </w:rPr>
        <w:t xml:space="preserve">P = montant de la pénalité </w:t>
      </w:r>
    </w:p>
    <w:p w:rsidR="00D57C8E" w:rsidRPr="00EE2373" w:rsidRDefault="00D57C8E" w:rsidP="00EE254C">
      <w:pPr>
        <w:pStyle w:val="Corpsdetexte"/>
        <w:spacing w:line="240" w:lineRule="auto"/>
        <w:ind w:left="567"/>
        <w:jc w:val="both"/>
        <w:rPr>
          <w:rFonts w:cs="Arial"/>
          <w:sz w:val="22"/>
          <w:szCs w:val="22"/>
        </w:rPr>
      </w:pPr>
      <w:r w:rsidRPr="00EE2373">
        <w:rPr>
          <w:rFonts w:cs="Arial"/>
          <w:sz w:val="22"/>
          <w:szCs w:val="22"/>
        </w:rPr>
        <w:t>V = valeur pénalisée (montant HT des fournitures en retard, cf. ci-dessous)</w:t>
      </w:r>
    </w:p>
    <w:p w:rsidR="00D57C8E" w:rsidRPr="00EE2373" w:rsidRDefault="00D57C8E" w:rsidP="00EE254C">
      <w:pPr>
        <w:pStyle w:val="Corpsdetexte"/>
        <w:spacing w:line="240" w:lineRule="auto"/>
        <w:ind w:left="567"/>
        <w:jc w:val="both"/>
        <w:rPr>
          <w:rFonts w:cs="Arial"/>
          <w:sz w:val="22"/>
          <w:szCs w:val="22"/>
        </w:rPr>
      </w:pPr>
      <w:r w:rsidRPr="00EE2373">
        <w:rPr>
          <w:rFonts w:cs="Arial"/>
          <w:sz w:val="22"/>
          <w:szCs w:val="22"/>
        </w:rPr>
        <w:t>R = nombre de jours de retard.</w:t>
      </w:r>
    </w:p>
    <w:p w:rsidR="00D57C8E" w:rsidRPr="00EE2373" w:rsidRDefault="00D57C8E" w:rsidP="00EE254C">
      <w:pPr>
        <w:pStyle w:val="Corpsdetexte"/>
        <w:spacing w:line="240" w:lineRule="auto"/>
        <w:ind w:left="567"/>
        <w:jc w:val="both"/>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EE254C">
      <w:pPr>
        <w:pStyle w:val="Corpsdetexte"/>
        <w:spacing w:line="240" w:lineRule="auto"/>
        <w:ind w:left="567"/>
        <w:jc w:val="both"/>
        <w:rPr>
          <w:rFonts w:cs="Arial"/>
          <w:b/>
          <w:sz w:val="22"/>
          <w:szCs w:val="22"/>
        </w:rPr>
      </w:pPr>
    </w:p>
    <w:p w:rsidR="00676CF1" w:rsidRDefault="00676CF1" w:rsidP="00EE254C">
      <w:pPr>
        <w:pStyle w:val="Corpsdetexte"/>
        <w:spacing w:line="240" w:lineRule="auto"/>
        <w:ind w:left="567"/>
        <w:jc w:val="both"/>
        <w:rPr>
          <w:sz w:val="22"/>
          <w:szCs w:val="22"/>
        </w:rPr>
      </w:pPr>
      <w:bookmarkStart w:id="6" w:name="_Toc433893583"/>
      <w:r>
        <w:rPr>
          <w:sz w:val="22"/>
          <w:szCs w:val="22"/>
        </w:rPr>
        <w:t>Par dérogation au CCAG-FCS :</w:t>
      </w:r>
    </w:p>
    <w:p w:rsidR="00676CF1" w:rsidRDefault="00676CF1" w:rsidP="00EE254C">
      <w:pPr>
        <w:pStyle w:val="Corpsdetexte"/>
        <w:numPr>
          <w:ilvl w:val="0"/>
          <w:numId w:val="14"/>
        </w:numPr>
        <w:tabs>
          <w:tab w:val="clear" w:pos="360"/>
        </w:tabs>
        <w:spacing w:line="240" w:lineRule="auto"/>
        <w:ind w:left="567" w:firstLine="0"/>
        <w:jc w:val="both"/>
        <w:rPr>
          <w:sz w:val="22"/>
          <w:szCs w:val="22"/>
        </w:rPr>
      </w:pPr>
      <w:r>
        <w:rPr>
          <w:sz w:val="22"/>
          <w:szCs w:val="22"/>
        </w:rPr>
        <w:t>Les pénalités sont appliquées sans procédure contradictoire préalable (art. 14.1.1 du CCAG)</w:t>
      </w:r>
    </w:p>
    <w:p w:rsidR="00676CF1" w:rsidRDefault="00676CF1" w:rsidP="00EE254C">
      <w:pPr>
        <w:pStyle w:val="Corpsdetexte"/>
        <w:numPr>
          <w:ilvl w:val="0"/>
          <w:numId w:val="14"/>
        </w:numPr>
        <w:tabs>
          <w:tab w:val="clear" w:pos="360"/>
        </w:tabs>
        <w:spacing w:line="240" w:lineRule="auto"/>
        <w:ind w:left="567" w:firstLine="0"/>
        <w:jc w:val="both"/>
        <w:rPr>
          <w:sz w:val="22"/>
          <w:szCs w:val="22"/>
        </w:rPr>
      </w:pPr>
      <w:r>
        <w:rPr>
          <w:sz w:val="22"/>
          <w:szCs w:val="22"/>
        </w:rPr>
        <w:t>Le plafonnement des pénalités n’est pas applicable (article 14.1.2 du CCAG)</w:t>
      </w:r>
    </w:p>
    <w:p w:rsidR="00676CF1" w:rsidRPr="00340F60" w:rsidRDefault="00676CF1" w:rsidP="00EE254C">
      <w:pPr>
        <w:pStyle w:val="Corpsdetexte"/>
        <w:numPr>
          <w:ilvl w:val="0"/>
          <w:numId w:val="14"/>
        </w:numPr>
        <w:tabs>
          <w:tab w:val="clear" w:pos="360"/>
        </w:tabs>
        <w:spacing w:line="240" w:lineRule="auto"/>
        <w:ind w:left="567" w:firstLine="0"/>
        <w:jc w:val="both"/>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13.3.3 du CCAG-FCS, le pouvoir adjudicateur dispose d’un délai de 1 mois, à compter de la date de réception de la demande du titulaire, pour lui notifier sa décision.</w:t>
      </w:r>
    </w:p>
    <w:p w:rsidR="00A80196" w:rsidRPr="00EE2373" w:rsidRDefault="00A80196" w:rsidP="00A80196">
      <w:pPr>
        <w:spacing w:before="120"/>
        <w:ind w:left="426"/>
        <w:jc w:val="both"/>
        <w:rPr>
          <w:rFonts w:ascii="Arial" w:hAnsi="Arial" w:cs="Arial"/>
          <w:sz w:val="22"/>
          <w:szCs w:val="22"/>
        </w:rPr>
      </w:pP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lastRenderedPageBreak/>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25</w:t>
    </w:r>
    <w:r w:rsidRPr="001329D9">
      <w:rPr>
        <w:rStyle w:val="Numrodepage"/>
        <w:rFonts w:ascii="Arial" w:hAnsi="Arial" w:cs="Arial"/>
      </w:rPr>
      <w:t xml:space="preserve"> B </w:t>
    </w:r>
    <w:r w:rsidR="00F20863">
      <w:rPr>
        <w:rStyle w:val="Numrodepage"/>
        <w:rFonts w:ascii="Arial" w:hAnsi="Arial" w:cs="Arial"/>
      </w:rPr>
      <w:t>00</w:t>
    </w:r>
    <w:r w:rsidR="00ED5943">
      <w:rPr>
        <w:rStyle w:val="Numrodepage"/>
        <w:rFonts w:ascii="Arial" w:hAnsi="Arial" w:cs="Arial"/>
      </w:rPr>
      <w:t>23</w:t>
    </w:r>
    <w:r w:rsidR="00B34EB6">
      <w:rPr>
        <w:rStyle w:val="Numrodepage"/>
        <w:rFonts w:ascii="Arial" w:hAnsi="Arial" w:cs="Arial"/>
      </w:rPr>
      <w:t>6</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6B46A7">
      <w:rPr>
        <w:rStyle w:val="Numrodepage"/>
        <w:rFonts w:ascii="Arial" w:hAnsi="Arial" w:cs="Arial"/>
        <w:noProof/>
      </w:rPr>
      <w:t>4</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6B46A7">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F23DEC">
      <w:rPr>
        <w:rStyle w:val="Numrodepage"/>
        <w:rFonts w:ascii="Arial" w:hAnsi="Arial" w:cs="Arial"/>
        <w:i/>
        <w:iCs/>
        <w:noProof/>
        <w:sz w:val="16"/>
        <w:szCs w:val="16"/>
      </w:rPr>
      <w:t>31</w:t>
    </w:r>
    <w:r w:rsidR="00262746" w:rsidRPr="001329D9">
      <w:rPr>
        <w:rStyle w:val="Numrodepage"/>
        <w:rFonts w:ascii="Arial" w:hAnsi="Arial" w:cs="Arial"/>
        <w:i/>
        <w:iCs/>
        <w:noProof/>
        <w:sz w:val="16"/>
        <w:szCs w:val="16"/>
      </w:rPr>
      <w:t>/0</w:t>
    </w:r>
    <w:r w:rsidR="00F23DEC">
      <w:rPr>
        <w:rStyle w:val="Numrodepage"/>
        <w:rFonts w:ascii="Arial" w:hAnsi="Arial" w:cs="Arial"/>
        <w:i/>
        <w:iCs/>
        <w:noProof/>
        <w:sz w:val="16"/>
        <w:szCs w:val="16"/>
      </w:rPr>
      <w:t>1</w:t>
    </w:r>
    <w:r w:rsidRPr="001329D9">
      <w:rPr>
        <w:rStyle w:val="Numrodepage"/>
        <w:rFonts w:ascii="Arial" w:hAnsi="Arial" w:cs="Arial"/>
        <w:i/>
        <w:iCs/>
        <w:noProof/>
        <w:sz w:val="16"/>
        <w:szCs w:val="16"/>
      </w:rPr>
      <w:t>/202</w:t>
    </w:r>
    <w:r w:rsidR="00F23DEC">
      <w:rPr>
        <w:rStyle w:val="Numrodepage"/>
        <w:rFonts w:ascii="Arial" w:hAnsi="Arial" w:cs="Arial"/>
        <w:i/>
        <w:iCs/>
        <w:noProof/>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w:t>
      </w:r>
      <w:proofErr w:type="spellStart"/>
      <w:r w:rsidRPr="001329D9">
        <w:rPr>
          <w:rFonts w:ascii="Arial" w:hAnsi="Arial" w:cs="Arial"/>
        </w:rPr>
        <w:t>accords cadres</w:t>
      </w:r>
      <w:proofErr w:type="spellEnd"/>
      <w:r w:rsidRPr="001329D9">
        <w:rPr>
          <w:rFonts w:ascii="Arial" w:hAnsi="Arial" w:cs="Arial"/>
        </w:rPr>
        <w:t xml:space="preserve"> au ministère de la défense et délégation publiée sur PLACE</w:t>
      </w:r>
      <w:r w:rsidR="00A40037">
        <w:rPr>
          <w:rFonts w:ascii="Arial" w:hAnsi="Arial" w:cs="Aria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294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834"/>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03B6"/>
    <w:rsid w:val="00676865"/>
    <w:rsid w:val="00676CF1"/>
    <w:rsid w:val="00685881"/>
    <w:rsid w:val="006861F8"/>
    <w:rsid w:val="00686805"/>
    <w:rsid w:val="006B245D"/>
    <w:rsid w:val="006B46A7"/>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A4F"/>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5C2"/>
    <w:rsid w:val="009F0DB6"/>
    <w:rsid w:val="009F4B0A"/>
    <w:rsid w:val="00A01EB1"/>
    <w:rsid w:val="00A139C1"/>
    <w:rsid w:val="00A13D52"/>
    <w:rsid w:val="00A328DB"/>
    <w:rsid w:val="00A35C5D"/>
    <w:rsid w:val="00A37FA1"/>
    <w:rsid w:val="00A40037"/>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4EB6"/>
    <w:rsid w:val="00B36859"/>
    <w:rsid w:val="00B42FA7"/>
    <w:rsid w:val="00B4462E"/>
    <w:rsid w:val="00B50054"/>
    <w:rsid w:val="00B500D8"/>
    <w:rsid w:val="00B54695"/>
    <w:rsid w:val="00B60AFB"/>
    <w:rsid w:val="00B630EE"/>
    <w:rsid w:val="00B632A2"/>
    <w:rsid w:val="00B725DC"/>
    <w:rsid w:val="00B8309E"/>
    <w:rsid w:val="00B915F2"/>
    <w:rsid w:val="00B93647"/>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D00F32"/>
    <w:rsid w:val="00D01FF7"/>
    <w:rsid w:val="00D03CFD"/>
    <w:rsid w:val="00D0794E"/>
    <w:rsid w:val="00D15A2E"/>
    <w:rsid w:val="00D235CB"/>
    <w:rsid w:val="00D33CDB"/>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DF7259"/>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943"/>
    <w:rsid w:val="00ED5FEF"/>
    <w:rsid w:val="00ED6FC6"/>
    <w:rsid w:val="00EE18F0"/>
    <w:rsid w:val="00EE2373"/>
    <w:rsid w:val="00EE254C"/>
    <w:rsid w:val="00EE3BC8"/>
    <w:rsid w:val="00EE48AF"/>
    <w:rsid w:val="00EE4971"/>
    <w:rsid w:val="00EE61A9"/>
    <w:rsid w:val="00EF4701"/>
    <w:rsid w:val="00EF594B"/>
    <w:rsid w:val="00F005B5"/>
    <w:rsid w:val="00F150C1"/>
    <w:rsid w:val="00F15B00"/>
    <w:rsid w:val="00F20863"/>
    <w:rsid w:val="00F22285"/>
    <w:rsid w:val="00F23DEC"/>
    <w:rsid w:val="00F25085"/>
    <w:rsid w:val="00F266E5"/>
    <w:rsid w:val="00F275B3"/>
    <w:rsid w:val="00F612D3"/>
    <w:rsid w:val="00F731D0"/>
    <w:rsid w:val="00F76E44"/>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2945" fillcolor="white">
      <v:fill color="white"/>
    </o:shapedefaults>
    <o:shapelayout v:ext="edit">
      <o:idmap v:ext="edit" data="1"/>
    </o:shapelayout>
  </w:shapeDefaults>
  <w:decimalSymbol w:val=","/>
  <w:listSeparator w:val=";"/>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98D199-FF3C-4C62-86D1-B1B15463A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9</Pages>
  <Words>3678</Words>
  <Characters>20163</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23794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26</cp:revision>
  <cp:lastPrinted>2024-11-12T12:56:00Z</cp:lastPrinted>
  <dcterms:created xsi:type="dcterms:W3CDTF">2024-06-25T16:15:00Z</dcterms:created>
  <dcterms:modified xsi:type="dcterms:W3CDTF">2025-05-22T09:04:00Z</dcterms:modified>
</cp:coreProperties>
</file>