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8C2B866" w:rsidR="002753BD" w:rsidRDefault="00A83237" w:rsidP="00712DEE">
      <w:pPr>
        <w:pBdr>
          <w:top w:val="single" w:sz="4" w:space="1" w:color="auto"/>
          <w:left w:val="single" w:sz="4" w:space="4" w:color="auto"/>
          <w:bottom w:val="single" w:sz="4" w:space="1" w:color="auto"/>
          <w:right w:val="single" w:sz="4" w:space="4" w:color="auto"/>
        </w:pBdr>
        <w:jc w:val="center"/>
        <w:rPr>
          <w:b/>
          <w:bCs/>
          <w:caps/>
          <w:sz w:val="32"/>
          <w:lang w:val="en"/>
        </w:rPr>
      </w:pPr>
      <w:r>
        <w:rPr>
          <w:b/>
          <w:bCs/>
          <w:caps/>
          <w:sz w:val="32"/>
          <w:lang w:val="en"/>
        </w:rPr>
        <w:t xml:space="preserve">service </w:t>
      </w:r>
      <w:r w:rsidR="00837DF1">
        <w:rPr>
          <w:b/>
          <w:bCs/>
          <w:caps/>
          <w:sz w:val="32"/>
          <w:lang w:val="en"/>
        </w:rPr>
        <w:t>Framework contract</w:t>
      </w:r>
    </w:p>
    <w:p w14:paraId="3128CD0A" w14:textId="74F34FE4" w:rsidR="00E5639A" w:rsidRPr="00EC5014" w:rsidRDefault="001A647E" w:rsidP="00712DEE">
      <w:pPr>
        <w:pBdr>
          <w:top w:val="single" w:sz="4" w:space="1" w:color="auto"/>
          <w:left w:val="single" w:sz="4" w:space="4" w:color="auto"/>
          <w:bottom w:val="single" w:sz="4" w:space="1" w:color="auto"/>
          <w:right w:val="single" w:sz="4" w:space="4" w:color="auto"/>
        </w:pBdr>
        <w:jc w:val="center"/>
        <w:rPr>
          <w:b/>
          <w:caps/>
          <w:sz w:val="32"/>
          <w:lang w:val="en-GB"/>
        </w:rPr>
      </w:pPr>
      <w:r>
        <w:rPr>
          <w:b/>
          <w:caps/>
          <w:sz w:val="32"/>
          <w:lang w:val="en-GB"/>
        </w:rPr>
        <w:t>employer of record services</w:t>
      </w:r>
      <w:r w:rsidR="0033067A">
        <w:rPr>
          <w:b/>
          <w:caps/>
          <w:sz w:val="32"/>
          <w:lang w:val="en-GB"/>
        </w:rPr>
        <w:t xml:space="preserve"> FOR EXPERTISE FRANCE PROJECTS BASED IN COLOMBIA</w:t>
      </w:r>
    </w:p>
    <w:p w14:paraId="5B403969" w14:textId="1258CA7A" w:rsidR="00837DF1" w:rsidRPr="00EC5014" w:rsidRDefault="0077204D"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 xml:space="preserve">No.: </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B42F7B"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B42F7B" w:rsidRDefault="00EC5014" w:rsidP="00EC5014">
            <w:pPr>
              <w:spacing w:before="120" w:after="120"/>
              <w:rPr>
                <w:b/>
                <w:smallCaps/>
                <w:sz w:val="24"/>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D690F" w:rsidRDefault="00EC5014" w:rsidP="00EC5014">
      <w:pPr>
        <w:tabs>
          <w:tab w:val="right" w:pos="9327"/>
          <w:tab w:val="left" w:pos="10977"/>
        </w:tabs>
        <w:spacing w:after="0" w:afterAutospacing="0"/>
        <w:jc w:val="both"/>
        <w:rPr>
          <w:sz w:val="24"/>
          <w:u w:val="single"/>
        </w:rPr>
      </w:pPr>
    </w:p>
    <w:p w14:paraId="5565E2EE" w14:textId="77777777" w:rsidR="00F26086" w:rsidRPr="001622EB" w:rsidRDefault="00F26086" w:rsidP="00160DE3">
      <w:pPr>
        <w:tabs>
          <w:tab w:val="right" w:pos="9356"/>
        </w:tabs>
        <w:spacing w:before="0" w:beforeAutospacing="0" w:after="0" w:afterAutospacing="0" w:line="300" w:lineRule="atLeast"/>
        <w:jc w:val="both"/>
        <w:rPr>
          <w:sz w:val="22"/>
          <w:szCs w:val="22"/>
          <w:lang w:val="en-GB"/>
        </w:rPr>
      </w:pPr>
      <w:r w:rsidRPr="001622EB">
        <w:rPr>
          <w:sz w:val="22"/>
          <w:szCs w:val="22"/>
          <w:lang w:val="en"/>
        </w:rPr>
        <w:t xml:space="preserve">This Contract is subject to the French Public Procurement Code in its latest version in force as enacted by </w:t>
      </w:r>
      <w:hyperlink r:id="rId8" w:history="1">
        <w:r w:rsidRPr="001622EB">
          <w:rPr>
            <w:sz w:val="22"/>
            <w:szCs w:val="22"/>
            <w:lang w:val="en"/>
          </w:rPr>
          <w:t>Order No. 2018-1074 issued on 26 November 2018</w:t>
        </w:r>
      </w:hyperlink>
      <w:r w:rsidRPr="001622EB">
        <w:rPr>
          <w:sz w:val="22"/>
          <w:szCs w:val="22"/>
          <w:lang w:val="en"/>
        </w:rPr>
        <w:t xml:space="preserve"> and its Implementation </w:t>
      </w:r>
      <w:hyperlink r:id="rId9" w:history="1">
        <w:r w:rsidRPr="001622EB">
          <w:rPr>
            <w:sz w:val="22"/>
            <w:szCs w:val="22"/>
            <w:lang w:val="en"/>
          </w:rPr>
          <w:t>Decree No. 2018-1075 issued on 3 December 2018</w:t>
        </w:r>
      </w:hyperlink>
      <w:r w:rsidRPr="001622EB">
        <w:rPr>
          <w:sz w:val="22"/>
          <w:szCs w:val="22"/>
          <w:lang w:val="en"/>
        </w:rPr>
        <w:t xml:space="preserve"> constituting the regulatory aspects of the Public Procurement Code (“CCP”).</w:t>
      </w:r>
    </w:p>
    <w:p w14:paraId="1EB010DC" w14:textId="69B86C39" w:rsidR="00F26086" w:rsidRPr="001622EB" w:rsidRDefault="00F26086" w:rsidP="00F26086">
      <w:pPr>
        <w:tabs>
          <w:tab w:val="left" w:pos="510"/>
          <w:tab w:val="left" w:pos="10977"/>
        </w:tabs>
        <w:spacing w:before="120"/>
        <w:ind w:right="83"/>
        <w:jc w:val="both"/>
        <w:rPr>
          <w:sz w:val="22"/>
          <w:szCs w:val="22"/>
          <w:lang w:val="en-GB"/>
        </w:rPr>
      </w:pPr>
      <w:r w:rsidRPr="001622EB">
        <w:rPr>
          <w:sz w:val="22"/>
          <w:szCs w:val="22"/>
          <w:lang w:val="en"/>
        </w:rPr>
        <w:t>It is awarded by means of</w:t>
      </w:r>
      <w:r w:rsidR="001622EB" w:rsidRPr="001622EB">
        <w:rPr>
          <w:sz w:val="22"/>
          <w:szCs w:val="22"/>
          <w:lang w:val="en"/>
        </w:rPr>
        <w:t xml:space="preserve"> </w:t>
      </w:r>
      <w:r w:rsidRPr="001622EB">
        <w:rPr>
          <w:sz w:val="22"/>
          <w:szCs w:val="22"/>
          <w:lang w:val="en"/>
        </w:rPr>
        <w:t>open tender in application of L. 2124-2, R. 2161-2, R. 2161-3,</w:t>
      </w:r>
      <w:r w:rsidR="001622EB" w:rsidRPr="001622EB">
        <w:rPr>
          <w:sz w:val="22"/>
          <w:szCs w:val="22"/>
          <w:lang w:val="en"/>
        </w:rPr>
        <w:t xml:space="preserve"> R. 2161-4 and </w:t>
      </w:r>
      <w:r w:rsidR="00A715EF">
        <w:rPr>
          <w:sz w:val="22"/>
          <w:szCs w:val="22"/>
          <w:lang w:val="en"/>
        </w:rPr>
        <w:br/>
      </w:r>
      <w:r w:rsidR="001622EB" w:rsidRPr="001622EB">
        <w:rPr>
          <w:sz w:val="22"/>
          <w:szCs w:val="22"/>
          <w:lang w:val="en"/>
        </w:rPr>
        <w:t>R. 2161-5 of CCP.</w:t>
      </w:r>
    </w:p>
    <w:p w14:paraId="0930B2E3" w14:textId="714E882E" w:rsidR="00F865EA" w:rsidRPr="001622EB" w:rsidRDefault="001622EB" w:rsidP="009C610C">
      <w:pPr>
        <w:tabs>
          <w:tab w:val="right" w:pos="9327"/>
        </w:tabs>
        <w:spacing w:before="0" w:beforeAutospacing="0" w:after="0" w:afterAutospacing="0"/>
        <w:jc w:val="both"/>
        <w:rPr>
          <w:sz w:val="22"/>
          <w:szCs w:val="22"/>
          <w:lang w:val="en"/>
        </w:rPr>
      </w:pPr>
      <w:r w:rsidRPr="001622EB">
        <w:rPr>
          <w:sz w:val="22"/>
          <w:szCs w:val="22"/>
          <w:lang w:val="en"/>
        </w:rPr>
        <w:t>P</w:t>
      </w:r>
      <w:r w:rsidR="00A62B15" w:rsidRPr="001622EB">
        <w:rPr>
          <w:sz w:val="22"/>
          <w:szCs w:val="22"/>
          <w:lang w:val="en"/>
        </w:rPr>
        <w:t xml:space="preserve">urchase orders </w:t>
      </w:r>
      <w:r w:rsidR="00A83237" w:rsidRPr="001622EB">
        <w:rPr>
          <w:sz w:val="22"/>
          <w:szCs w:val="22"/>
          <w:lang w:val="en"/>
        </w:rPr>
        <w:t xml:space="preserve">under a framework contract </w:t>
      </w:r>
      <w:r w:rsidR="00A62B15" w:rsidRPr="001622EB">
        <w:rPr>
          <w:sz w:val="22"/>
          <w:szCs w:val="22"/>
          <w:lang w:val="en"/>
        </w:rPr>
        <w:t>are defined within the meaning of Articles R. 2162-1 and R.2162-14 of CCP.</w:t>
      </w:r>
    </w:p>
    <w:p w14:paraId="5AB62E35" w14:textId="77777777" w:rsidR="00F865EA" w:rsidRPr="001622EB" w:rsidRDefault="00F865EA">
      <w:pPr>
        <w:spacing w:before="0" w:beforeAutospacing="0" w:after="0" w:afterAutospacing="0"/>
        <w:rPr>
          <w:sz w:val="22"/>
          <w:szCs w:val="22"/>
          <w:lang w:val="en"/>
        </w:rPr>
      </w:pPr>
    </w:p>
    <w:p w14:paraId="3DD976FA" w14:textId="77777777" w:rsidR="00F865EA" w:rsidRDefault="00F865EA">
      <w:pPr>
        <w:spacing w:before="0" w:beforeAutospacing="0" w:after="0" w:afterAutospacing="0"/>
        <w:rPr>
          <w:sz w:val="22"/>
          <w:szCs w:val="22"/>
          <w:highlight w:val="green"/>
          <w:lang w:val="en"/>
        </w:rPr>
      </w:pPr>
      <w:r>
        <w:rPr>
          <w:sz w:val="22"/>
          <w:szCs w:val="22"/>
          <w:highlight w:val="green"/>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07F64B15" w:rsidR="00B40CBD" w:rsidRDefault="00E03DEF" w:rsidP="005A6E25">
      <w:pPr>
        <w:spacing w:before="0" w:beforeAutospacing="0" w:after="0" w:afterAutospacing="0"/>
        <w:jc w:val="both"/>
        <w:rPr>
          <w:sz w:val="24"/>
        </w:rPr>
      </w:pPr>
      <w:r>
        <w:rPr>
          <w:sz w:val="24"/>
        </w:rPr>
        <w:t>Address</w:t>
      </w:r>
      <w:r w:rsidR="00A715EF">
        <w:rPr>
          <w:sz w:val="24"/>
        </w:rPr>
        <w:t> :</w:t>
      </w:r>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BD0AF8">
      <w:pPr>
        <w:pStyle w:val="Paragraphedeliste"/>
        <w:numPr>
          <w:ilvl w:val="0"/>
          <w:numId w:val="26"/>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5905FC"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E5639A"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E5639A"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E5639A"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318484A3"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liable vis-à-vis </w:t>
      </w:r>
      <w:r w:rsidR="00185ED7" w:rsidRPr="00185ED7">
        <w:rPr>
          <w:rFonts w:cstheme="minorHAnsi"/>
          <w:smallCaps/>
          <w:sz w:val="24"/>
          <w:lang w:val="en-GB"/>
        </w:rPr>
        <w:t>Expertise France</w:t>
      </w:r>
      <w:r>
        <w:rPr>
          <w:sz w:val="24"/>
          <w:lang w:val="en"/>
        </w:rPr>
        <w:t xml:space="preserve"> for the performan</w:t>
      </w:r>
      <w:r w:rsidR="000F7E38">
        <w:rPr>
          <w:sz w:val="24"/>
          <w:lang w:val="en"/>
        </w:rPr>
        <w:t>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1AF6C086" w:rsidR="00A861C5" w:rsidRDefault="00A861C5" w:rsidP="00A861C5">
      <w:pPr>
        <w:ind w:left="1560" w:hanging="1560"/>
        <w:jc w:val="both"/>
        <w:rPr>
          <w:sz w:val="24"/>
          <w:lang w:val="en"/>
        </w:rPr>
      </w:pPr>
      <w:r>
        <w:rPr>
          <w:b/>
          <w:bCs/>
          <w:sz w:val="24"/>
          <w:lang w:val="en"/>
        </w:rPr>
        <w:t xml:space="preserve">Annex I </w:t>
      </w:r>
      <w:r>
        <w:rPr>
          <w:sz w:val="24"/>
          <w:lang w:val="en"/>
        </w:rPr>
        <w:t>–</w:t>
      </w:r>
      <w:r>
        <w:rPr>
          <w:sz w:val="24"/>
          <w:lang w:val="en"/>
        </w:rPr>
        <w:tab/>
        <w:t xml:space="preserve">Specifications dated </w:t>
      </w:r>
      <w:r w:rsidR="005905FC">
        <w:rPr>
          <w:sz w:val="24"/>
          <w:lang w:val="en"/>
        </w:rPr>
        <w:t>May 2025</w:t>
      </w:r>
    </w:p>
    <w:p w14:paraId="2F6A242B" w14:textId="3C057AA3" w:rsidR="005905FC" w:rsidRDefault="005905FC" w:rsidP="00A861C5">
      <w:pPr>
        <w:ind w:left="1560" w:hanging="1560"/>
        <w:jc w:val="both"/>
        <w:rPr>
          <w:bCs/>
          <w:sz w:val="24"/>
          <w:lang w:val="en"/>
        </w:rPr>
      </w:pPr>
      <w:r>
        <w:rPr>
          <w:b/>
          <w:bCs/>
          <w:sz w:val="24"/>
          <w:lang w:val="en"/>
        </w:rPr>
        <w:t>Annex II</w:t>
      </w:r>
      <w:r w:rsidR="009C610C">
        <w:rPr>
          <w:b/>
          <w:bCs/>
          <w:sz w:val="24"/>
          <w:lang w:val="en"/>
        </w:rPr>
        <w:t xml:space="preserve"> </w:t>
      </w:r>
      <w:r w:rsidR="009C610C">
        <w:rPr>
          <w:sz w:val="24"/>
          <w:lang w:val="en"/>
        </w:rPr>
        <w:t>–</w:t>
      </w:r>
      <w:r>
        <w:rPr>
          <w:b/>
          <w:bCs/>
          <w:sz w:val="24"/>
          <w:lang w:val="en"/>
        </w:rPr>
        <w:tab/>
      </w:r>
      <w:r w:rsidRPr="00A715EF">
        <w:rPr>
          <w:bCs/>
          <w:sz w:val="24"/>
          <w:lang w:val="en"/>
        </w:rPr>
        <w:t>Financial appendix</w:t>
      </w:r>
    </w:p>
    <w:p w14:paraId="79B2FFED" w14:textId="6B28E5B5" w:rsidR="00A715EF" w:rsidRPr="009C610C" w:rsidRDefault="00A715EF" w:rsidP="009C610C">
      <w:pPr>
        <w:ind w:left="1560" w:hanging="1560"/>
        <w:jc w:val="both"/>
        <w:rPr>
          <w:bCs/>
          <w:sz w:val="24"/>
          <w:lang w:val="en"/>
        </w:rPr>
      </w:pPr>
      <w:r>
        <w:rPr>
          <w:b/>
          <w:bCs/>
          <w:sz w:val="24"/>
          <w:lang w:val="en"/>
        </w:rPr>
        <w:t>Annex III</w:t>
      </w:r>
      <w:r w:rsidR="009C610C">
        <w:rPr>
          <w:b/>
          <w:bCs/>
          <w:sz w:val="24"/>
          <w:lang w:val="en"/>
        </w:rPr>
        <w:t xml:space="preserve"> </w:t>
      </w:r>
      <w:r w:rsidR="009C610C">
        <w:rPr>
          <w:sz w:val="24"/>
          <w:lang w:val="en"/>
        </w:rPr>
        <w:t>–</w:t>
      </w:r>
      <w:r>
        <w:rPr>
          <w:b/>
          <w:bCs/>
          <w:sz w:val="24"/>
          <w:lang w:val="en"/>
        </w:rPr>
        <w:t xml:space="preserve"> </w:t>
      </w:r>
      <w:r w:rsidR="009C610C">
        <w:rPr>
          <w:b/>
          <w:bCs/>
          <w:sz w:val="24"/>
          <w:lang w:val="en"/>
        </w:rPr>
        <w:tab/>
      </w:r>
      <w:r w:rsidR="009C610C" w:rsidRPr="009C610C">
        <w:rPr>
          <w:bCs/>
          <w:sz w:val="24"/>
          <w:lang w:val="en"/>
        </w:rPr>
        <w:t>Contractual annex personnal data process (GDRP subcontracting).docx</w:t>
      </w:r>
    </w:p>
    <w:p w14:paraId="6EF33CD0" w14:textId="54109DC2" w:rsidR="00A861C5" w:rsidRPr="00EC5014" w:rsidRDefault="00A861C5" w:rsidP="00A861C5">
      <w:pPr>
        <w:ind w:left="1560" w:hanging="1560"/>
        <w:jc w:val="both"/>
        <w:rPr>
          <w:b/>
          <w:lang w:val="en-GB"/>
        </w:rPr>
      </w:pPr>
      <w:r>
        <w:rPr>
          <w:b/>
          <w:bCs/>
          <w:sz w:val="24"/>
          <w:lang w:val="en"/>
        </w:rPr>
        <w:t>Annex I</w:t>
      </w:r>
      <w:r w:rsidR="00A715EF">
        <w:rPr>
          <w:b/>
          <w:bCs/>
          <w:sz w:val="24"/>
          <w:lang w:val="en"/>
        </w:rPr>
        <w:t>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67406D9B" w14:textId="1C80F013" w:rsidR="009037DA" w:rsidRPr="00A83237" w:rsidRDefault="009037DA" w:rsidP="009037DA">
      <w:pPr>
        <w:ind w:left="1560" w:hanging="1560"/>
        <w:jc w:val="both"/>
        <w:rPr>
          <w:b/>
          <w:strike/>
          <w:sz w:val="24"/>
          <w:lang w:val="en-US"/>
        </w:rPr>
      </w:pPr>
      <w:r>
        <w:rPr>
          <w:b/>
          <w:bCs/>
          <w:sz w:val="24"/>
          <w:lang w:val="en"/>
        </w:rPr>
        <w:t xml:space="preserve">Annex </w:t>
      </w:r>
      <w:r w:rsidR="005905FC">
        <w:rPr>
          <w:b/>
          <w:bCs/>
          <w:sz w:val="24"/>
          <w:lang w:val="en"/>
        </w:rPr>
        <w:t>V</w:t>
      </w:r>
      <w:r>
        <w:rPr>
          <w:sz w:val="24"/>
          <w:lang w:val="en"/>
        </w:rPr>
        <w:t xml:space="preserve"> –</w:t>
      </w:r>
      <w:r>
        <w:rPr>
          <w:sz w:val="24"/>
          <w:lang w:val="en"/>
        </w:rPr>
        <w:tab/>
        <w:t>Sworn declaration</w:t>
      </w: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and model specific contract. </w:t>
      </w:r>
    </w:p>
    <w:p w14:paraId="2B3FADAD"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model purchase order and model specific contract shall take precedence over those in the other annexes. </w:t>
      </w:r>
    </w:p>
    <w:p w14:paraId="44F69F03" w14:textId="0EE07042"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r w:rsidR="005905FC">
        <w:rPr>
          <w:sz w:val="24"/>
          <w:lang w:val="en"/>
        </w:rPr>
        <w:t>I</w:t>
      </w:r>
      <w:r>
        <w:rPr>
          <w:sz w:val="24"/>
          <w:lang w:val="en"/>
        </w:rPr>
        <w:t>).</w:t>
      </w:r>
    </w:p>
    <w:p w14:paraId="443F15C6" w14:textId="77777777" w:rsidR="00A861C5" w:rsidRPr="00EC5014" w:rsidRDefault="00A861C5" w:rsidP="00BD0AF8">
      <w:pPr>
        <w:numPr>
          <w:ilvl w:val="0"/>
          <w:numId w:val="9"/>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6852A658" w14:textId="77777777" w:rsidR="00F35957" w:rsidRPr="009C610C" w:rsidRDefault="00A053E1" w:rsidP="009C610C">
      <w:pPr>
        <w:ind w:left="720" w:hanging="720"/>
        <w:jc w:val="both"/>
        <w:rPr>
          <w:sz w:val="24"/>
          <w:lang w:val="en"/>
        </w:rPr>
      </w:pPr>
      <w:r>
        <w:rPr>
          <w:b/>
          <w:bCs/>
          <w:noProof/>
          <w:sz w:val="24"/>
          <w:lang w:val="en"/>
        </w:rPr>
        <w:t>I.1.1</w:t>
      </w:r>
      <w:r>
        <w:rPr>
          <w:sz w:val="24"/>
          <w:lang w:val="en"/>
        </w:rPr>
        <w:tab/>
        <w:t xml:space="preserve">The object of the FWC is </w:t>
      </w:r>
      <w:r w:rsidR="00F35957" w:rsidRPr="009C610C">
        <w:rPr>
          <w:sz w:val="24"/>
          <w:lang w:val="en"/>
        </w:rPr>
        <w:t xml:space="preserve">employer of record services in Colombia. The contract also includes legal services related to human resources management (pre-litigation advice and assistance), insurance and obtaining visa. </w:t>
      </w:r>
    </w:p>
    <w:p w14:paraId="187D0865" w14:textId="1F8C4CB2" w:rsidR="00A053E1" w:rsidRPr="00EC5014" w:rsidRDefault="00A053E1" w:rsidP="00F04894">
      <w:pPr>
        <w:suppressAutoHyphens/>
        <w:ind w:left="851" w:hanging="851"/>
        <w:jc w:val="both"/>
        <w:rPr>
          <w:sz w:val="24"/>
          <w:lang w:val="en-GB"/>
        </w:rPr>
      </w:pPr>
      <w:r>
        <w:rPr>
          <w:b/>
          <w:bCs/>
          <w:noProof/>
          <w:sz w:val="24"/>
          <w:lang w:val="en"/>
        </w:rPr>
        <w:t>I.1.2</w:t>
      </w:r>
      <w:r w:rsidR="009C610C">
        <w:rPr>
          <w:b/>
          <w:bCs/>
          <w:noProof/>
          <w:sz w:val="24"/>
          <w:lang w:val="en"/>
        </w:rPr>
        <w:tab/>
      </w:r>
      <w:r>
        <w:rPr>
          <w:sz w:val="24"/>
          <w:lang w:val="en"/>
        </w:rPr>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13254259"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 xml:space="preserve">The FWC comes into force on its </w:t>
      </w:r>
      <w:r w:rsidR="00A715EF">
        <w:rPr>
          <w:sz w:val="24"/>
          <w:lang w:val="en"/>
        </w:rPr>
        <w:t>notification</w:t>
      </w:r>
      <w:r>
        <w:rPr>
          <w:sz w:val="24"/>
          <w:lang w:val="en"/>
        </w:rPr>
        <w:t xml:space="preserve"> date.</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176F0383" w:rsidR="00093B58" w:rsidRPr="00A715EF" w:rsidRDefault="00093B58" w:rsidP="00AB593A">
      <w:pPr>
        <w:suppressAutoHyphens/>
        <w:ind w:left="851" w:hanging="851"/>
        <w:jc w:val="both"/>
        <w:rPr>
          <w:sz w:val="24"/>
          <w:lang w:val="en-US"/>
        </w:rPr>
      </w:pPr>
      <w:r>
        <w:rPr>
          <w:b/>
          <w:bCs/>
          <w:noProof/>
          <w:color w:val="000000"/>
          <w:sz w:val="24"/>
          <w:lang w:val="en"/>
        </w:rPr>
        <w:t>I.2.</w:t>
      </w:r>
      <w:r>
        <w:rPr>
          <w:b/>
          <w:bCs/>
          <w:noProof/>
          <w:sz w:val="24"/>
          <w:lang w:val="en"/>
        </w:rPr>
        <w:t>3</w:t>
      </w:r>
      <w:r>
        <w:rPr>
          <w:sz w:val="24"/>
          <w:lang w:val="en"/>
        </w:rPr>
        <w:tab/>
        <w:t>The FWC is entered into for a</w:t>
      </w:r>
      <w:r w:rsidR="00A715EF">
        <w:rPr>
          <w:sz w:val="24"/>
          <w:lang w:val="en"/>
        </w:rPr>
        <w:t>n initial</w:t>
      </w:r>
      <w:r>
        <w:rPr>
          <w:sz w:val="24"/>
          <w:lang w:val="en"/>
        </w:rPr>
        <w:t xml:space="preserve"> term of </w:t>
      </w:r>
      <w:r w:rsidR="00A715EF">
        <w:rPr>
          <w:sz w:val="24"/>
          <w:lang w:val="en"/>
        </w:rPr>
        <w:t>twelve (</w:t>
      </w:r>
      <w:r w:rsidR="00AB593A">
        <w:rPr>
          <w:sz w:val="24"/>
          <w:lang w:val="en"/>
        </w:rPr>
        <w:t>12</w:t>
      </w:r>
      <w:r w:rsidR="00A715EF">
        <w:rPr>
          <w:sz w:val="24"/>
          <w:lang w:val="en"/>
        </w:rPr>
        <w:t>)</w:t>
      </w:r>
      <w:r w:rsidR="00AB593A">
        <w:rPr>
          <w:sz w:val="24"/>
          <w:lang w:val="en"/>
        </w:rPr>
        <w:t xml:space="preserve"> </w:t>
      </w:r>
      <w:r w:rsidR="002A0082">
        <w:rPr>
          <w:sz w:val="24"/>
          <w:lang w:val="en"/>
        </w:rPr>
        <w:t>months</w:t>
      </w:r>
      <w:r>
        <w:rPr>
          <w:sz w:val="24"/>
          <w:lang w:val="en"/>
        </w:rPr>
        <w:t xml:space="preserve"> from its </w:t>
      </w:r>
      <w:r w:rsidR="00A715EF">
        <w:rPr>
          <w:sz w:val="24"/>
          <w:lang w:val="en"/>
        </w:rPr>
        <w:t xml:space="preserve">notification </w:t>
      </w:r>
      <w:r>
        <w:rPr>
          <w:sz w:val="24"/>
          <w:lang w:val="en"/>
        </w:rPr>
        <w:t xml:space="preserve">date. </w:t>
      </w:r>
      <w:r w:rsidR="00AB593A" w:rsidRPr="00485BAF">
        <w:rPr>
          <w:sz w:val="24"/>
          <w:lang w:val="en-US"/>
        </w:rPr>
        <w:t xml:space="preserve">The FWC shall be renewed automatically up to </w:t>
      </w:r>
      <w:r w:rsidR="00AB593A">
        <w:rPr>
          <w:sz w:val="24"/>
          <w:lang w:val="en-US"/>
        </w:rPr>
        <w:t>three</w:t>
      </w:r>
      <w:r w:rsidR="00A715EF">
        <w:rPr>
          <w:sz w:val="24"/>
          <w:lang w:val="en-US"/>
        </w:rPr>
        <w:t xml:space="preserve"> (3)</w:t>
      </w:r>
      <w:r w:rsidR="00AB593A" w:rsidRPr="00485BAF">
        <w:rPr>
          <w:sz w:val="24"/>
          <w:lang w:val="en-US"/>
        </w:rPr>
        <w:t xml:space="preserve"> time</w:t>
      </w:r>
      <w:r w:rsidR="0033067A">
        <w:rPr>
          <w:sz w:val="24"/>
          <w:lang w:val="en-US"/>
        </w:rPr>
        <w:t>s</w:t>
      </w:r>
      <w:r w:rsidR="00AB593A" w:rsidRPr="00485BAF">
        <w:rPr>
          <w:sz w:val="24"/>
          <w:lang w:val="en-US"/>
        </w:rPr>
        <w:t xml:space="preserve"> under the same conditions</w:t>
      </w:r>
      <w:r w:rsidR="00AB593A">
        <w:rPr>
          <w:sz w:val="24"/>
          <w:lang w:val="en-US"/>
        </w:rPr>
        <w:t>, for a maximum of 48 months</w:t>
      </w:r>
      <w:r w:rsidR="00AB593A" w:rsidRPr="00485BAF">
        <w:rPr>
          <w:sz w:val="24"/>
          <w:lang w:val="en-US"/>
        </w:rPr>
        <w:t>, unless written notification to the contrary is sent the contracting authority and received by the contractor three months before expiry of the period</w:t>
      </w:r>
      <w:r w:rsidR="00AB593A">
        <w:rPr>
          <w:sz w:val="24"/>
          <w:lang w:val="en-US"/>
        </w:rPr>
        <w:t xml:space="preserve">. </w:t>
      </w:r>
      <w:r w:rsidR="00AB593A" w:rsidRPr="00485BAF">
        <w:rPr>
          <w:color w:val="000000"/>
          <w:sz w:val="24"/>
          <w:lang w:val="en-US"/>
        </w:rPr>
        <w:t>Renewal does not imply any modification or deferment of existing obligations.</w:t>
      </w:r>
      <w:r w:rsidR="00AB593A">
        <w:rPr>
          <w:color w:val="000000"/>
          <w:sz w:val="24"/>
          <w:lang w:val="en-US"/>
        </w:rPr>
        <w:t xml:space="preserve"> </w:t>
      </w:r>
      <w:r>
        <w:rPr>
          <w:sz w:val="24"/>
          <w:lang w:val="en"/>
        </w:rPr>
        <w:t>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9FCF835" w14:textId="3DA478D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They must be executed within </w:t>
      </w:r>
      <w:r w:rsidR="002A0082">
        <w:rPr>
          <w:sz w:val="24"/>
          <w:lang w:val="en"/>
        </w:rPr>
        <w:t>six</w:t>
      </w:r>
      <w:r>
        <w:rPr>
          <w:sz w:val="24"/>
          <w:lang w:val="en"/>
        </w:rPr>
        <w:t xml:space="preserve"> months of its expiry. </w:t>
      </w:r>
    </w:p>
    <w:p w14:paraId="3D5C5A72" w14:textId="77777777" w:rsidR="00AC78D7" w:rsidRPr="00EC5014" w:rsidRDefault="00AC78D7" w:rsidP="00AC78D7">
      <w:pPr>
        <w:pStyle w:val="Titre2"/>
        <w:rPr>
          <w:lang w:val="en-GB"/>
        </w:rPr>
      </w:pPr>
      <w:r>
        <w:rPr>
          <w:bCs/>
          <w:lang w:val="en"/>
        </w:rPr>
        <w:t>ARTICLE I.3 – Pricing</w:t>
      </w:r>
    </w:p>
    <w:p w14:paraId="652ED534" w14:textId="12F3512E" w:rsidR="009C610C" w:rsidRPr="009C610C" w:rsidRDefault="00AC78D7" w:rsidP="009C610C">
      <w:pPr>
        <w:suppressAutoHyphens/>
        <w:ind w:left="709" w:hanging="709"/>
        <w:jc w:val="both"/>
        <w:rPr>
          <w:sz w:val="24"/>
          <w:lang w:val="en"/>
        </w:rPr>
      </w:pPr>
      <w:r>
        <w:rPr>
          <w:b/>
          <w:bCs/>
          <w:noProof/>
          <w:sz w:val="24"/>
          <w:lang w:val="en"/>
        </w:rPr>
        <w:t>I.3.1</w:t>
      </w:r>
      <w:r>
        <w:rPr>
          <w:sz w:val="24"/>
          <w:lang w:val="en"/>
        </w:rPr>
        <w:tab/>
      </w:r>
      <w:r w:rsidR="009C610C" w:rsidRPr="009C610C">
        <w:rPr>
          <w:bCs/>
          <w:noProof/>
          <w:sz w:val="24"/>
          <w:lang w:val="en"/>
        </w:rPr>
        <w:t xml:space="preserve">The total maximum amount of the contract is fixed at a maximum of 5 000 000 000 COP (cinco mil millones de pesos colombianos, equivalent of </w:t>
      </w:r>
      <w:r w:rsidR="009C610C" w:rsidRPr="009C610C">
        <w:rPr>
          <w:bCs/>
          <w:noProof/>
          <w:sz w:val="24"/>
        </w:rPr>
        <w:t>1 042 897 euros excl. VAT according to May 2025 Inforeuro exchange rate)</w:t>
      </w:r>
      <w:r w:rsidR="009C610C" w:rsidRPr="009C610C">
        <w:rPr>
          <w:bCs/>
          <w:noProof/>
          <w:sz w:val="24"/>
          <w:lang w:val="en"/>
        </w:rPr>
        <w:t>. The contract is entered into without a minimum:</w:t>
      </w:r>
    </w:p>
    <w:p w14:paraId="50B606C7" w14:textId="787B0A53" w:rsidR="009C610C" w:rsidRDefault="009C610C">
      <w:pPr>
        <w:spacing w:before="0" w:beforeAutospacing="0" w:after="0" w:afterAutospacing="0"/>
        <w:rPr>
          <w:b/>
          <w:bCs/>
          <w:noProof/>
          <w:sz w:val="24"/>
          <w:lang w:val="en"/>
        </w:rPr>
      </w:pPr>
      <w:r>
        <w:rPr>
          <w:b/>
          <w:bCs/>
          <w:noProof/>
          <w:sz w:val="24"/>
          <w:lang w:val="en"/>
        </w:rPr>
        <w:br w:type="page"/>
      </w:r>
    </w:p>
    <w:tbl>
      <w:tblPr>
        <w:tblStyle w:val="Grilledutableau"/>
        <w:tblW w:w="4598" w:type="pct"/>
        <w:tblInd w:w="642" w:type="dxa"/>
        <w:tblLook w:val="04A0" w:firstRow="1" w:lastRow="0" w:firstColumn="1" w:lastColumn="0" w:noHBand="0" w:noVBand="1"/>
      </w:tblPr>
      <w:tblGrid>
        <w:gridCol w:w="4659"/>
        <w:gridCol w:w="3909"/>
      </w:tblGrid>
      <w:tr w:rsidR="009C610C" w:rsidRPr="009C610C" w14:paraId="4982D32A" w14:textId="77777777" w:rsidTr="009C610C">
        <w:tc>
          <w:tcPr>
            <w:tcW w:w="2719" w:type="pct"/>
          </w:tcPr>
          <w:p w14:paraId="722EE6CB" w14:textId="77777777" w:rsidR="009C610C" w:rsidRPr="009C610C" w:rsidRDefault="009C610C" w:rsidP="009C610C">
            <w:pPr>
              <w:suppressAutoHyphens/>
              <w:ind w:left="709" w:hanging="709"/>
              <w:jc w:val="both"/>
              <w:rPr>
                <w:b/>
                <w:bCs/>
                <w:noProof/>
                <w:sz w:val="24"/>
                <w:lang w:val="en"/>
              </w:rPr>
            </w:pPr>
            <w:r w:rsidRPr="009C610C">
              <w:rPr>
                <w:b/>
                <w:bCs/>
                <w:noProof/>
                <w:sz w:val="24"/>
                <w:lang w:val="en"/>
              </w:rPr>
              <w:lastRenderedPageBreak/>
              <w:t>Validity period</w:t>
            </w:r>
          </w:p>
        </w:tc>
        <w:tc>
          <w:tcPr>
            <w:tcW w:w="2281" w:type="pct"/>
          </w:tcPr>
          <w:p w14:paraId="0C58E62C" w14:textId="77777777" w:rsidR="009C610C" w:rsidRPr="009C610C" w:rsidRDefault="009C610C" w:rsidP="009C610C">
            <w:pPr>
              <w:suppressAutoHyphens/>
              <w:ind w:left="709" w:hanging="709"/>
              <w:jc w:val="both"/>
              <w:rPr>
                <w:b/>
                <w:bCs/>
                <w:noProof/>
                <w:sz w:val="24"/>
                <w:lang w:val="en"/>
              </w:rPr>
            </w:pPr>
            <w:r w:rsidRPr="009C610C">
              <w:rPr>
                <w:b/>
                <w:bCs/>
                <w:noProof/>
                <w:sz w:val="24"/>
                <w:lang w:val="en"/>
              </w:rPr>
              <w:t>Maximum amount excl. VAT</w:t>
            </w:r>
          </w:p>
        </w:tc>
      </w:tr>
      <w:tr w:rsidR="009C610C" w:rsidRPr="009C610C" w14:paraId="2ED759E0" w14:textId="77777777" w:rsidTr="009C610C">
        <w:tc>
          <w:tcPr>
            <w:tcW w:w="2719" w:type="pct"/>
          </w:tcPr>
          <w:p w14:paraId="3AEBE067" w14:textId="77777777" w:rsidR="009C610C" w:rsidRPr="009C610C" w:rsidRDefault="009C610C" w:rsidP="009C610C">
            <w:pPr>
              <w:suppressAutoHyphens/>
              <w:ind w:left="709" w:hanging="709"/>
              <w:jc w:val="both"/>
              <w:rPr>
                <w:bCs/>
                <w:noProof/>
                <w:sz w:val="24"/>
                <w:lang w:val="en"/>
              </w:rPr>
            </w:pPr>
            <w:r w:rsidRPr="009C610C">
              <w:rPr>
                <w:bCs/>
                <w:noProof/>
                <w:sz w:val="24"/>
                <w:lang w:val="en"/>
              </w:rPr>
              <w:t>1</w:t>
            </w:r>
            <w:r w:rsidRPr="009C610C">
              <w:rPr>
                <w:bCs/>
                <w:noProof/>
                <w:sz w:val="24"/>
                <w:vertAlign w:val="superscript"/>
                <w:lang w:val="en"/>
              </w:rPr>
              <w:t>st</w:t>
            </w:r>
            <w:r w:rsidRPr="009C610C">
              <w:rPr>
                <w:bCs/>
                <w:noProof/>
                <w:sz w:val="24"/>
                <w:lang w:val="en"/>
              </w:rPr>
              <w:t xml:space="preserve"> period of validity</w:t>
            </w:r>
          </w:p>
        </w:tc>
        <w:tc>
          <w:tcPr>
            <w:tcW w:w="2281" w:type="pct"/>
          </w:tcPr>
          <w:p w14:paraId="060CA9B6" w14:textId="77777777" w:rsidR="009C610C" w:rsidRPr="009C610C" w:rsidRDefault="009C610C" w:rsidP="009C610C">
            <w:pPr>
              <w:suppressAutoHyphens/>
              <w:ind w:left="709" w:hanging="709"/>
              <w:jc w:val="both"/>
              <w:rPr>
                <w:bCs/>
                <w:noProof/>
                <w:sz w:val="24"/>
                <w:lang w:val="en"/>
              </w:rPr>
            </w:pPr>
            <w:r w:rsidRPr="009C610C">
              <w:rPr>
                <w:bCs/>
                <w:noProof/>
                <w:sz w:val="24"/>
                <w:lang w:val="en"/>
              </w:rPr>
              <w:t>1 250 000 000 COP</w:t>
            </w:r>
          </w:p>
        </w:tc>
      </w:tr>
      <w:tr w:rsidR="009C610C" w:rsidRPr="009C610C" w14:paraId="49C917CB" w14:textId="77777777" w:rsidTr="009C610C">
        <w:tc>
          <w:tcPr>
            <w:tcW w:w="2719" w:type="pct"/>
          </w:tcPr>
          <w:p w14:paraId="169FA70A" w14:textId="77777777" w:rsidR="009C610C" w:rsidRPr="009C610C" w:rsidRDefault="009C610C" w:rsidP="009C610C">
            <w:pPr>
              <w:suppressAutoHyphens/>
              <w:ind w:left="709" w:hanging="709"/>
              <w:jc w:val="both"/>
              <w:rPr>
                <w:bCs/>
                <w:noProof/>
                <w:sz w:val="24"/>
                <w:lang w:val="en"/>
              </w:rPr>
            </w:pPr>
            <w:r w:rsidRPr="009C610C">
              <w:rPr>
                <w:bCs/>
                <w:noProof/>
                <w:sz w:val="24"/>
                <w:lang w:val="en"/>
              </w:rPr>
              <w:t>2</w:t>
            </w:r>
            <w:r w:rsidRPr="009C610C">
              <w:rPr>
                <w:bCs/>
                <w:noProof/>
                <w:sz w:val="24"/>
                <w:vertAlign w:val="superscript"/>
                <w:lang w:val="en"/>
              </w:rPr>
              <w:t>nd</w:t>
            </w:r>
            <w:r w:rsidRPr="009C610C">
              <w:rPr>
                <w:bCs/>
                <w:noProof/>
                <w:sz w:val="24"/>
                <w:lang w:val="en"/>
              </w:rPr>
              <w:t xml:space="preserve"> period of validity</w:t>
            </w:r>
          </w:p>
        </w:tc>
        <w:tc>
          <w:tcPr>
            <w:tcW w:w="2281" w:type="pct"/>
          </w:tcPr>
          <w:p w14:paraId="05D7FB1C" w14:textId="77777777" w:rsidR="009C610C" w:rsidRPr="009C610C" w:rsidRDefault="009C610C" w:rsidP="009C610C">
            <w:pPr>
              <w:suppressAutoHyphens/>
              <w:ind w:left="709" w:hanging="709"/>
              <w:jc w:val="both"/>
              <w:rPr>
                <w:bCs/>
                <w:noProof/>
                <w:sz w:val="24"/>
                <w:lang w:val="en"/>
              </w:rPr>
            </w:pPr>
            <w:r w:rsidRPr="009C610C">
              <w:rPr>
                <w:bCs/>
                <w:noProof/>
                <w:sz w:val="24"/>
                <w:lang w:val="en"/>
              </w:rPr>
              <w:t>1 250 000 000 COP</w:t>
            </w:r>
          </w:p>
        </w:tc>
      </w:tr>
      <w:tr w:rsidR="009C610C" w:rsidRPr="009C610C" w14:paraId="36937B5C" w14:textId="77777777" w:rsidTr="009C610C">
        <w:tc>
          <w:tcPr>
            <w:tcW w:w="2719" w:type="pct"/>
          </w:tcPr>
          <w:p w14:paraId="42A2B08C" w14:textId="77777777" w:rsidR="009C610C" w:rsidRPr="009C610C" w:rsidRDefault="009C610C" w:rsidP="009C610C">
            <w:pPr>
              <w:suppressAutoHyphens/>
              <w:ind w:left="709" w:hanging="709"/>
              <w:jc w:val="both"/>
              <w:rPr>
                <w:bCs/>
                <w:noProof/>
                <w:sz w:val="24"/>
                <w:lang w:val="en"/>
              </w:rPr>
            </w:pPr>
            <w:r w:rsidRPr="009C610C">
              <w:rPr>
                <w:bCs/>
                <w:noProof/>
                <w:sz w:val="24"/>
                <w:lang w:val="en"/>
              </w:rPr>
              <w:t>3</w:t>
            </w:r>
            <w:r w:rsidRPr="009C610C">
              <w:rPr>
                <w:bCs/>
                <w:noProof/>
                <w:sz w:val="24"/>
                <w:vertAlign w:val="superscript"/>
                <w:lang w:val="en"/>
              </w:rPr>
              <w:t>rd</w:t>
            </w:r>
            <w:r w:rsidRPr="009C610C">
              <w:rPr>
                <w:bCs/>
                <w:noProof/>
                <w:sz w:val="24"/>
                <w:lang w:val="en"/>
              </w:rPr>
              <w:t xml:space="preserve"> period of validity</w:t>
            </w:r>
          </w:p>
        </w:tc>
        <w:tc>
          <w:tcPr>
            <w:tcW w:w="2281" w:type="pct"/>
          </w:tcPr>
          <w:p w14:paraId="765BB09D" w14:textId="77777777" w:rsidR="009C610C" w:rsidRPr="009C610C" w:rsidRDefault="009C610C" w:rsidP="009C610C">
            <w:pPr>
              <w:suppressAutoHyphens/>
              <w:ind w:left="709" w:hanging="709"/>
              <w:jc w:val="both"/>
              <w:rPr>
                <w:bCs/>
                <w:noProof/>
                <w:sz w:val="24"/>
                <w:lang w:val="en"/>
              </w:rPr>
            </w:pPr>
            <w:r w:rsidRPr="009C610C">
              <w:rPr>
                <w:bCs/>
                <w:noProof/>
                <w:sz w:val="24"/>
                <w:lang w:val="en"/>
              </w:rPr>
              <w:t>1 250 000 000 COP</w:t>
            </w:r>
          </w:p>
        </w:tc>
      </w:tr>
      <w:tr w:rsidR="009C610C" w:rsidRPr="009C610C" w14:paraId="516F46B9" w14:textId="77777777" w:rsidTr="009C610C">
        <w:tc>
          <w:tcPr>
            <w:tcW w:w="2719" w:type="pct"/>
          </w:tcPr>
          <w:p w14:paraId="52F049DE" w14:textId="77777777" w:rsidR="009C610C" w:rsidRPr="009C610C" w:rsidRDefault="009C610C" w:rsidP="009C610C">
            <w:pPr>
              <w:suppressAutoHyphens/>
              <w:ind w:left="709" w:hanging="709"/>
              <w:jc w:val="both"/>
              <w:rPr>
                <w:bCs/>
                <w:noProof/>
                <w:sz w:val="24"/>
                <w:lang w:val="en"/>
              </w:rPr>
            </w:pPr>
            <w:r w:rsidRPr="009C610C">
              <w:rPr>
                <w:bCs/>
                <w:noProof/>
                <w:sz w:val="24"/>
                <w:lang w:val="en"/>
              </w:rPr>
              <w:t>4</w:t>
            </w:r>
            <w:r w:rsidRPr="009C610C">
              <w:rPr>
                <w:bCs/>
                <w:noProof/>
                <w:sz w:val="24"/>
                <w:vertAlign w:val="superscript"/>
                <w:lang w:val="en"/>
              </w:rPr>
              <w:t>th</w:t>
            </w:r>
            <w:r w:rsidRPr="009C610C">
              <w:rPr>
                <w:bCs/>
                <w:noProof/>
                <w:sz w:val="24"/>
                <w:lang w:val="en"/>
              </w:rPr>
              <w:t xml:space="preserve"> and final period of validity</w:t>
            </w:r>
          </w:p>
        </w:tc>
        <w:tc>
          <w:tcPr>
            <w:tcW w:w="2281" w:type="pct"/>
          </w:tcPr>
          <w:p w14:paraId="674EB47E" w14:textId="77777777" w:rsidR="009C610C" w:rsidRPr="009C610C" w:rsidRDefault="009C610C" w:rsidP="009C610C">
            <w:pPr>
              <w:suppressAutoHyphens/>
              <w:ind w:left="709" w:hanging="709"/>
              <w:jc w:val="both"/>
              <w:rPr>
                <w:bCs/>
                <w:noProof/>
                <w:sz w:val="24"/>
                <w:lang w:val="en"/>
              </w:rPr>
            </w:pPr>
            <w:r w:rsidRPr="009C610C">
              <w:rPr>
                <w:bCs/>
                <w:noProof/>
                <w:sz w:val="24"/>
                <w:lang w:val="en"/>
              </w:rPr>
              <w:t>1 250 000 000 COP</w:t>
            </w:r>
          </w:p>
        </w:tc>
      </w:tr>
      <w:tr w:rsidR="009C610C" w:rsidRPr="009C610C" w14:paraId="620E0B82" w14:textId="77777777" w:rsidTr="009C610C">
        <w:tc>
          <w:tcPr>
            <w:tcW w:w="2719" w:type="pct"/>
          </w:tcPr>
          <w:p w14:paraId="34F91833" w14:textId="77777777" w:rsidR="009C610C" w:rsidRPr="009C610C" w:rsidRDefault="009C610C" w:rsidP="009C610C">
            <w:pPr>
              <w:suppressAutoHyphens/>
              <w:ind w:left="709" w:hanging="709"/>
              <w:jc w:val="both"/>
              <w:rPr>
                <w:b/>
                <w:bCs/>
                <w:noProof/>
                <w:sz w:val="24"/>
                <w:lang w:val="en"/>
              </w:rPr>
            </w:pPr>
            <w:r w:rsidRPr="009C610C">
              <w:rPr>
                <w:b/>
                <w:bCs/>
                <w:noProof/>
                <w:sz w:val="24"/>
                <w:lang w:val="en"/>
              </w:rPr>
              <w:t>TOTAL</w:t>
            </w:r>
          </w:p>
        </w:tc>
        <w:tc>
          <w:tcPr>
            <w:tcW w:w="2281" w:type="pct"/>
          </w:tcPr>
          <w:p w14:paraId="53223312" w14:textId="77777777" w:rsidR="009C610C" w:rsidRPr="009C610C" w:rsidRDefault="009C610C" w:rsidP="009C610C">
            <w:pPr>
              <w:suppressAutoHyphens/>
              <w:ind w:left="709" w:hanging="709"/>
              <w:jc w:val="both"/>
              <w:rPr>
                <w:b/>
                <w:bCs/>
                <w:noProof/>
                <w:sz w:val="24"/>
                <w:lang w:val="en"/>
              </w:rPr>
            </w:pPr>
            <w:r w:rsidRPr="009C610C">
              <w:rPr>
                <w:b/>
                <w:bCs/>
                <w:noProof/>
                <w:sz w:val="24"/>
                <w:lang w:val="en"/>
              </w:rPr>
              <w:t>5 000 000 000 COP</w:t>
            </w:r>
          </w:p>
        </w:tc>
      </w:tr>
    </w:tbl>
    <w:p w14:paraId="1B068C47" w14:textId="6A748A30" w:rsidR="00AC78D7" w:rsidRPr="00EC5014" w:rsidRDefault="003A4A56" w:rsidP="00182E5F">
      <w:pPr>
        <w:pStyle w:val="u"/>
        <w:widowControl w:val="0"/>
        <w:numPr>
          <w:ilvl w:val="12"/>
          <w:numId w:val="0"/>
        </w:numPr>
        <w:spacing w:before="120"/>
        <w:ind w:left="709"/>
        <w:rPr>
          <w:rFonts w:asciiTheme="minorHAnsi" w:hAnsiTheme="minorHAnsi"/>
          <w:sz w:val="24"/>
          <w:lang w:val="en-GB"/>
        </w:rPr>
      </w:pPr>
      <w:r>
        <w:rPr>
          <w:rFonts w:asciiTheme="minorHAnsi" w:hAnsiTheme="minorHAnsi"/>
          <w:sz w:val="24"/>
          <w:lang w:val="en"/>
        </w:rPr>
        <w:t xml:space="preserve">This FWC does not specify a minimum amount. </w:t>
      </w:r>
      <w:r w:rsidR="00F8787A">
        <w:rPr>
          <w:rFonts w:asciiTheme="minorHAnsi" w:hAnsiTheme="minorHAnsi"/>
          <w:sz w:val="24"/>
          <w:lang w:val="en"/>
        </w:rPr>
        <w:t>Expertise France</w:t>
      </w:r>
      <w:r>
        <w:rPr>
          <w:rFonts w:asciiTheme="minorHAnsi" w:hAnsiTheme="minorHAnsi"/>
          <w:sz w:val="24"/>
          <w:lang w:val="en"/>
        </w:rPr>
        <w:t xml:space="preserve"> is therefore not committed to any minimum level of purchase within the scope of the FWC.</w:t>
      </w:r>
    </w:p>
    <w:p w14:paraId="4BD7AF57" w14:textId="5F12901F" w:rsidR="00131134" w:rsidRDefault="00131134" w:rsidP="00131134">
      <w:pPr>
        <w:spacing w:after="120"/>
        <w:ind w:left="709"/>
        <w:jc w:val="both"/>
        <w:rPr>
          <w:sz w:val="24"/>
          <w:lang w:val="en-US"/>
        </w:rPr>
      </w:pPr>
      <w:r w:rsidRPr="002E3A9E">
        <w:rPr>
          <w:sz w:val="24"/>
          <w:lang w:val="en-US"/>
        </w:rPr>
        <w:t xml:space="preserve">The contract amount only includes the fees paid under this contract and does not take into account the salaries </w:t>
      </w:r>
      <w:r w:rsidR="00A715EF">
        <w:rPr>
          <w:sz w:val="24"/>
          <w:lang w:val="en-US"/>
        </w:rPr>
        <w:t xml:space="preserve">to be </w:t>
      </w:r>
      <w:r w:rsidRPr="002E3A9E">
        <w:rPr>
          <w:sz w:val="24"/>
          <w:lang w:val="en-US"/>
        </w:rPr>
        <w:t>paid (overall cost).</w:t>
      </w:r>
    </w:p>
    <w:p w14:paraId="1A986A19" w14:textId="77777777" w:rsidR="00131134" w:rsidRDefault="00131134" w:rsidP="00131134">
      <w:pPr>
        <w:spacing w:after="120"/>
        <w:ind w:left="709"/>
        <w:jc w:val="both"/>
        <w:rPr>
          <w:sz w:val="24"/>
          <w:lang w:val="en-US"/>
        </w:rPr>
      </w:pPr>
      <w:r w:rsidRPr="00942EA6">
        <w:rPr>
          <w:sz w:val="24"/>
          <w:lang w:val="en-US"/>
        </w:rPr>
        <w:t xml:space="preserve">Prices are deemed to be complete and include in particular all tax (except VAT), parafiscal or other charges necessarily binding the </w:t>
      </w:r>
      <w:r>
        <w:rPr>
          <w:sz w:val="24"/>
          <w:lang w:val="en-US"/>
        </w:rPr>
        <w:t>services</w:t>
      </w:r>
      <w:r w:rsidRPr="00942EA6">
        <w:rPr>
          <w:sz w:val="24"/>
          <w:lang w:val="en-US"/>
        </w:rPr>
        <w:t>. The prices cover all the services described in the specifications</w:t>
      </w:r>
      <w:r>
        <w:rPr>
          <w:sz w:val="24"/>
          <w:lang w:val="en-US"/>
        </w:rPr>
        <w:t xml:space="preserve"> (Annex I)</w:t>
      </w:r>
      <w:r w:rsidRPr="00942EA6">
        <w:rPr>
          <w:sz w:val="24"/>
          <w:lang w:val="en-US"/>
        </w:rPr>
        <w:t>, including all the fees, expenses, charges and various expenses related to the service.</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18E66E64" w:rsidR="0039009F" w:rsidRPr="009C610C" w:rsidRDefault="009C610C" w:rsidP="009C610C">
      <w:pPr>
        <w:spacing w:after="120"/>
        <w:ind w:left="709"/>
        <w:jc w:val="both"/>
        <w:rPr>
          <w:sz w:val="24"/>
          <w:lang w:val="en-US"/>
        </w:rPr>
      </w:pPr>
      <w:r w:rsidRPr="009C610C">
        <w:rPr>
          <w:sz w:val="24"/>
          <w:lang w:val="en-US"/>
        </w:rPr>
        <w:t>All p</w:t>
      </w:r>
      <w:r w:rsidR="0039009F" w:rsidRPr="009C610C">
        <w:rPr>
          <w:sz w:val="24"/>
          <w:lang w:val="en-US"/>
        </w:rPr>
        <w:t xml:space="preserve">rices are firm and not subject to revision throughout the </w:t>
      </w:r>
      <w:r w:rsidRPr="009C610C">
        <w:rPr>
          <w:sz w:val="24"/>
          <w:lang w:val="en-US"/>
        </w:rPr>
        <w:t xml:space="preserve">initial </w:t>
      </w:r>
      <w:r w:rsidR="0039009F" w:rsidRPr="009C610C">
        <w:rPr>
          <w:sz w:val="24"/>
          <w:lang w:val="en-US"/>
        </w:rPr>
        <w:t xml:space="preserve">term of the FWC. </w:t>
      </w:r>
    </w:p>
    <w:p w14:paraId="1E35C4B0" w14:textId="50C7AA2B" w:rsidR="009C610C" w:rsidRPr="009C610C" w:rsidRDefault="009C610C" w:rsidP="009C610C">
      <w:pPr>
        <w:spacing w:after="120"/>
        <w:ind w:left="709"/>
        <w:jc w:val="both"/>
        <w:rPr>
          <w:sz w:val="24"/>
          <w:lang w:val="en-US"/>
        </w:rPr>
      </w:pPr>
      <w:r w:rsidRPr="009C610C">
        <w:rPr>
          <w:sz w:val="24"/>
          <w:lang w:val="en-US"/>
        </w:rPr>
        <w:t xml:space="preserve">The prices expressed in terms of applicable rates indicated by the holder in the financial appendix (annex 2 of the contract) are firm and non-revisable for the entire duration of the FWC (i.e. 48 months). </w:t>
      </w:r>
    </w:p>
    <w:p w14:paraId="77DDBBA1" w14:textId="77777777" w:rsidR="009C610C" w:rsidRPr="009C610C" w:rsidRDefault="009C610C" w:rsidP="009C610C">
      <w:pPr>
        <w:spacing w:after="120"/>
        <w:ind w:left="709"/>
        <w:jc w:val="both"/>
        <w:rPr>
          <w:sz w:val="24"/>
          <w:lang w:val="en-US"/>
        </w:rPr>
      </w:pPr>
      <w:r w:rsidRPr="009C610C">
        <w:rPr>
          <w:sz w:val="24"/>
          <w:lang w:val="en-US"/>
        </w:rPr>
        <w:t xml:space="preserve">Prices relating to insurance services, medical assistance and visa fees, expressed in monetary terms, may be revised each year on the anniversary date of the FWC (notification date). </w:t>
      </w:r>
    </w:p>
    <w:p w14:paraId="1A000353" w14:textId="77777777" w:rsidR="009C610C" w:rsidRDefault="009C610C" w:rsidP="009C610C">
      <w:pPr>
        <w:ind w:left="709"/>
        <w:rPr>
          <w:sz w:val="24"/>
          <w:lang w:val="en-US"/>
        </w:rPr>
      </w:pPr>
      <w:r w:rsidRPr="009C610C">
        <w:rPr>
          <w:sz w:val="24"/>
          <w:lang w:val="en-US"/>
        </w:rPr>
        <w:t xml:space="preserve">In this case, the contractor undertakes to send Expertise France the revised price list at least 2 months before the anniversary date of the FWC, for approval. </w:t>
      </w:r>
    </w:p>
    <w:p w14:paraId="27B146FD" w14:textId="0CA46694" w:rsidR="009C610C" w:rsidRPr="009C610C" w:rsidRDefault="009C610C" w:rsidP="009C610C">
      <w:pPr>
        <w:ind w:left="709"/>
        <w:rPr>
          <w:sz w:val="24"/>
          <w:u w:val="single"/>
          <w:lang w:val="en-US"/>
        </w:rPr>
      </w:pPr>
      <w:r w:rsidRPr="009C610C">
        <w:rPr>
          <w:sz w:val="24"/>
          <w:u w:val="single"/>
          <w:lang w:val="en-US"/>
        </w:rPr>
        <w:t>In any event, the revised prices may not exceed the initial prices by more than 5% for the total duration of the FWC (i.e. 48 months).</w:t>
      </w:r>
    </w:p>
    <w:p w14:paraId="6DDCFEB7" w14:textId="1B1986C9" w:rsidR="009C610C" w:rsidRDefault="009C610C" w:rsidP="009C610C">
      <w:pPr>
        <w:spacing w:after="120"/>
        <w:ind w:left="709"/>
        <w:jc w:val="both"/>
        <w:rPr>
          <w:sz w:val="24"/>
          <w:lang w:val="en-US"/>
        </w:rPr>
      </w:pPr>
    </w:p>
    <w:p w14:paraId="506F4BFD" w14:textId="4094D8F9" w:rsidR="00487D5D" w:rsidRPr="00EC5014" w:rsidRDefault="00487D5D" w:rsidP="00487D5D">
      <w:pPr>
        <w:pStyle w:val="Titre2"/>
        <w:rPr>
          <w:lang w:val="en-GB"/>
        </w:rPr>
      </w:pPr>
      <w:r>
        <w:rPr>
          <w:bCs/>
          <w:lang w:val="en"/>
        </w:rPr>
        <w:lastRenderedPageBreak/>
        <w:t>Article I.4 – Payment process and execution of the framework contract</w:t>
      </w:r>
      <w:r>
        <w:rPr>
          <w:rStyle w:val="Appelnotedebasdep"/>
          <w:bCs/>
          <w:i/>
          <w:iCs/>
          <w:sz w:val="24"/>
          <w:lang w:val="en"/>
        </w:rPr>
        <w:footnoteReference w:id="5"/>
      </w:r>
    </w:p>
    <w:p w14:paraId="58C30BD0" w14:textId="763037E0"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161F6575" w:rsidR="00992186" w:rsidRPr="009C610C" w:rsidRDefault="008F6F93" w:rsidP="009C610C">
      <w:pPr>
        <w:spacing w:after="120"/>
        <w:ind w:left="709"/>
        <w:jc w:val="both"/>
        <w:rPr>
          <w:sz w:val="24"/>
          <w:lang w:val="en-US"/>
        </w:rPr>
      </w:pPr>
      <w:r w:rsidRPr="009C610C">
        <w:rPr>
          <w:sz w:val="24"/>
          <w:lang w:val="en-US"/>
        </w:rPr>
        <w:t xml:space="preserve">Following emergence of its needs, </w:t>
      </w:r>
      <w:r w:rsidR="00F8787A" w:rsidRPr="009C610C">
        <w:rPr>
          <w:sz w:val="24"/>
          <w:lang w:val="en-US"/>
        </w:rPr>
        <w:t>Expertise France</w:t>
      </w:r>
      <w:r w:rsidRPr="009C610C">
        <w:rPr>
          <w:sz w:val="24"/>
          <w:lang w:val="en-US"/>
        </w:rPr>
        <w:t xml:space="preserve"> shall send purchase orders to the Contractor, determining the quantity of purchased items. Purchase orders shall be duly dated and signed by </w:t>
      </w:r>
      <w:r w:rsidR="00F8787A" w:rsidRPr="009C610C">
        <w:rPr>
          <w:sz w:val="24"/>
          <w:lang w:val="en-US"/>
        </w:rPr>
        <w:t>Expertise France</w:t>
      </w:r>
      <w:r w:rsidRPr="009C610C">
        <w:rPr>
          <w:sz w:val="24"/>
          <w:lang w:val="en-US"/>
        </w:rPr>
        <w:t xml:space="preserve"> and forwarded by e-mail to the Contractor.</w:t>
      </w:r>
    </w:p>
    <w:p w14:paraId="10DAEBC1" w14:textId="6E50F3DD" w:rsidR="008F6F93" w:rsidRPr="009C610C" w:rsidRDefault="00A1036F" w:rsidP="009C610C">
      <w:pPr>
        <w:spacing w:after="120"/>
        <w:ind w:left="709"/>
        <w:jc w:val="both"/>
        <w:rPr>
          <w:sz w:val="24"/>
          <w:lang w:val="en-US"/>
        </w:rPr>
      </w:pPr>
      <w:r w:rsidRPr="009C610C">
        <w:rPr>
          <w:sz w:val="24"/>
          <w:lang w:val="en-US"/>
        </w:rPr>
        <w:t xml:space="preserve">The period allowed </w:t>
      </w:r>
      <w:r w:rsidR="00487D5D" w:rsidRPr="009C610C">
        <w:rPr>
          <w:sz w:val="24"/>
          <w:lang w:val="en-US"/>
        </w:rPr>
        <w:t>for the execution of the tasks shall start to run on the date of notification of the purchase order to the Contractor, unless a different date is stated in the document.</w:t>
      </w:r>
    </w:p>
    <w:p w14:paraId="289A5A57" w14:textId="50BDC5D5" w:rsidR="00841F37" w:rsidRPr="00841F37" w:rsidRDefault="00841F37" w:rsidP="00841F37">
      <w:pPr>
        <w:jc w:val="both"/>
        <w:rPr>
          <w:color w:val="000000"/>
          <w:sz w:val="24"/>
          <w:lang w:val="en-GB"/>
        </w:rPr>
      </w:pPr>
      <w:r w:rsidRPr="00841F37">
        <w:rPr>
          <w:b/>
          <w:bCs/>
          <w:sz w:val="24"/>
          <w:lang w:val="en"/>
        </w:rPr>
        <w:t xml:space="preserve">I.4.2 </w:t>
      </w:r>
      <w:r w:rsidR="00A715EF">
        <w:rPr>
          <w:b/>
          <w:bCs/>
          <w:sz w:val="24"/>
          <w:lang w:val="en"/>
        </w:rPr>
        <w:t>Advance</w:t>
      </w:r>
      <w:r w:rsidRPr="00841F37">
        <w:rPr>
          <w:sz w:val="24"/>
          <w:vertAlign w:val="superscript"/>
          <w:lang w:val="en"/>
        </w:rPr>
        <w:footnoteReference w:id="6"/>
      </w:r>
    </w:p>
    <w:p w14:paraId="675FE925" w14:textId="77777777" w:rsidR="009C610C" w:rsidRPr="009C610C" w:rsidRDefault="009C610C" w:rsidP="009C610C">
      <w:pPr>
        <w:spacing w:after="120"/>
        <w:ind w:left="709"/>
        <w:jc w:val="both"/>
        <w:rPr>
          <w:sz w:val="24"/>
          <w:lang w:val="en-US"/>
        </w:rPr>
      </w:pPr>
      <w:r w:rsidRPr="009C610C">
        <w:rPr>
          <w:sz w:val="24"/>
          <w:lang w:val="en-US"/>
        </w:rPr>
        <w:t>Under the conditions set out in Articles R2191-3 and R2191-16 of the French Public Procurement Code, an advance payment of 20% of the amount of each purchase order shall be granted to the CONTRACTOR upon notification of the purchase order in question.</w:t>
      </w:r>
    </w:p>
    <w:p w14:paraId="448887CF" w14:textId="4399EEDC" w:rsidR="00841F37" w:rsidRPr="009C610C" w:rsidRDefault="009C610C" w:rsidP="009C610C">
      <w:pPr>
        <w:spacing w:after="120"/>
        <w:ind w:left="709"/>
        <w:jc w:val="both"/>
        <w:rPr>
          <w:sz w:val="24"/>
          <w:lang w:val="en-US"/>
        </w:rPr>
      </w:pPr>
      <w:r w:rsidRPr="009C610C">
        <w:rPr>
          <w:sz w:val="24"/>
          <w:lang w:val="en-US"/>
        </w:rPr>
        <w:t>The CONTRACTOR may waive payment of the advance.</w:t>
      </w:r>
    </w:p>
    <w:p w14:paraId="1F38932B" w14:textId="109F711F" w:rsidR="00487D5D" w:rsidRPr="00EC5014" w:rsidRDefault="005B0E32" w:rsidP="00487D5D">
      <w:pPr>
        <w:jc w:val="both"/>
        <w:rPr>
          <w:lang w:val="en-GB"/>
        </w:rPr>
      </w:pPr>
      <w:r>
        <w:rPr>
          <w:b/>
          <w:bCs/>
          <w:noProof/>
          <w:color w:val="000000"/>
          <w:sz w:val="24"/>
          <w:lang w:val="en"/>
        </w:rPr>
        <w:t>I.4.</w:t>
      </w:r>
      <w:r w:rsidR="00841F37">
        <w:rPr>
          <w:b/>
          <w:bCs/>
          <w:noProof/>
          <w:color w:val="000000"/>
          <w:sz w:val="24"/>
          <w:lang w:val="en"/>
        </w:rPr>
        <w:t>3</w:t>
      </w:r>
      <w:r>
        <w:rPr>
          <w:b/>
          <w:bCs/>
          <w:sz w:val="24"/>
          <w:lang w:val="en"/>
        </w:rPr>
        <w:tab/>
        <w:t>Interim payments</w:t>
      </w:r>
    </w:p>
    <w:p w14:paraId="47E98F83" w14:textId="4FC37300" w:rsidR="00C94CBC" w:rsidRPr="009C610C" w:rsidRDefault="00C94CBC" w:rsidP="009C610C">
      <w:pPr>
        <w:spacing w:after="120"/>
        <w:ind w:left="709"/>
        <w:jc w:val="both"/>
        <w:rPr>
          <w:sz w:val="24"/>
          <w:lang w:val="en-US"/>
        </w:rPr>
      </w:pPr>
      <w:r w:rsidRPr="009C610C">
        <w:rPr>
          <w:sz w:val="24"/>
          <w:lang w:val="en-US"/>
        </w:rPr>
        <w:t xml:space="preserve">Periodic </w:t>
      </w:r>
      <w:r w:rsidR="00D22094" w:rsidRPr="009C610C">
        <w:rPr>
          <w:sz w:val="24"/>
          <w:lang w:val="en-US"/>
        </w:rPr>
        <w:t>monthly</w:t>
      </w:r>
      <w:r w:rsidRPr="009C610C">
        <w:rPr>
          <w:sz w:val="24"/>
          <w:lang w:val="en-US"/>
        </w:rPr>
        <w:t xml:space="preserve"> interim payments may be made to the Contractor. The amount of interim payments shall not exceed the value of services performed by the Contractor and validated by </w:t>
      </w:r>
      <w:r w:rsidR="00F8787A" w:rsidRPr="009C610C">
        <w:rPr>
          <w:sz w:val="24"/>
          <w:lang w:val="en-US"/>
        </w:rPr>
        <w:t>Expertise France</w:t>
      </w:r>
      <w:r w:rsidRPr="009C610C">
        <w:rPr>
          <w:sz w:val="24"/>
          <w:lang w:val="en-US"/>
        </w:rPr>
        <w:t>.</w:t>
      </w:r>
    </w:p>
    <w:p w14:paraId="5CB0542F" w14:textId="1B5B5638" w:rsidR="00C94CBC" w:rsidRPr="009C610C" w:rsidRDefault="00C94CBC" w:rsidP="009C610C">
      <w:pPr>
        <w:spacing w:after="120"/>
        <w:ind w:left="709"/>
        <w:jc w:val="both"/>
        <w:rPr>
          <w:sz w:val="24"/>
          <w:lang w:val="en-US"/>
        </w:rPr>
      </w:pPr>
      <w:r w:rsidRPr="009C610C">
        <w:rPr>
          <w:sz w:val="24"/>
          <w:lang w:val="en-US"/>
        </w:rPr>
        <w:t>The cumulative amount of interim payments shall not exceed 9</w:t>
      </w:r>
      <w:r w:rsidR="009C610C" w:rsidRPr="009C610C">
        <w:rPr>
          <w:sz w:val="24"/>
          <w:lang w:val="en-US"/>
        </w:rPr>
        <w:t>0</w:t>
      </w:r>
      <w:r w:rsidRPr="009C610C">
        <w:rPr>
          <w:sz w:val="24"/>
          <w:lang w:val="en-US"/>
        </w:rPr>
        <w:t>% of</w:t>
      </w:r>
      <w:r w:rsidR="004A6783" w:rsidRPr="009C610C">
        <w:rPr>
          <w:sz w:val="24"/>
          <w:lang w:val="en-US"/>
        </w:rPr>
        <w:t xml:space="preserve"> the item in question.</w:t>
      </w:r>
    </w:p>
    <w:p w14:paraId="739A853C" w14:textId="5CEDB467" w:rsidR="00C94CBC" w:rsidRPr="009C610C" w:rsidRDefault="00910241" w:rsidP="009C610C">
      <w:pPr>
        <w:spacing w:after="120"/>
        <w:ind w:left="709"/>
        <w:jc w:val="both"/>
        <w:rPr>
          <w:sz w:val="24"/>
          <w:lang w:val="en-US"/>
        </w:rPr>
      </w:pPr>
      <w:r w:rsidRPr="009C610C">
        <w:rPr>
          <w:sz w:val="24"/>
          <w:lang w:val="en-US"/>
        </w:rPr>
        <w:t>Interim payments do not constitute proof of full or even partial acceptance and do not discharge the Contractor from its obligations under the contract and/or the purchase order.</w:t>
      </w:r>
    </w:p>
    <w:p w14:paraId="1514AFC9" w14:textId="6A317039" w:rsidR="00487D5D" w:rsidRPr="009C610C" w:rsidRDefault="00487D5D" w:rsidP="009C610C">
      <w:pPr>
        <w:spacing w:after="120"/>
        <w:ind w:left="709"/>
        <w:jc w:val="both"/>
        <w:rPr>
          <w:sz w:val="24"/>
          <w:lang w:val="en-US"/>
        </w:rPr>
      </w:pPr>
      <w:r w:rsidRPr="009C610C">
        <w:rPr>
          <w:sz w:val="24"/>
          <w:lang w:val="en-US"/>
        </w:rPr>
        <w:t>Invoices for interim p</w:t>
      </w:r>
      <w:r w:rsidR="00BA2DAB" w:rsidRPr="009C610C">
        <w:rPr>
          <w:sz w:val="24"/>
          <w:lang w:val="en-US"/>
        </w:rPr>
        <w:t xml:space="preserve">ayment shall be accompanied by </w:t>
      </w:r>
      <w:r w:rsidRPr="009C610C">
        <w:rPr>
          <w:sz w:val="24"/>
          <w:lang w:val="en-US"/>
        </w:rPr>
        <w:t>a progress report or any other document in accordance with the relevant specific contract</w:t>
      </w:r>
      <w:r w:rsidR="00BA2DAB" w:rsidRPr="009C610C">
        <w:rPr>
          <w:sz w:val="24"/>
          <w:lang w:val="en-US"/>
        </w:rPr>
        <w:t xml:space="preserve"> justifying the expenses and costs of the service (including number of working days)</w:t>
      </w:r>
      <w:r w:rsidRPr="009C610C">
        <w:rPr>
          <w:sz w:val="24"/>
          <w:lang w:val="en-US"/>
        </w:rPr>
        <w:t xml:space="preserve">. </w:t>
      </w:r>
      <w:r w:rsidR="00F8787A" w:rsidRPr="009C610C">
        <w:rPr>
          <w:sz w:val="24"/>
          <w:lang w:val="en-US"/>
        </w:rPr>
        <w:t>Expertise France</w:t>
      </w:r>
      <w:r w:rsidRPr="009C610C">
        <w:rPr>
          <w:sz w:val="24"/>
          <w:lang w:val="en-US"/>
        </w:rPr>
        <w:t xml:space="preserve"> shall make the payment within 30 days from receipt of the invoice. The Contractor shall have </w:t>
      </w:r>
      <w:r w:rsidR="00BA2DAB" w:rsidRPr="009C610C">
        <w:rPr>
          <w:sz w:val="24"/>
          <w:lang w:val="en-US"/>
        </w:rPr>
        <w:t>10</w:t>
      </w:r>
      <w:r w:rsidRPr="009C610C">
        <w:rPr>
          <w:sz w:val="24"/>
          <w:lang w:val="en-US"/>
        </w:rPr>
        <w:t xml:space="preserve"> days in which to submit additional information or corrections, a new progress report or other documents if required by </w:t>
      </w:r>
      <w:r w:rsidR="00F8787A" w:rsidRPr="009C610C">
        <w:rPr>
          <w:sz w:val="24"/>
          <w:lang w:val="en-US"/>
        </w:rPr>
        <w:t>Expertise France</w:t>
      </w:r>
      <w:r w:rsidRPr="009C610C">
        <w:rPr>
          <w:sz w:val="24"/>
          <w:lang w:val="en-US"/>
        </w:rPr>
        <w:t>.</w:t>
      </w:r>
    </w:p>
    <w:p w14:paraId="05AB269C" w14:textId="049711AE" w:rsidR="00BA2DAB" w:rsidRPr="009C610C" w:rsidRDefault="00A17321" w:rsidP="009C610C">
      <w:pPr>
        <w:spacing w:after="120"/>
        <w:ind w:left="709"/>
        <w:jc w:val="both"/>
        <w:rPr>
          <w:sz w:val="24"/>
          <w:lang w:val="en-US"/>
        </w:rPr>
      </w:pPr>
      <w:r w:rsidRPr="009C610C">
        <w:rPr>
          <w:sz w:val="24"/>
          <w:lang w:val="en-US"/>
        </w:rPr>
        <w:lastRenderedPageBreak/>
        <w:t>The invoice shall be issued in the name of “Embajada de Francia (NIT 800 090871-5), with the following mention “Por cuenta de (on behalf of) Expertise France”.</w:t>
      </w:r>
    </w:p>
    <w:p w14:paraId="55A86B6A" w14:textId="6622336A" w:rsidR="00487D5D" w:rsidRPr="00EC5014" w:rsidRDefault="00487D5D" w:rsidP="00487D5D">
      <w:pPr>
        <w:ind w:left="709" w:hanging="709"/>
        <w:jc w:val="both"/>
        <w:rPr>
          <w:b/>
          <w:color w:val="000000"/>
          <w:sz w:val="24"/>
          <w:lang w:val="en-GB"/>
        </w:rPr>
      </w:pPr>
      <w:r>
        <w:rPr>
          <w:b/>
          <w:bCs/>
          <w:noProof/>
          <w:color w:val="000000"/>
          <w:sz w:val="24"/>
          <w:lang w:val="en"/>
        </w:rPr>
        <w:t>I.4.</w:t>
      </w:r>
      <w:r w:rsidR="00841F37">
        <w:rPr>
          <w:b/>
          <w:bCs/>
          <w:noProof/>
          <w:color w:val="000000"/>
          <w:sz w:val="24"/>
          <w:lang w:val="en"/>
        </w:rPr>
        <w:t>4</w:t>
      </w:r>
      <w:r>
        <w:rPr>
          <w:b/>
          <w:bCs/>
          <w:sz w:val="24"/>
          <w:lang w:val="en"/>
        </w:rPr>
        <w:t xml:space="preserve"> Payment of the balance</w:t>
      </w:r>
    </w:p>
    <w:p w14:paraId="392DA098" w14:textId="77777777" w:rsidR="00487D5D" w:rsidRPr="009C610C" w:rsidRDefault="00487D5D" w:rsidP="009C610C">
      <w:pPr>
        <w:spacing w:after="120"/>
        <w:ind w:left="709"/>
        <w:jc w:val="both"/>
        <w:rPr>
          <w:sz w:val="24"/>
          <w:lang w:val="en-US"/>
        </w:rPr>
      </w:pPr>
      <w:r w:rsidRPr="009C610C">
        <w:rPr>
          <w:sz w:val="24"/>
          <w:lang w:val="en-US"/>
        </w:rPr>
        <w:t xml:space="preserve">The Contractor shall submit an invoice for payment of the balance. </w:t>
      </w:r>
    </w:p>
    <w:p w14:paraId="67ABD530" w14:textId="5C742379" w:rsidR="00487D5D" w:rsidRPr="009C610C" w:rsidRDefault="00487D5D" w:rsidP="009C610C">
      <w:pPr>
        <w:spacing w:after="120"/>
        <w:ind w:left="709"/>
        <w:jc w:val="both"/>
        <w:rPr>
          <w:sz w:val="24"/>
          <w:lang w:val="en-US"/>
        </w:rPr>
      </w:pPr>
      <w:r w:rsidRPr="009C610C">
        <w:rPr>
          <w:sz w:val="24"/>
          <w:lang w:val="en-US"/>
        </w:rPr>
        <w:t xml:space="preserve">The invoice shall be accompanied by the final report or any other document in accordance with the relevant specific contract. </w:t>
      </w:r>
      <w:r w:rsidR="00F8787A" w:rsidRPr="009C610C">
        <w:rPr>
          <w:sz w:val="24"/>
          <w:lang w:val="en-US"/>
        </w:rPr>
        <w:t>Expertise France</w:t>
      </w:r>
      <w:r w:rsidRPr="009C610C">
        <w:rPr>
          <w:sz w:val="24"/>
          <w:lang w:val="en-US"/>
        </w:rPr>
        <w:t xml:space="preserve"> shall make the payment within 30 days following receipt of the invoice. The Contractor shall have </w:t>
      </w:r>
      <w:r w:rsidR="00A17321" w:rsidRPr="009C610C">
        <w:rPr>
          <w:sz w:val="24"/>
          <w:lang w:val="en-US"/>
        </w:rPr>
        <w:t>10</w:t>
      </w:r>
      <w:r w:rsidRPr="009C610C">
        <w:rPr>
          <w:sz w:val="24"/>
          <w:lang w:val="en-US"/>
        </w:rPr>
        <w:t xml:space="preserve"> days in which to submit additional information or corrections, a new final report or other documents if required by </w:t>
      </w:r>
      <w:r w:rsidR="00F8787A" w:rsidRPr="009C610C">
        <w:rPr>
          <w:sz w:val="24"/>
          <w:lang w:val="en-US"/>
        </w:rPr>
        <w:t>Expertise France</w:t>
      </w:r>
      <w:r w:rsidR="00A17321" w:rsidRPr="009C610C">
        <w:rPr>
          <w:sz w:val="24"/>
          <w:lang w:val="en-US"/>
        </w:rPr>
        <w:t>.</w:t>
      </w:r>
    </w:p>
    <w:p w14:paraId="66545D09" w14:textId="77777777" w:rsidR="002F29A8" w:rsidRPr="009C610C" w:rsidRDefault="002F29A8" w:rsidP="009C610C">
      <w:pPr>
        <w:spacing w:after="120"/>
        <w:ind w:left="709"/>
        <w:jc w:val="both"/>
        <w:rPr>
          <w:sz w:val="24"/>
          <w:lang w:val="en-US"/>
        </w:rPr>
      </w:pPr>
      <w:r w:rsidRPr="009C610C">
        <w:rPr>
          <w:sz w:val="24"/>
          <w:lang w:val="en-US"/>
        </w:rPr>
        <w:t>The invoice shall be issued in the name of “Embajada de Francia (NIT 800 090871-5), with the following mention “Por cuenta de (on behalf of) Expertise France”.</w:t>
      </w:r>
    </w:p>
    <w:p w14:paraId="461E6DDA" w14:textId="77777777" w:rsidR="00487D5D" w:rsidRPr="00A83237" w:rsidRDefault="00487D5D" w:rsidP="00487D5D">
      <w:pPr>
        <w:pStyle w:val="Titre2"/>
        <w:rPr>
          <w:lang w:val="en-US"/>
        </w:rPr>
      </w:pPr>
      <w:r>
        <w:rPr>
          <w:bCs/>
          <w:lang w:val="en"/>
        </w:rPr>
        <w:t>Article I.5 – Bank account</w:t>
      </w:r>
    </w:p>
    <w:p w14:paraId="18690EC0" w14:textId="31C69A1C" w:rsidR="00487D5D" w:rsidRPr="009C610C" w:rsidRDefault="00487D5D" w:rsidP="009C610C">
      <w:pPr>
        <w:spacing w:after="120"/>
        <w:ind w:left="709"/>
        <w:jc w:val="both"/>
        <w:rPr>
          <w:sz w:val="24"/>
          <w:lang w:val="en-US"/>
        </w:rPr>
      </w:pPr>
      <w:r w:rsidRPr="009C610C">
        <w:rPr>
          <w:sz w:val="24"/>
          <w:lang w:val="en-US"/>
        </w:rPr>
        <w:t xml:space="preserve">Payments shall be made to the Contractor’s bank account denominated in </w:t>
      </w:r>
      <w:r w:rsidR="00D22094" w:rsidRPr="009C610C">
        <w:rPr>
          <w:sz w:val="24"/>
          <w:lang w:val="en-US"/>
        </w:rPr>
        <w:t>COP</w:t>
      </w:r>
      <w:r w:rsidRPr="009C610C">
        <w:rPr>
          <w:sz w:val="24"/>
          <w:lang w:val="en-US"/>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5905FC"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7"/>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3EBB6D46" w:rsidR="00EA0E0D" w:rsidRPr="009C610C" w:rsidRDefault="00487D5D" w:rsidP="009C610C">
      <w:pPr>
        <w:spacing w:after="120"/>
        <w:ind w:left="709"/>
        <w:jc w:val="both"/>
        <w:rPr>
          <w:sz w:val="24"/>
          <w:lang w:val="en-US"/>
        </w:rPr>
      </w:pPr>
      <w:r w:rsidRPr="009C610C">
        <w:rPr>
          <w:sz w:val="24"/>
          <w:lang w:val="en-US"/>
        </w:rPr>
        <w:t xml:space="preserve">For the purpose of Article II.6, the data controller shall be </w:t>
      </w:r>
      <w:r w:rsidR="00D22094" w:rsidRPr="009C610C">
        <w:rPr>
          <w:sz w:val="24"/>
          <w:lang w:val="en-US"/>
        </w:rPr>
        <w:t>Ingrid BUCHBERGER</w:t>
      </w:r>
      <w:r w:rsidRPr="009C610C">
        <w:rPr>
          <w:sz w:val="24"/>
          <w:lang w:val="en-US"/>
        </w:rPr>
        <w:t xml:space="preserve">. </w:t>
      </w:r>
    </w:p>
    <w:p w14:paraId="1EB2B8FB" w14:textId="77777777" w:rsidR="00841F37" w:rsidRPr="009C610C" w:rsidRDefault="00841F37" w:rsidP="009C610C">
      <w:pPr>
        <w:spacing w:after="120"/>
        <w:ind w:left="709"/>
        <w:jc w:val="both"/>
        <w:rPr>
          <w:sz w:val="24"/>
          <w:lang w:val="en-US"/>
        </w:rPr>
      </w:pPr>
      <w:r w:rsidRPr="009C610C">
        <w:rPr>
          <w:sz w:val="24"/>
          <w:lang w:val="en-US"/>
        </w:rPr>
        <w:br w:type="page"/>
      </w:r>
    </w:p>
    <w:p w14:paraId="1AE47188" w14:textId="1A077405" w:rsidR="00487D5D" w:rsidRPr="009C610C" w:rsidRDefault="00487D5D" w:rsidP="009C610C">
      <w:pPr>
        <w:spacing w:after="120"/>
        <w:ind w:left="709"/>
        <w:jc w:val="both"/>
        <w:rPr>
          <w:sz w:val="24"/>
          <w:lang w:val="en-US"/>
        </w:rPr>
      </w:pPr>
      <w:r w:rsidRPr="009C610C">
        <w:rPr>
          <w:sz w:val="24"/>
          <w:lang w:val="en-US"/>
        </w:rPr>
        <w:lastRenderedPageBreak/>
        <w:t>Communications shall be sent to the following addresses</w:t>
      </w:r>
    </w:p>
    <w:p w14:paraId="48E43D75" w14:textId="57D87F6E" w:rsidR="00487D5D" w:rsidRPr="00EC5014" w:rsidRDefault="002A4BF4" w:rsidP="009C610C">
      <w:pPr>
        <w:ind w:left="567" w:firstLine="142"/>
        <w:jc w:val="both"/>
        <w:outlineLvl w:val="0"/>
        <w:rPr>
          <w:sz w:val="24"/>
          <w:lang w:val="en-GB"/>
        </w:rPr>
      </w:pPr>
      <w:r>
        <w:rPr>
          <w:sz w:val="24"/>
          <w:u w:val="single"/>
          <w:lang w:val="en"/>
        </w:rPr>
        <w:t>Expertise France</w:t>
      </w:r>
      <w:r w:rsidR="00487D5D">
        <w:rPr>
          <w:sz w:val="24"/>
          <w:lang w:val="en"/>
        </w:rPr>
        <w:t>:</w:t>
      </w:r>
    </w:p>
    <w:p w14:paraId="4C53E2B1" w14:textId="092CEC3C" w:rsidR="00487D5D" w:rsidRPr="00EC5014" w:rsidRDefault="002C63E9" w:rsidP="009C610C">
      <w:pPr>
        <w:spacing w:after="0" w:afterAutospacing="0"/>
        <w:ind w:left="709"/>
        <w:outlineLvl w:val="0"/>
        <w:rPr>
          <w:sz w:val="24"/>
          <w:lang w:val="en-GB"/>
        </w:rPr>
      </w:pPr>
      <w:r>
        <w:rPr>
          <w:sz w:val="24"/>
          <w:lang w:val="en"/>
        </w:rPr>
        <w:t>Department</w:t>
      </w:r>
      <w:r w:rsidR="00883B6E">
        <w:rPr>
          <w:sz w:val="24"/>
          <w:lang w:val="en"/>
        </w:rPr>
        <w:t xml:space="preserve"> Géographique</w:t>
      </w:r>
      <w:r>
        <w:rPr>
          <w:sz w:val="24"/>
          <w:lang w:val="en"/>
        </w:rPr>
        <w:t xml:space="preserve"> </w:t>
      </w:r>
      <w:r>
        <w:rPr>
          <w:sz w:val="24"/>
          <w:lang w:val="en"/>
        </w:rPr>
        <w:br/>
        <w:t>40, boulevard de Port</w:t>
      </w:r>
      <w:r w:rsidR="00EA0E0D">
        <w:rPr>
          <w:sz w:val="24"/>
          <w:lang w:val="en"/>
        </w:rPr>
        <w:t>-</w:t>
      </w:r>
      <w:r>
        <w:rPr>
          <w:sz w:val="24"/>
          <w:lang w:val="en"/>
        </w:rPr>
        <w:t>Royal</w:t>
      </w:r>
      <w:r>
        <w:rPr>
          <w:sz w:val="24"/>
          <w:lang w:val="en"/>
        </w:rPr>
        <w:br/>
        <w:t>75005 PARIS</w:t>
      </w:r>
      <w:r w:rsidR="00EA0E0D">
        <w:rPr>
          <w:sz w:val="24"/>
          <w:lang w:val="en"/>
        </w:rPr>
        <w:t>, FRANCE</w:t>
      </w:r>
    </w:p>
    <w:p w14:paraId="492C805C" w14:textId="344C0A7B" w:rsidR="00487D5D" w:rsidRPr="00EC5014" w:rsidRDefault="009C610C" w:rsidP="002A4BF4">
      <w:pPr>
        <w:tabs>
          <w:tab w:val="left" w:pos="510"/>
          <w:tab w:val="num" w:pos="1485"/>
          <w:tab w:val="left" w:pos="10977"/>
        </w:tabs>
        <w:spacing w:before="0" w:beforeAutospacing="0"/>
        <w:ind w:left="567"/>
        <w:jc w:val="both"/>
        <w:outlineLvl w:val="0"/>
        <w:rPr>
          <w:i/>
          <w:sz w:val="24"/>
          <w:u w:val="single"/>
          <w:lang w:val="en-GB"/>
        </w:rPr>
      </w:pPr>
      <w:r>
        <w:rPr>
          <w:sz w:val="24"/>
          <w:lang w:val="en"/>
        </w:rPr>
        <w:tab/>
      </w:r>
      <w:r w:rsidR="00487D5D">
        <w:rPr>
          <w:sz w:val="24"/>
          <w:lang w:val="en"/>
        </w:rPr>
        <w:t xml:space="preserve">E-mail: </w:t>
      </w:r>
      <w:r w:rsidR="00883B6E">
        <w:rPr>
          <w:sz w:val="24"/>
          <w:lang w:val="en"/>
        </w:rPr>
        <w:t>ingrid.buchberger@expertisefrance.fr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178CB28" w14:textId="56CB3A56" w:rsidR="00353BD9" w:rsidRPr="00EC5014" w:rsidRDefault="0078797F" w:rsidP="00353BD9">
      <w:pPr>
        <w:jc w:val="both"/>
        <w:rPr>
          <w:sz w:val="24"/>
          <w:lang w:val="en-GB"/>
        </w:rPr>
      </w:pPr>
      <w:r>
        <w:rPr>
          <w:sz w:val="24"/>
          <w:lang w:val="en"/>
        </w:rPr>
        <w:t>Not applicable</w:t>
      </w:r>
    </w:p>
    <w:p w14:paraId="7FF9A797" w14:textId="77777777" w:rsidR="00353BD9" w:rsidRPr="00EC5014" w:rsidRDefault="00353BD9" w:rsidP="00353BD9">
      <w:pPr>
        <w:jc w:val="both"/>
        <w:rPr>
          <w:b/>
          <w:sz w:val="24"/>
          <w:lang w:val="en-GB"/>
        </w:rPr>
      </w:pPr>
      <w:r>
        <w:rPr>
          <w:b/>
          <w:bCs/>
          <w:sz w:val="24"/>
          <w:lang w:val="en"/>
        </w:rPr>
        <w:t>I.8.2 Pre-existing rights and transfer of rights</w:t>
      </w:r>
    </w:p>
    <w:p w14:paraId="4EBE9BF3" w14:textId="249547E8" w:rsidR="00353BD9" w:rsidRPr="00EC5014" w:rsidRDefault="0078797F" w:rsidP="00353BD9">
      <w:pPr>
        <w:jc w:val="both"/>
        <w:rPr>
          <w:lang w:val="en-GB"/>
        </w:rPr>
      </w:pPr>
      <w:r>
        <w:rPr>
          <w:sz w:val="24"/>
          <w:lang w:val="en"/>
        </w:rPr>
        <w:t>Not applicable</w:t>
      </w:r>
    </w:p>
    <w:p w14:paraId="0171A22E" w14:textId="26344B43"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2C8B5C19" w:rsidR="00353BD9" w:rsidRPr="00EC5014" w:rsidRDefault="00353BD9" w:rsidP="00353BD9">
      <w:pPr>
        <w:pStyle w:val="Titre2"/>
        <w:rPr>
          <w:lang w:val="en-GB"/>
        </w:rPr>
      </w:pPr>
      <w:r>
        <w:rPr>
          <w:bCs/>
          <w:lang w:val="en"/>
        </w:rPr>
        <w:t>Article I.10 – Other special</w:t>
      </w:r>
      <w:r w:rsidR="00B46E71">
        <w:rPr>
          <w:bCs/>
          <w:lang w:val="en"/>
        </w:rPr>
        <w:t xml:space="preserve"> conditions</w:t>
      </w:r>
    </w:p>
    <w:p w14:paraId="22CE70DF" w14:textId="71FDE619"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lastRenderedPageBreak/>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B77EA52" w14:textId="10C72AC4" w:rsidR="00745209" w:rsidRPr="00EC5014" w:rsidRDefault="00745209" w:rsidP="00745209">
      <w:pPr>
        <w:jc w:val="both"/>
        <w:rPr>
          <w:sz w:val="24"/>
          <w:lang w:val="en-GB"/>
        </w:rPr>
      </w:pPr>
      <w:r>
        <w:rPr>
          <w:sz w:val="24"/>
          <w:lang w:val="en"/>
        </w:rPr>
        <w:t>Substitution by a new pricing schedule if modifications or additions are made to the items in the initial pricing schedule, subject to approval by Expertise France;</w:t>
      </w:r>
    </w:p>
    <w:p w14:paraId="726529AC" w14:textId="5A03E184" w:rsidR="00745209" w:rsidRPr="00EC5014" w:rsidRDefault="00745209" w:rsidP="00745209">
      <w:pPr>
        <w:jc w:val="both"/>
        <w:rPr>
          <w:sz w:val="24"/>
          <w:lang w:val="en-GB"/>
        </w:rPr>
      </w:pPr>
      <w:r>
        <w:rPr>
          <w:sz w:val="24"/>
          <w:lang w:val="en"/>
        </w:rPr>
        <w:t>Revision of technical elements (clarification of deliverables, producer technical definitions, equipment technical documents, upda</w:t>
      </w:r>
      <w:r w:rsidR="00B46E71">
        <w:rPr>
          <w:sz w:val="24"/>
          <w:lang w:val="en"/>
        </w:rPr>
        <w:t>ted instructions, etc.)</w:t>
      </w:r>
      <w:r>
        <w:rPr>
          <w:sz w:val="24"/>
          <w:lang w:val="en"/>
        </w:rPr>
        <w:t>.</w:t>
      </w:r>
    </w:p>
    <w:p w14:paraId="4CD4FB24" w14:textId="47EB21C7" w:rsidR="00745209" w:rsidRPr="00EC5014" w:rsidRDefault="00745209" w:rsidP="00745209">
      <w:pPr>
        <w:jc w:val="both"/>
        <w:rPr>
          <w:sz w:val="24"/>
          <w:lang w:val="en-GB"/>
        </w:rPr>
      </w:pPr>
      <w:r>
        <w:rPr>
          <w:sz w:val="24"/>
          <w:lang w:val="en"/>
        </w:rPr>
        <w:t>Such modifications shall be notified to the Contractor: by concluding an amendment.</w:t>
      </w:r>
    </w:p>
    <w:p w14:paraId="089DA0B0" w14:textId="77D0ACE8" w:rsidR="002B1A2B" w:rsidRPr="00EC5014" w:rsidRDefault="002B1A2B" w:rsidP="002B1A2B">
      <w:pPr>
        <w:jc w:val="both"/>
        <w:outlineLvl w:val="0"/>
        <w:rPr>
          <w:b/>
          <w:bCs/>
          <w:sz w:val="24"/>
          <w:lang w:val="en-GB"/>
        </w:rPr>
      </w:pPr>
      <w:r>
        <w:rPr>
          <w:b/>
          <w:bCs/>
          <w:sz w:val="24"/>
          <w:lang w:val="en"/>
        </w:rPr>
        <w:t>I.10.2 Obligations of the contractor</w:t>
      </w:r>
    </w:p>
    <w:p w14:paraId="7D57B663" w14:textId="780BC708" w:rsidR="002B1A2B" w:rsidRPr="00E21A0D" w:rsidRDefault="002B1A2B" w:rsidP="002B1A2B">
      <w:pPr>
        <w:jc w:val="both"/>
        <w:rPr>
          <w:sz w:val="24"/>
          <w:lang w:val="en-US"/>
        </w:rPr>
      </w:pPr>
      <w:r w:rsidRPr="00E21A0D">
        <w:rPr>
          <w:sz w:val="24"/>
          <w:lang w:val="en-US"/>
        </w:rPr>
        <w:t>The contractor will provide the employees with the required social security cover in the country of assignment.</w:t>
      </w:r>
    </w:p>
    <w:p w14:paraId="0841A933" w14:textId="77777777" w:rsidR="002B1A2B" w:rsidRDefault="002B1A2B" w:rsidP="002B1A2B">
      <w:pPr>
        <w:jc w:val="both"/>
        <w:rPr>
          <w:sz w:val="24"/>
          <w:lang w:val="en-US"/>
        </w:rPr>
      </w:pPr>
      <w:r w:rsidRPr="00E21A0D">
        <w:rPr>
          <w:sz w:val="24"/>
          <w:lang w:val="en-US"/>
        </w:rPr>
        <w:t>The contractor undertakes to apply the internal procedures of Expertise France guaranteeing the safety of employees, particularly in the context of their travel.</w:t>
      </w:r>
    </w:p>
    <w:p w14:paraId="050FA74E" w14:textId="77777777" w:rsidR="002B1A2B" w:rsidRDefault="002B1A2B" w:rsidP="002B1A2B">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30130CF9" w14:textId="77777777" w:rsidR="002B1A2B" w:rsidRDefault="002B1A2B" w:rsidP="002B1A2B">
      <w:pPr>
        <w:jc w:val="both"/>
        <w:rPr>
          <w:sz w:val="24"/>
          <w:lang w:val="en-US"/>
        </w:rPr>
      </w:pPr>
      <w:r w:rsidRPr="00E21A0D">
        <w:rPr>
          <w:sz w:val="24"/>
          <w:lang w:val="en-US"/>
        </w:rPr>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2DB7AD50" w14:textId="77777777" w:rsidR="002B1A2B" w:rsidRDefault="002B1A2B" w:rsidP="002B1A2B">
      <w:pPr>
        <w:jc w:val="both"/>
        <w:rPr>
          <w:sz w:val="24"/>
          <w:lang w:val="en-US"/>
        </w:rPr>
      </w:pPr>
      <w:r w:rsidRPr="00C263B0">
        <w:rPr>
          <w:sz w:val="24"/>
          <w:lang w:val="en-US"/>
        </w:rPr>
        <w:t>The contractor will inform the employees that they benefit from medical expenses insurance and repatriation from Expertise France in their capacity as collaborator.</w:t>
      </w:r>
    </w:p>
    <w:p w14:paraId="35566930" w14:textId="77777777" w:rsidR="002B1A2B" w:rsidRDefault="002B1A2B" w:rsidP="002B1A2B">
      <w:pPr>
        <w:jc w:val="both"/>
        <w:rPr>
          <w:sz w:val="24"/>
          <w:lang w:val="en-US"/>
        </w:rPr>
      </w:pPr>
      <w:r w:rsidRPr="00E21A0D">
        <w:rPr>
          <w:sz w:val="24"/>
          <w:lang w:val="en-US"/>
        </w:rPr>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6B5108A4" w14:textId="77777777" w:rsidR="002B1A2B" w:rsidRPr="00E21A0D" w:rsidRDefault="002B1A2B" w:rsidP="002B1A2B">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72EA2227" w14:textId="77777777" w:rsidR="002B1A2B" w:rsidRPr="002B1A2B" w:rsidRDefault="002B1A2B" w:rsidP="00695734">
      <w:pPr>
        <w:jc w:val="both"/>
        <w:outlineLvl w:val="0"/>
        <w:rPr>
          <w:b/>
          <w:bCs/>
          <w:sz w:val="24"/>
          <w:lang w:val="en-US"/>
        </w:rPr>
      </w:pPr>
    </w:p>
    <w:p w14:paraId="5AE304DB" w14:textId="6060866F" w:rsidR="00D366D1" w:rsidRPr="00EC5014" w:rsidRDefault="00905A82" w:rsidP="00695734">
      <w:pPr>
        <w:jc w:val="both"/>
        <w:outlineLvl w:val="0"/>
        <w:rPr>
          <w:b/>
          <w:bCs/>
          <w:sz w:val="24"/>
          <w:lang w:val="en-GB"/>
        </w:rPr>
      </w:pPr>
      <w:r>
        <w:rPr>
          <w:b/>
          <w:bCs/>
          <w:sz w:val="24"/>
          <w:lang w:val="en"/>
        </w:rPr>
        <w:t>I.10.</w:t>
      </w:r>
      <w:r w:rsidR="002B1A2B">
        <w:rPr>
          <w:b/>
          <w:bCs/>
          <w:sz w:val="24"/>
          <w:lang w:val="en"/>
        </w:rPr>
        <w:t>3</w:t>
      </w:r>
      <w:r>
        <w:rPr>
          <w:b/>
          <w:bCs/>
          <w:sz w:val="24"/>
          <w:lang w:val="en"/>
        </w:rPr>
        <w:t xml:space="preserve"> Penalties</w:t>
      </w:r>
    </w:p>
    <w:p w14:paraId="2E4C068B" w14:textId="56EDB9B5" w:rsidR="002B52CA" w:rsidRPr="00EC5014" w:rsidRDefault="00BF67F2" w:rsidP="00BF67F2">
      <w:pPr>
        <w:jc w:val="both"/>
        <w:rPr>
          <w:sz w:val="24"/>
          <w:lang w:val="en-GB"/>
        </w:rPr>
      </w:pPr>
      <w:r>
        <w:rPr>
          <w:sz w:val="24"/>
          <w:lang w:val="en"/>
        </w:rPr>
        <w:t>Penalties are set at the fixed rate of €</w:t>
      </w:r>
      <w:r w:rsidR="00A90DD0">
        <w:rPr>
          <w:sz w:val="24"/>
          <w:lang w:val="en"/>
        </w:rPr>
        <w:t>1</w:t>
      </w:r>
      <w:r>
        <w:rPr>
          <w:sz w:val="24"/>
          <w:lang w:val="en"/>
        </w:rPr>
        <w:t xml:space="preserve">50 net per day of delay in the delivery of </w:t>
      </w:r>
      <w:r w:rsidR="00A90DD0">
        <w:rPr>
          <w:sz w:val="24"/>
          <w:lang w:val="en"/>
        </w:rPr>
        <w:t>the services.</w:t>
      </w:r>
    </w:p>
    <w:p w14:paraId="3D8C3B6C" w14:textId="6CF811C5" w:rsidR="00BF67F2" w:rsidRDefault="00BF67F2" w:rsidP="00BF67F2">
      <w:pPr>
        <w:jc w:val="both"/>
        <w:rPr>
          <w:sz w:val="24"/>
          <w:lang w:val="en"/>
        </w:rPr>
      </w:pPr>
      <w:r>
        <w:rPr>
          <w:sz w:val="24"/>
          <w:lang w:val="en"/>
        </w:rPr>
        <w:lastRenderedPageBreak/>
        <w:t>In all circumstances, the amount of penalties may not exceed 10% of the total value of the relevant speci</w:t>
      </w:r>
      <w:r w:rsidR="00A90DD0">
        <w:rPr>
          <w:sz w:val="24"/>
          <w:lang w:val="en"/>
        </w:rPr>
        <w:t>fic contract or purchase order.</w:t>
      </w:r>
    </w:p>
    <w:p w14:paraId="03CE9148" w14:textId="77777777" w:rsidR="002B1A2B" w:rsidRPr="00EC5014" w:rsidRDefault="002B1A2B" w:rsidP="00BF67F2">
      <w:pPr>
        <w:jc w:val="both"/>
        <w:rPr>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F04894">
      <w:pPr>
        <w:numPr>
          <w:ilvl w:val="0"/>
          <w:numId w:val="35"/>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F04894">
      <w:pPr>
        <w:numPr>
          <w:ilvl w:val="0"/>
          <w:numId w:val="35"/>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F04894">
      <w:pPr>
        <w:numPr>
          <w:ilvl w:val="0"/>
          <w:numId w:val="35"/>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F04894">
      <w:pPr>
        <w:numPr>
          <w:ilvl w:val="0"/>
          <w:numId w:val="35"/>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F04894">
      <w:pPr>
        <w:numPr>
          <w:ilvl w:val="0"/>
          <w:numId w:val="34"/>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default" r:id="rId16"/>
          <w:footerReference w:type="even" r:id="rId17"/>
          <w:footerReference w:type="default" r:id="rId18"/>
          <w:headerReference w:type="first" r:id="rId19"/>
          <w:footerReference w:type="first" r:id="rId20"/>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4E6AAA">
      <w:pPr>
        <w:numPr>
          <w:ilvl w:val="0"/>
          <w:numId w:val="8"/>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4E6AAA">
      <w:pPr>
        <w:numPr>
          <w:ilvl w:val="0"/>
          <w:numId w:val="8"/>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4E6AAA">
      <w:pPr>
        <w:numPr>
          <w:ilvl w:val="0"/>
          <w:numId w:val="31"/>
        </w:numPr>
        <w:spacing w:before="0" w:beforeAutospacing="0" w:after="0" w:afterAutospacing="0"/>
        <w:ind w:left="1134" w:hanging="283"/>
        <w:jc w:val="both"/>
        <w:rPr>
          <w:bCs/>
          <w:sz w:val="24"/>
        </w:rPr>
      </w:pPr>
      <w:r>
        <w:rPr>
          <w:bCs/>
          <w:sz w:val="24"/>
        </w:rPr>
        <w:t>Meat;</w:t>
      </w:r>
    </w:p>
    <w:p w14:paraId="19697574" w14:textId="77777777" w:rsidR="002B1166" w:rsidRDefault="002B1166" w:rsidP="004E6AAA">
      <w:pPr>
        <w:numPr>
          <w:ilvl w:val="0"/>
          <w:numId w:val="31"/>
        </w:numPr>
        <w:ind w:left="1134" w:hanging="283"/>
        <w:jc w:val="both"/>
        <w:rPr>
          <w:bCs/>
          <w:sz w:val="24"/>
        </w:rPr>
      </w:pPr>
      <w:r>
        <w:rPr>
          <w:bCs/>
          <w:sz w:val="24"/>
          <w:lang w:val="en-GB"/>
        </w:rPr>
        <w:t>Eggs ;</w:t>
      </w:r>
    </w:p>
    <w:p w14:paraId="7DCB9FD4" w14:textId="77777777" w:rsidR="002B1166" w:rsidRDefault="002B1166" w:rsidP="004E6AAA">
      <w:pPr>
        <w:numPr>
          <w:ilvl w:val="0"/>
          <w:numId w:val="31"/>
        </w:numPr>
        <w:ind w:left="1134" w:hanging="283"/>
        <w:jc w:val="both"/>
        <w:rPr>
          <w:bCs/>
          <w:sz w:val="24"/>
        </w:rPr>
      </w:pPr>
      <w:r>
        <w:rPr>
          <w:bCs/>
          <w:sz w:val="24"/>
          <w:lang w:val="en-GB"/>
        </w:rPr>
        <w:t>Dairy products ;</w:t>
      </w:r>
    </w:p>
    <w:p w14:paraId="07BF8D2B" w14:textId="77777777" w:rsidR="002B1166" w:rsidRDefault="002B1166" w:rsidP="004E6AAA">
      <w:pPr>
        <w:numPr>
          <w:ilvl w:val="0"/>
          <w:numId w:val="31"/>
        </w:numPr>
        <w:ind w:left="1134" w:hanging="283"/>
        <w:jc w:val="both"/>
        <w:rPr>
          <w:bCs/>
          <w:sz w:val="24"/>
          <w:lang w:val="en-GB"/>
        </w:rPr>
      </w:pPr>
      <w:r>
        <w:rPr>
          <w:bCs/>
          <w:sz w:val="24"/>
          <w:lang w:val="en-GB"/>
        </w:rPr>
        <w:t>Ready-made meals, margarine, spreads;</w:t>
      </w:r>
    </w:p>
    <w:p w14:paraId="5A97558E" w14:textId="77777777" w:rsidR="002B1166" w:rsidRDefault="002B1166" w:rsidP="004E6AAA">
      <w:pPr>
        <w:numPr>
          <w:ilvl w:val="0"/>
          <w:numId w:val="31"/>
        </w:numPr>
        <w:ind w:left="1134" w:hanging="283"/>
        <w:jc w:val="both"/>
        <w:rPr>
          <w:bCs/>
          <w:sz w:val="24"/>
          <w:lang w:val="en-GB"/>
        </w:rPr>
      </w:pPr>
      <w:r>
        <w:rPr>
          <w:bCs/>
          <w:sz w:val="24"/>
          <w:lang w:val="en-GB"/>
        </w:rPr>
        <w:t>Leather shoes ;</w:t>
      </w:r>
    </w:p>
    <w:p w14:paraId="7ABA057E" w14:textId="77777777" w:rsidR="002B1166" w:rsidRDefault="002B1166" w:rsidP="004E6AAA">
      <w:pPr>
        <w:numPr>
          <w:ilvl w:val="0"/>
          <w:numId w:val="31"/>
        </w:numPr>
        <w:ind w:left="1134" w:hanging="283"/>
        <w:jc w:val="both"/>
        <w:rPr>
          <w:bCs/>
          <w:sz w:val="24"/>
          <w:lang w:val="en-GB"/>
        </w:rPr>
      </w:pPr>
      <w:r>
        <w:rPr>
          <w:bCs/>
          <w:sz w:val="24"/>
          <w:lang w:val="en-GB"/>
        </w:rPr>
        <w:t>Automotive upholstery ;</w:t>
      </w:r>
    </w:p>
    <w:p w14:paraId="4D71BBF7" w14:textId="77777777" w:rsidR="002B1166" w:rsidRDefault="002B1166" w:rsidP="004E6AAA">
      <w:pPr>
        <w:numPr>
          <w:ilvl w:val="0"/>
          <w:numId w:val="31"/>
        </w:numPr>
        <w:ind w:left="1134" w:hanging="283"/>
        <w:jc w:val="both"/>
        <w:rPr>
          <w:bCs/>
          <w:sz w:val="24"/>
          <w:lang w:val="en-GB"/>
        </w:rPr>
      </w:pPr>
      <w:r>
        <w:rPr>
          <w:bCs/>
          <w:sz w:val="24"/>
          <w:lang w:val="en-GB"/>
        </w:rPr>
        <w:t>Household and cleaning products ;</w:t>
      </w:r>
    </w:p>
    <w:p w14:paraId="1F44E30D" w14:textId="77777777" w:rsidR="002B1166" w:rsidRDefault="002B1166" w:rsidP="004E6AAA">
      <w:pPr>
        <w:numPr>
          <w:ilvl w:val="0"/>
          <w:numId w:val="31"/>
        </w:numPr>
        <w:ind w:left="1134" w:hanging="283"/>
        <w:jc w:val="both"/>
        <w:rPr>
          <w:bCs/>
          <w:sz w:val="24"/>
          <w:lang w:val="en-GB"/>
        </w:rPr>
      </w:pPr>
      <w:r>
        <w:rPr>
          <w:bCs/>
          <w:sz w:val="24"/>
          <w:lang w:val="en-GB"/>
        </w:rPr>
        <w:t>Agrofuels ;</w:t>
      </w:r>
    </w:p>
    <w:p w14:paraId="30C727EA" w14:textId="77777777" w:rsidR="002B1166" w:rsidRDefault="002B1166" w:rsidP="004E6AAA">
      <w:pPr>
        <w:numPr>
          <w:ilvl w:val="0"/>
          <w:numId w:val="31"/>
        </w:numPr>
        <w:ind w:left="1134" w:hanging="283"/>
        <w:jc w:val="both"/>
        <w:rPr>
          <w:bCs/>
          <w:sz w:val="24"/>
          <w:lang w:val="en-GB"/>
        </w:rPr>
      </w:pPr>
      <w:r>
        <w:rPr>
          <w:bCs/>
          <w:sz w:val="24"/>
          <w:lang w:val="en-GB"/>
        </w:rPr>
        <w:t>Lumber ;</w:t>
      </w:r>
    </w:p>
    <w:p w14:paraId="63530CB4" w14:textId="77777777" w:rsidR="002B1166" w:rsidRDefault="002B1166" w:rsidP="004E6AAA">
      <w:pPr>
        <w:numPr>
          <w:ilvl w:val="0"/>
          <w:numId w:val="31"/>
        </w:numPr>
        <w:ind w:left="1134" w:hanging="283"/>
        <w:jc w:val="both"/>
        <w:rPr>
          <w:bCs/>
          <w:sz w:val="24"/>
          <w:lang w:val="en-GB"/>
        </w:rPr>
      </w:pPr>
      <w:r>
        <w:rPr>
          <w:bCs/>
          <w:sz w:val="24"/>
          <w:lang w:val="en-GB"/>
        </w:rPr>
        <w:t>Solid wood or particle;</w:t>
      </w:r>
    </w:p>
    <w:p w14:paraId="041B4749" w14:textId="77777777" w:rsidR="002B1166" w:rsidRDefault="002B1166" w:rsidP="004E6AAA">
      <w:pPr>
        <w:numPr>
          <w:ilvl w:val="0"/>
          <w:numId w:val="31"/>
        </w:numPr>
        <w:ind w:left="1134" w:hanging="283"/>
        <w:jc w:val="both"/>
        <w:rPr>
          <w:bCs/>
          <w:sz w:val="24"/>
          <w:lang w:val="en-GB"/>
        </w:rPr>
      </w:pPr>
      <w:r>
        <w:rPr>
          <w:bCs/>
          <w:sz w:val="24"/>
          <w:lang w:val="en-GB"/>
        </w:rPr>
        <w:t>Fuels ;</w:t>
      </w:r>
    </w:p>
    <w:p w14:paraId="258A7298" w14:textId="77777777" w:rsidR="002B1166" w:rsidRDefault="002B1166" w:rsidP="004E6AAA">
      <w:pPr>
        <w:numPr>
          <w:ilvl w:val="0"/>
          <w:numId w:val="31"/>
        </w:numPr>
        <w:ind w:left="1134" w:hanging="283"/>
        <w:jc w:val="both"/>
        <w:rPr>
          <w:bCs/>
          <w:sz w:val="24"/>
          <w:lang w:val="en-GB"/>
        </w:rPr>
      </w:pPr>
      <w:r>
        <w:rPr>
          <w:bCs/>
          <w:sz w:val="24"/>
          <w:lang w:val="en-GB"/>
        </w:rPr>
        <w:t>Paper ;</w:t>
      </w:r>
    </w:p>
    <w:p w14:paraId="4B5AF81A" w14:textId="77777777" w:rsidR="002B1166" w:rsidRDefault="002B1166" w:rsidP="004E6AAA">
      <w:pPr>
        <w:numPr>
          <w:ilvl w:val="0"/>
          <w:numId w:val="31"/>
        </w:numPr>
        <w:ind w:left="1134" w:hanging="283"/>
        <w:jc w:val="both"/>
        <w:rPr>
          <w:bCs/>
          <w:sz w:val="24"/>
          <w:lang w:val="en-GB"/>
        </w:rPr>
      </w:pPr>
      <w:r>
        <w:rPr>
          <w:bCs/>
          <w:sz w:val="24"/>
          <w:lang w:val="en-GB"/>
        </w:rPr>
        <w:t>Cardboard ;</w:t>
      </w:r>
    </w:p>
    <w:p w14:paraId="7BECD0D6" w14:textId="77777777" w:rsidR="002B1166" w:rsidRDefault="002B1166" w:rsidP="004E6AAA">
      <w:pPr>
        <w:numPr>
          <w:ilvl w:val="0"/>
          <w:numId w:val="31"/>
        </w:numPr>
        <w:ind w:left="1134" w:hanging="283"/>
        <w:jc w:val="both"/>
        <w:rPr>
          <w:bCs/>
          <w:sz w:val="24"/>
          <w:lang w:val="en-GB"/>
        </w:rPr>
      </w:pPr>
      <w:r>
        <w:rPr>
          <w:bCs/>
          <w:sz w:val="24"/>
          <w:lang w:val="en-GB"/>
        </w:rPr>
        <w:t>Textiles ;</w:t>
      </w:r>
    </w:p>
    <w:p w14:paraId="4714A850" w14:textId="77777777" w:rsidR="002B1166" w:rsidRDefault="002B1166" w:rsidP="004E6AAA">
      <w:pPr>
        <w:numPr>
          <w:ilvl w:val="0"/>
          <w:numId w:val="31"/>
        </w:numPr>
        <w:ind w:left="1134" w:hanging="283"/>
        <w:jc w:val="both"/>
        <w:rPr>
          <w:bCs/>
          <w:sz w:val="24"/>
          <w:lang w:val="en-GB"/>
        </w:rPr>
      </w:pPr>
      <w:r>
        <w:rPr>
          <w:bCs/>
          <w:sz w:val="24"/>
          <w:lang w:val="en-GB"/>
        </w:rPr>
        <w:t>Coffee, chocolate ;</w:t>
      </w:r>
    </w:p>
    <w:p w14:paraId="7E89E797" w14:textId="77777777" w:rsidR="002B1166" w:rsidRDefault="002B1166" w:rsidP="004E6AAA">
      <w:pPr>
        <w:numPr>
          <w:ilvl w:val="0"/>
          <w:numId w:val="31"/>
        </w:numPr>
        <w:ind w:left="1134" w:hanging="283"/>
        <w:jc w:val="both"/>
        <w:rPr>
          <w:bCs/>
          <w:sz w:val="24"/>
          <w:lang w:val="en-GB"/>
        </w:rPr>
      </w:pPr>
      <w:r>
        <w:rPr>
          <w:bCs/>
          <w:sz w:val="24"/>
          <w:lang w:val="en-GB"/>
        </w:rPr>
        <w:t>Exotic fruits ;</w:t>
      </w:r>
    </w:p>
    <w:p w14:paraId="0B868697" w14:textId="77777777" w:rsidR="002B1166" w:rsidRDefault="002B1166" w:rsidP="004E6AAA">
      <w:pPr>
        <w:numPr>
          <w:ilvl w:val="0"/>
          <w:numId w:val="31"/>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216806" w:rsidP="004E6AAA">
      <w:pPr>
        <w:spacing w:before="0" w:beforeAutospacing="0" w:after="0" w:afterAutospacing="0"/>
        <w:ind w:left="851"/>
        <w:jc w:val="both"/>
        <w:outlineLvl w:val="0"/>
        <w:rPr>
          <w:bCs/>
          <w:sz w:val="24"/>
          <w:lang w:val="en-GB"/>
        </w:rPr>
      </w:pPr>
      <w:hyperlink r:id="rId21"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2"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4E6AAA">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3"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4E6AAA">
      <w:pPr>
        <w:pStyle w:val="Paragraphedeliste"/>
        <w:widowControl w:val="0"/>
        <w:numPr>
          <w:ilvl w:val="0"/>
          <w:numId w:val="25"/>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BD0AF8">
      <w:pPr>
        <w:numPr>
          <w:ilvl w:val="3"/>
          <w:numId w:val="4"/>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BD0AF8">
      <w:pPr>
        <w:numPr>
          <w:ilvl w:val="3"/>
          <w:numId w:val="4"/>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BD0AF8">
      <w:pPr>
        <w:numPr>
          <w:ilvl w:val="3"/>
          <w:numId w:val="5"/>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BD0AF8">
      <w:pPr>
        <w:numPr>
          <w:ilvl w:val="3"/>
          <w:numId w:val="5"/>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BD0AF8">
      <w:pPr>
        <w:numPr>
          <w:ilvl w:val="3"/>
          <w:numId w:val="6"/>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BD0AF8">
      <w:pPr>
        <w:numPr>
          <w:ilvl w:val="3"/>
          <w:numId w:val="6"/>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BD0AF8">
      <w:pPr>
        <w:numPr>
          <w:ilvl w:val="4"/>
          <w:numId w:val="7"/>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BD0AF8">
      <w:pPr>
        <w:numPr>
          <w:ilvl w:val="4"/>
          <w:numId w:val="7"/>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BD0AF8">
      <w:pPr>
        <w:numPr>
          <w:ilvl w:val="4"/>
          <w:numId w:val="7"/>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BD0AF8">
      <w:pPr>
        <w:numPr>
          <w:ilvl w:val="3"/>
          <w:numId w:val="13"/>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BD0AF8">
      <w:pPr>
        <w:numPr>
          <w:ilvl w:val="0"/>
          <w:numId w:val="10"/>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BD0AF8">
      <w:pPr>
        <w:numPr>
          <w:ilvl w:val="0"/>
          <w:numId w:val="11"/>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BD0AF8">
      <w:pPr>
        <w:numPr>
          <w:ilvl w:val="0"/>
          <w:numId w:val="11"/>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BD0AF8">
      <w:pPr>
        <w:numPr>
          <w:ilvl w:val="0"/>
          <w:numId w:val="12"/>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BD0AF8">
      <w:pPr>
        <w:numPr>
          <w:ilvl w:val="0"/>
          <w:numId w:val="12"/>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4"/>
          <w:footerReference w:type="even" r:id="rId25"/>
          <w:headerReference w:type="first" r:id="rId26"/>
          <w:footerReference w:type="first" r:id="rId27"/>
          <w:pgSz w:w="11906" w:h="16838"/>
          <w:pgMar w:top="1021" w:right="991" w:bottom="1021" w:left="1588" w:header="720" w:footer="720" w:gutter="0"/>
          <w:cols w:space="720"/>
          <w:titlePg/>
        </w:sectPr>
      </w:pPr>
    </w:p>
    <w:p w14:paraId="6EEBC72A" w14:textId="127F62B0" w:rsidR="00CC1641" w:rsidRPr="00EC5014"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2CA8AC96" w:rsidR="00CA6785" w:rsidRPr="00EC5014" w:rsidRDefault="00CA6785" w:rsidP="00BA396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lang w:val="en"/>
              </w:rPr>
              <w:br/>
              <w:t>Contract identification overview</w:t>
            </w:r>
          </w:p>
        </w:tc>
      </w:tr>
      <w:tr w:rsidR="00CA6785" w:rsidRPr="003C62F7"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EC5014" w:rsidRDefault="00CA6785" w:rsidP="00EA6111">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EC5014" w:rsidRDefault="00CA6785" w:rsidP="00EA6111">
            <w:pPr>
              <w:snapToGrid w:val="0"/>
              <w:rPr>
                <w:sz w:val="22"/>
                <w:szCs w:val="22"/>
                <w:lang w:val="en-GB"/>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Pr>
                <w:smallCaps/>
                <w:sz w:val="22"/>
                <w:lang w:val="en"/>
              </w:rPr>
              <w:br/>
              <w:t>Purchase order</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C62F7"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EC5014" w:rsidRDefault="00CA6785" w:rsidP="00EA6111">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EC5014" w:rsidRDefault="00CA6785" w:rsidP="00EA6111">
            <w:pPr>
              <w:snapToGrid w:val="0"/>
              <w:rPr>
                <w:sz w:val="22"/>
                <w:szCs w:val="22"/>
                <w:lang w:val="en-GB"/>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0" w:name="_MON_1497356362"/>
      <w:bookmarkEnd w:id="0"/>
      <w:tr w:rsidR="00CA6785" w:rsidRPr="003C62F7" w14:paraId="7041FF36" w14:textId="77777777" w:rsidTr="00EA6111">
        <w:tc>
          <w:tcPr>
            <w:tcW w:w="9511" w:type="dxa"/>
            <w:gridSpan w:val="5"/>
            <w:tcBorders>
              <w:bottom w:val="single" w:sz="4" w:space="0" w:color="auto"/>
            </w:tcBorders>
          </w:tcPr>
          <w:p w14:paraId="639BEF8E" w14:textId="20BA72B4" w:rsidR="00CA6785" w:rsidRPr="00EC5014" w:rsidRDefault="00CB3494">
            <w:pPr>
              <w:pStyle w:val="En-tte"/>
              <w:rPr>
                <w:smallCaps/>
                <w:sz w:val="22"/>
                <w:lang w:val="en-GB"/>
              </w:rPr>
            </w:pPr>
            <w:r>
              <w:rPr>
                <w:sz w:val="24"/>
                <w:szCs w:val="22"/>
                <w:lang w:val="en"/>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164.25pt" o:ole="">
                  <v:imagedata r:id="rId28" o:title=""/>
                </v:shape>
                <o:OLEObject Type="Embed" ProgID="Excel.Sheet.12" ShapeID="_x0000_i1025" DrawAspect="Content" ObjectID="_1809779644" r:id="rId29"/>
              </w:object>
            </w:r>
            <w:r>
              <w:rPr>
                <w:sz w:val="24"/>
                <w:szCs w:val="22"/>
                <w:lang w:val="en"/>
              </w:rPr>
              <w:br/>
              <w:t>Signature of the person authorised to commit Expertise France;</w:t>
            </w:r>
            <w:bookmarkStart w:id="1" w:name="_GoBack"/>
            <w:bookmarkEnd w:id="1"/>
          </w:p>
        </w:tc>
      </w:tr>
      <w:tr w:rsidR="00CB3494" w:rsidRPr="003C62F7" w14:paraId="26C409FA" w14:textId="77777777" w:rsidTr="00EA6111">
        <w:tc>
          <w:tcPr>
            <w:tcW w:w="9511" w:type="dxa"/>
            <w:gridSpan w:val="5"/>
            <w:tcBorders>
              <w:bottom w:val="single" w:sz="4" w:space="0" w:color="auto"/>
            </w:tcBorders>
          </w:tcPr>
          <w:p w14:paraId="4076C082" w14:textId="77777777" w:rsidR="00CB3494" w:rsidRPr="00EC5014" w:rsidRDefault="00CB3494">
            <w:pPr>
              <w:pStyle w:val="En-tte"/>
              <w:rPr>
                <w:b/>
                <w:sz w:val="24"/>
                <w:szCs w:val="22"/>
                <w:lang w:val="en-GB"/>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Pr>
                <w:sz w:val="22"/>
                <w:lang w:val="en"/>
              </w:rPr>
              <w:t>Signature</w:t>
            </w:r>
          </w:p>
        </w:tc>
      </w:tr>
      <w:tr w:rsidR="00CA6785" w:rsidRPr="00FD0082" w14:paraId="601884E5" w14:textId="77777777"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4E49D577" w:rsidR="003F43C0" w:rsidRPr="00DB758F" w:rsidRDefault="003F43C0" w:rsidP="008325B7">
      <w:pPr>
        <w:tabs>
          <w:tab w:val="left" w:pos="-480"/>
          <w:tab w:val="left" w:pos="1202"/>
        </w:tabs>
        <w:suppressAutoHyphens/>
        <w:jc w:val="both"/>
        <w:rPr>
          <w:sz w:val="24"/>
        </w:rPr>
      </w:pPr>
    </w:p>
    <w:sectPr w:rsidR="003F43C0" w:rsidRPr="00DB758F" w:rsidSect="00BA396D">
      <w:headerReference w:type="default" r:id="rId30"/>
      <w:footerReference w:type="first" r:id="rId31"/>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E7F1E" w14:textId="77777777" w:rsidR="00216806" w:rsidRDefault="00216806">
      <w:r>
        <w:separator/>
      </w:r>
    </w:p>
  </w:endnote>
  <w:endnote w:type="continuationSeparator" w:id="0">
    <w:p w14:paraId="5D9E5B17" w14:textId="77777777" w:rsidR="00216806" w:rsidRDefault="00216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default"/>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5905FC" w:rsidRDefault="005905FC"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5905FC" w:rsidRDefault="005905F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5905FC" w:rsidRPr="00180F28" w:rsidRDefault="005905FC"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42F5BFB0" w:rsidR="005905FC" w:rsidRPr="00BA396D" w:rsidRDefault="00216806"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5905FC">
          <w:rPr>
            <w:rFonts w:ascii="Calibri" w:eastAsia="Times" w:hAnsi="Calibri"/>
            <w:szCs w:val="20"/>
            <w:lang w:val="en"/>
          </w:rPr>
          <w:tab/>
          <w:t xml:space="preserve">Page </w:t>
        </w:r>
        <w:r w:rsidR="005905FC">
          <w:rPr>
            <w:rFonts w:ascii="Calibri" w:eastAsia="Times" w:hAnsi="Calibri"/>
            <w:szCs w:val="20"/>
            <w:lang w:val="en"/>
          </w:rPr>
          <w:fldChar w:fldCharType="begin"/>
        </w:r>
        <w:r w:rsidR="005905FC">
          <w:rPr>
            <w:rFonts w:ascii="Calibri" w:eastAsia="Times" w:hAnsi="Calibri"/>
            <w:szCs w:val="20"/>
            <w:lang w:val="en"/>
          </w:rPr>
          <w:instrText>PAGE</w:instrText>
        </w:r>
        <w:r w:rsidR="005905FC">
          <w:rPr>
            <w:rFonts w:ascii="Calibri" w:eastAsia="Times" w:hAnsi="Calibri"/>
            <w:szCs w:val="20"/>
            <w:lang w:val="en"/>
          </w:rPr>
          <w:fldChar w:fldCharType="separate"/>
        </w:r>
        <w:r w:rsidR="007F5485">
          <w:rPr>
            <w:rFonts w:ascii="Calibri" w:eastAsia="Times" w:hAnsi="Calibri"/>
            <w:noProof/>
            <w:szCs w:val="20"/>
            <w:lang w:val="en"/>
          </w:rPr>
          <w:t>2</w:t>
        </w:r>
        <w:r w:rsidR="005905FC">
          <w:rPr>
            <w:rFonts w:ascii="Calibri" w:eastAsia="Times" w:hAnsi="Calibri"/>
            <w:szCs w:val="20"/>
            <w:lang w:val="en"/>
          </w:rPr>
          <w:fldChar w:fldCharType="end"/>
        </w:r>
        <w:r w:rsidR="005905FC">
          <w:rPr>
            <w:rFonts w:ascii="Calibri" w:eastAsia="Times" w:hAnsi="Calibri"/>
            <w:szCs w:val="20"/>
            <w:lang w:val="en"/>
          </w:rPr>
          <w:t xml:space="preserve"> of </w:t>
        </w:r>
        <w:r w:rsidR="005905FC">
          <w:rPr>
            <w:rFonts w:ascii="Calibri" w:eastAsia="Times" w:hAnsi="Calibri"/>
            <w:szCs w:val="20"/>
            <w:lang w:val="en"/>
          </w:rPr>
          <w:fldChar w:fldCharType="begin"/>
        </w:r>
        <w:r w:rsidR="005905FC">
          <w:rPr>
            <w:rFonts w:ascii="Calibri" w:eastAsia="Times" w:hAnsi="Calibri"/>
            <w:szCs w:val="20"/>
            <w:lang w:val="en"/>
          </w:rPr>
          <w:instrText>NUMPAGES</w:instrText>
        </w:r>
        <w:r w:rsidR="005905FC">
          <w:rPr>
            <w:rFonts w:ascii="Calibri" w:eastAsia="Times" w:hAnsi="Calibri"/>
            <w:szCs w:val="20"/>
            <w:lang w:val="en"/>
          </w:rPr>
          <w:fldChar w:fldCharType="separate"/>
        </w:r>
        <w:r w:rsidR="007F5485">
          <w:rPr>
            <w:rFonts w:ascii="Calibri" w:eastAsia="Times" w:hAnsi="Calibri"/>
            <w:noProof/>
            <w:szCs w:val="20"/>
            <w:lang w:val="en"/>
          </w:rPr>
          <w:t>36</w:t>
        </w:r>
        <w:r w:rsidR="005905FC">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5905FC" w:rsidRPr="006E44C4" w:rsidRDefault="005905FC"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1981BE49" w:rsidR="005905FC" w:rsidRPr="00EC5014" w:rsidRDefault="005905FC"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7F5485">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7F5485">
                  <w:rPr>
                    <w:rFonts w:ascii="Calibri" w:eastAsia="Times" w:hAnsi="Calibri"/>
                    <w:noProof/>
                    <w:sz w:val="22"/>
                    <w:szCs w:val="22"/>
                    <w:lang w:val="en"/>
                  </w:rPr>
                  <w:t>36</w:t>
                </w:r>
                <w:r>
                  <w:rPr>
                    <w:rFonts w:ascii="Calibri" w:eastAsia="Times" w:hAnsi="Calibri"/>
                    <w:sz w:val="22"/>
                    <w:szCs w:val="22"/>
                    <w:lang w:val="en"/>
                  </w:rPr>
                  <w:fldChar w:fldCharType="end"/>
                </w:r>
              </w:p>
            </w:sdtContent>
          </w:sdt>
          <w:p w14:paraId="741500F7" w14:textId="3B8D9A67" w:rsidR="005905FC" w:rsidRDefault="005905FC"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5905FC" w:rsidRDefault="005905FC"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5905FC" w:rsidRPr="002339BE" w:rsidRDefault="005905FC"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5905FC" w:rsidRDefault="005905FC"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5905FC" w:rsidRDefault="005905FC">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5905FC" w:rsidRPr="00180F28" w:rsidRDefault="005905FC">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2ADD4C31" w:rsidR="005905FC" w:rsidRPr="00BA396D" w:rsidRDefault="00216806"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5905FC">
          <w:rPr>
            <w:rFonts w:ascii="Calibri" w:eastAsia="Times" w:hAnsi="Calibri"/>
            <w:szCs w:val="20"/>
            <w:lang w:val="en"/>
          </w:rPr>
          <w:tab/>
          <w:t xml:space="preserve">Page </w:t>
        </w:r>
        <w:r w:rsidR="005905FC">
          <w:rPr>
            <w:rFonts w:ascii="Calibri" w:eastAsia="Times" w:hAnsi="Calibri"/>
            <w:szCs w:val="20"/>
            <w:lang w:val="en"/>
          </w:rPr>
          <w:fldChar w:fldCharType="begin"/>
        </w:r>
        <w:r w:rsidR="005905FC">
          <w:rPr>
            <w:rFonts w:ascii="Calibri" w:eastAsia="Times" w:hAnsi="Calibri"/>
            <w:szCs w:val="20"/>
            <w:lang w:val="en"/>
          </w:rPr>
          <w:instrText>PAGE</w:instrText>
        </w:r>
        <w:r w:rsidR="005905FC">
          <w:rPr>
            <w:rFonts w:ascii="Calibri" w:eastAsia="Times" w:hAnsi="Calibri"/>
            <w:szCs w:val="20"/>
            <w:lang w:val="en"/>
          </w:rPr>
          <w:fldChar w:fldCharType="separate"/>
        </w:r>
        <w:r w:rsidR="007F5485">
          <w:rPr>
            <w:rFonts w:ascii="Calibri" w:eastAsia="Times" w:hAnsi="Calibri"/>
            <w:noProof/>
            <w:szCs w:val="20"/>
            <w:lang w:val="en"/>
          </w:rPr>
          <w:t>14</w:t>
        </w:r>
        <w:r w:rsidR="005905FC">
          <w:rPr>
            <w:rFonts w:ascii="Calibri" w:eastAsia="Times" w:hAnsi="Calibri"/>
            <w:szCs w:val="20"/>
            <w:lang w:val="en"/>
          </w:rPr>
          <w:fldChar w:fldCharType="end"/>
        </w:r>
        <w:r w:rsidR="005905FC">
          <w:rPr>
            <w:rFonts w:ascii="Calibri" w:eastAsia="Times" w:hAnsi="Calibri"/>
            <w:szCs w:val="20"/>
            <w:lang w:val="en"/>
          </w:rPr>
          <w:t xml:space="preserve"> of </w:t>
        </w:r>
        <w:r w:rsidR="005905FC">
          <w:rPr>
            <w:rFonts w:ascii="Calibri" w:eastAsia="Times" w:hAnsi="Calibri"/>
            <w:szCs w:val="20"/>
            <w:lang w:val="en"/>
          </w:rPr>
          <w:fldChar w:fldCharType="begin"/>
        </w:r>
        <w:r w:rsidR="005905FC">
          <w:rPr>
            <w:rFonts w:ascii="Calibri" w:eastAsia="Times" w:hAnsi="Calibri"/>
            <w:szCs w:val="20"/>
            <w:lang w:val="en"/>
          </w:rPr>
          <w:instrText>NUMPAGES</w:instrText>
        </w:r>
        <w:r w:rsidR="005905FC">
          <w:rPr>
            <w:rFonts w:ascii="Calibri" w:eastAsia="Times" w:hAnsi="Calibri"/>
            <w:szCs w:val="20"/>
            <w:lang w:val="en"/>
          </w:rPr>
          <w:fldChar w:fldCharType="separate"/>
        </w:r>
        <w:r w:rsidR="007F5485">
          <w:rPr>
            <w:rFonts w:ascii="Calibri" w:eastAsia="Times" w:hAnsi="Calibri"/>
            <w:noProof/>
            <w:szCs w:val="20"/>
            <w:lang w:val="en"/>
          </w:rPr>
          <w:t>36</w:t>
        </w:r>
        <w:r w:rsidR="005905FC">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5905FC" w:rsidRPr="006E44C4" w:rsidRDefault="005905FC"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5905FC" w:rsidRPr="00CA42BC" w:rsidRDefault="005905FC"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7F067" w14:textId="77777777" w:rsidR="00216806" w:rsidRDefault="00216806">
      <w:r>
        <w:separator/>
      </w:r>
    </w:p>
  </w:footnote>
  <w:footnote w:type="continuationSeparator" w:id="0">
    <w:p w14:paraId="3292262F" w14:textId="77777777" w:rsidR="00216806" w:rsidRDefault="00216806">
      <w:r>
        <w:continuationSeparator/>
      </w:r>
    </w:p>
  </w:footnote>
  <w:footnote w:id="1">
    <w:p w14:paraId="661FAB0E" w14:textId="05034CA9" w:rsidR="005905FC" w:rsidRPr="00EC5014" w:rsidRDefault="005905FC"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5905FC" w:rsidRPr="00EC5014" w:rsidRDefault="005905FC"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5905FC" w:rsidRPr="00EC5014" w:rsidRDefault="005905FC"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5905FC" w:rsidRPr="00EC5014" w:rsidRDefault="005905FC"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215D2D1D" w14:textId="77777777" w:rsidR="005905FC" w:rsidRPr="00EC5014" w:rsidRDefault="005905FC"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6">
    <w:p w14:paraId="68DE119C" w14:textId="77777777" w:rsidR="005905FC" w:rsidRDefault="005905FC" w:rsidP="00841F37">
      <w:pPr>
        <w:pStyle w:val="Notedebasdepage"/>
      </w:pPr>
      <w:r>
        <w:rPr>
          <w:rStyle w:val="Appelnotedebasdep"/>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7">
    <w:p w14:paraId="3BDC8C55" w14:textId="77777777" w:rsidR="005905FC" w:rsidRPr="00EC5014" w:rsidRDefault="005905FC"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8">
    <w:p w14:paraId="0A1C16B6" w14:textId="0F860E08" w:rsidR="005905FC" w:rsidRPr="00EC5014" w:rsidRDefault="005905FC"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9">
    <w:p w14:paraId="729FE95B" w14:textId="77777777" w:rsidR="005905FC" w:rsidRPr="00EC5014" w:rsidRDefault="005905FC"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5905FC" w:rsidRDefault="005905FC"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5905FC" w:rsidRPr="00BA396D" w:rsidRDefault="005905FC"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5905FC" w:rsidRDefault="005905FC"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5905FC" w:rsidRDefault="005905FC"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5905FC" w:rsidRPr="008325B7" w:rsidRDefault="005905FC"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5905FC" w:rsidRDefault="005905FC"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5905FC" w:rsidRPr="00CA42BC" w:rsidRDefault="005905FC"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5905FC" w:rsidRPr="00EC5014" w:rsidRDefault="005905FC"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2D23ED"/>
    <w:multiLevelType w:val="hybridMultilevel"/>
    <w:tmpl w:val="7A7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5"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5B62779"/>
    <w:multiLevelType w:val="hybridMultilevel"/>
    <w:tmpl w:val="4E72EA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0"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9"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1"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2"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num w:numId="1">
    <w:abstractNumId w:val="10"/>
  </w:num>
  <w:num w:numId="2">
    <w:abstractNumId w:val="20"/>
  </w:num>
  <w:num w:numId="3">
    <w:abstractNumId w:val="23"/>
  </w:num>
  <w:num w:numId="4">
    <w:abstractNumId w:val="17"/>
  </w:num>
  <w:num w:numId="5">
    <w:abstractNumId w:val="24"/>
  </w:num>
  <w:num w:numId="6">
    <w:abstractNumId w:val="13"/>
  </w:num>
  <w:num w:numId="7">
    <w:abstractNumId w:val="21"/>
  </w:num>
  <w:num w:numId="8">
    <w:abstractNumId w:val="14"/>
  </w:num>
  <w:num w:numId="9">
    <w:abstractNumId w:val="2"/>
  </w:num>
  <w:num w:numId="10">
    <w:abstractNumId w:val="0"/>
  </w:num>
  <w:num w:numId="11">
    <w:abstractNumId w:val="26"/>
  </w:num>
  <w:num w:numId="12">
    <w:abstractNumId w:val="11"/>
  </w:num>
  <w:num w:numId="13">
    <w:abstractNumId w:val="29"/>
  </w:num>
  <w:num w:numId="14">
    <w:abstractNumId w:val="22"/>
  </w:num>
  <w:num w:numId="15">
    <w:abstractNumId w:val="32"/>
  </w:num>
  <w:num w:numId="16">
    <w:abstractNumId w:val="18"/>
  </w:num>
  <w:num w:numId="17">
    <w:abstractNumId w:val="4"/>
  </w:num>
  <w:num w:numId="18">
    <w:abstractNumId w:val="8"/>
  </w:num>
  <w:num w:numId="19">
    <w:abstractNumId w:val="12"/>
  </w:num>
  <w:num w:numId="20">
    <w:abstractNumId w:val="19"/>
  </w:num>
  <w:num w:numId="21">
    <w:abstractNumId w:val="3"/>
  </w:num>
  <w:num w:numId="22">
    <w:abstractNumId w:val="28"/>
  </w:num>
  <w:num w:numId="23">
    <w:abstractNumId w:val="7"/>
  </w:num>
  <w:num w:numId="24">
    <w:abstractNumId w:val="5"/>
  </w:num>
  <w:num w:numId="25">
    <w:abstractNumId w:val="16"/>
  </w:num>
  <w:num w:numId="26">
    <w:abstractNumId w:val="27"/>
  </w:num>
  <w:num w:numId="27">
    <w:abstractNumId w:val="30"/>
  </w:num>
  <w:num w:numId="28">
    <w:abstractNumId w:val="25"/>
  </w:num>
  <w:num w:numId="29">
    <w:abstractNumId w:val="9"/>
  </w:num>
  <w:num w:numId="30">
    <w:abstractNumId w:val="15"/>
  </w:num>
  <w:num w:numId="31">
    <w:abstractNumId w:val="25"/>
  </w:num>
  <w:num w:numId="32">
    <w:abstractNumId w:val="27"/>
  </w:num>
  <w:num w:numId="33">
    <w:abstractNumId w:val="30"/>
  </w:num>
  <w:num w:numId="34">
    <w:abstractNumId w:val="25"/>
  </w:num>
  <w:num w:numId="35">
    <w:abstractNumId w:val="9"/>
  </w:num>
  <w:num w:numId="36">
    <w:abstractNumId w:val="30"/>
  </w:num>
  <w:num w:numId="37">
    <w:abstractNumId w:val="25"/>
  </w:num>
  <w:num w:numId="38">
    <w:abstractNumId w:val="9"/>
  </w:num>
  <w:num w:numId="39">
    <w:abstractNumId w:val="15"/>
  </w:num>
  <w:num w:numId="40">
    <w:abstractNumId w:val="6"/>
  </w:num>
  <w:num w:numId="41">
    <w:abstractNumId w:val="32"/>
    <w:lvlOverride w:ilvl="0">
      <w:startOverride w:val="1"/>
    </w:lvlOverride>
  </w:num>
  <w:num w:numId="42">
    <w:abstractNumId w:val="31"/>
  </w:num>
  <w:num w:numId="43">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631"/>
    <w:rsid w:val="00053D19"/>
    <w:rsid w:val="000544C4"/>
    <w:rsid w:val="00057E68"/>
    <w:rsid w:val="00060629"/>
    <w:rsid w:val="00060D01"/>
    <w:rsid w:val="00063DD0"/>
    <w:rsid w:val="0006431E"/>
    <w:rsid w:val="000647A2"/>
    <w:rsid w:val="000658B7"/>
    <w:rsid w:val="00065C94"/>
    <w:rsid w:val="00070000"/>
    <w:rsid w:val="0007123B"/>
    <w:rsid w:val="00071AE1"/>
    <w:rsid w:val="00072255"/>
    <w:rsid w:val="00072C3A"/>
    <w:rsid w:val="000750A9"/>
    <w:rsid w:val="00076FBD"/>
    <w:rsid w:val="00081D2F"/>
    <w:rsid w:val="00081ED5"/>
    <w:rsid w:val="00083DBC"/>
    <w:rsid w:val="00084A95"/>
    <w:rsid w:val="00085CC5"/>
    <w:rsid w:val="000860E0"/>
    <w:rsid w:val="00087055"/>
    <w:rsid w:val="00087DAB"/>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4FFC"/>
    <w:rsid w:val="000C51FE"/>
    <w:rsid w:val="000C5243"/>
    <w:rsid w:val="000C5953"/>
    <w:rsid w:val="000C6D0A"/>
    <w:rsid w:val="000C7EB7"/>
    <w:rsid w:val="000D0676"/>
    <w:rsid w:val="000D291A"/>
    <w:rsid w:val="000D46EF"/>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6B7"/>
    <w:rsid w:val="000F6383"/>
    <w:rsid w:val="000F6DE0"/>
    <w:rsid w:val="000F7E38"/>
    <w:rsid w:val="00100468"/>
    <w:rsid w:val="00102BC3"/>
    <w:rsid w:val="00103036"/>
    <w:rsid w:val="00103AA1"/>
    <w:rsid w:val="0010497E"/>
    <w:rsid w:val="0011197F"/>
    <w:rsid w:val="00111E22"/>
    <w:rsid w:val="0011268F"/>
    <w:rsid w:val="00113110"/>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113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2CB"/>
    <w:rsid w:val="001622E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04EC"/>
    <w:rsid w:val="001A45CF"/>
    <w:rsid w:val="001A5CF1"/>
    <w:rsid w:val="001A5FA8"/>
    <w:rsid w:val="001A647E"/>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C796E"/>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806"/>
    <w:rsid w:val="00216A48"/>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CA6"/>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082"/>
    <w:rsid w:val="002A02E3"/>
    <w:rsid w:val="002A175E"/>
    <w:rsid w:val="002A2A0A"/>
    <w:rsid w:val="002A4BF4"/>
    <w:rsid w:val="002A5101"/>
    <w:rsid w:val="002A5649"/>
    <w:rsid w:val="002A72FA"/>
    <w:rsid w:val="002A7877"/>
    <w:rsid w:val="002B01A5"/>
    <w:rsid w:val="002B09DD"/>
    <w:rsid w:val="002B10E3"/>
    <w:rsid w:val="002B1166"/>
    <w:rsid w:val="002B133F"/>
    <w:rsid w:val="002B1A2B"/>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29A8"/>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117E"/>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67A"/>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D79"/>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2A9B"/>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62F7"/>
    <w:rsid w:val="003C7758"/>
    <w:rsid w:val="003C7ABA"/>
    <w:rsid w:val="003C7F24"/>
    <w:rsid w:val="003D007B"/>
    <w:rsid w:val="003D0655"/>
    <w:rsid w:val="003D0719"/>
    <w:rsid w:val="003D1184"/>
    <w:rsid w:val="003D133E"/>
    <w:rsid w:val="003D2E8F"/>
    <w:rsid w:val="003D5E23"/>
    <w:rsid w:val="003D6223"/>
    <w:rsid w:val="003D6E82"/>
    <w:rsid w:val="003E221E"/>
    <w:rsid w:val="003E334B"/>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4DAA"/>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1ABC"/>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4BA7"/>
    <w:rsid w:val="004A6783"/>
    <w:rsid w:val="004A6902"/>
    <w:rsid w:val="004B0A97"/>
    <w:rsid w:val="004B0B18"/>
    <w:rsid w:val="004B323E"/>
    <w:rsid w:val="004B3B75"/>
    <w:rsid w:val="004B4AB2"/>
    <w:rsid w:val="004B5F6E"/>
    <w:rsid w:val="004B690C"/>
    <w:rsid w:val="004B69A6"/>
    <w:rsid w:val="004B6DE9"/>
    <w:rsid w:val="004C3C92"/>
    <w:rsid w:val="004C485D"/>
    <w:rsid w:val="004C4C84"/>
    <w:rsid w:val="004C6F45"/>
    <w:rsid w:val="004D1124"/>
    <w:rsid w:val="004D13CB"/>
    <w:rsid w:val="004D3A18"/>
    <w:rsid w:val="004D3DDF"/>
    <w:rsid w:val="004D74DD"/>
    <w:rsid w:val="004D796B"/>
    <w:rsid w:val="004E1A37"/>
    <w:rsid w:val="004E21B7"/>
    <w:rsid w:val="004E3D37"/>
    <w:rsid w:val="004E4DE0"/>
    <w:rsid w:val="004E5DDE"/>
    <w:rsid w:val="004E6AA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5FC"/>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2121"/>
    <w:rsid w:val="005E30CE"/>
    <w:rsid w:val="005E32E1"/>
    <w:rsid w:val="005E43DA"/>
    <w:rsid w:val="005E4B24"/>
    <w:rsid w:val="005E4CBD"/>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6F1C"/>
    <w:rsid w:val="006720DD"/>
    <w:rsid w:val="00674326"/>
    <w:rsid w:val="0067576F"/>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2C89"/>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379DB"/>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04D"/>
    <w:rsid w:val="0077293F"/>
    <w:rsid w:val="00772ECA"/>
    <w:rsid w:val="007731FF"/>
    <w:rsid w:val="00773327"/>
    <w:rsid w:val="0077360F"/>
    <w:rsid w:val="007748B1"/>
    <w:rsid w:val="00774980"/>
    <w:rsid w:val="00774B24"/>
    <w:rsid w:val="0077522E"/>
    <w:rsid w:val="00775E96"/>
    <w:rsid w:val="00776951"/>
    <w:rsid w:val="00777EA9"/>
    <w:rsid w:val="007800A8"/>
    <w:rsid w:val="007810DD"/>
    <w:rsid w:val="007812F5"/>
    <w:rsid w:val="00781382"/>
    <w:rsid w:val="0078142E"/>
    <w:rsid w:val="00782002"/>
    <w:rsid w:val="007867A7"/>
    <w:rsid w:val="007868E3"/>
    <w:rsid w:val="0078797F"/>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6B7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48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1F37"/>
    <w:rsid w:val="008458D5"/>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3C63"/>
    <w:rsid w:val="00864135"/>
    <w:rsid w:val="00864166"/>
    <w:rsid w:val="00866905"/>
    <w:rsid w:val="00866B57"/>
    <w:rsid w:val="00867541"/>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3549"/>
    <w:rsid w:val="00883B6E"/>
    <w:rsid w:val="00883FD7"/>
    <w:rsid w:val="0088435C"/>
    <w:rsid w:val="0088476C"/>
    <w:rsid w:val="00885C50"/>
    <w:rsid w:val="008869F7"/>
    <w:rsid w:val="008877F9"/>
    <w:rsid w:val="00891BB1"/>
    <w:rsid w:val="00891DB2"/>
    <w:rsid w:val="00892FA9"/>
    <w:rsid w:val="00893306"/>
    <w:rsid w:val="00893ECD"/>
    <w:rsid w:val="00893FF5"/>
    <w:rsid w:val="00895CBA"/>
    <w:rsid w:val="00896C3E"/>
    <w:rsid w:val="00896FC4"/>
    <w:rsid w:val="00897C87"/>
    <w:rsid w:val="00897CDD"/>
    <w:rsid w:val="008A063F"/>
    <w:rsid w:val="008A3437"/>
    <w:rsid w:val="008A3A32"/>
    <w:rsid w:val="008A7BEC"/>
    <w:rsid w:val="008A7D52"/>
    <w:rsid w:val="008B0511"/>
    <w:rsid w:val="008B111D"/>
    <w:rsid w:val="008B1A3A"/>
    <w:rsid w:val="008B2541"/>
    <w:rsid w:val="008B2C9F"/>
    <w:rsid w:val="008B2F14"/>
    <w:rsid w:val="008B3824"/>
    <w:rsid w:val="008B7BD0"/>
    <w:rsid w:val="008C0885"/>
    <w:rsid w:val="008C28C6"/>
    <w:rsid w:val="008C4CFF"/>
    <w:rsid w:val="008C534B"/>
    <w:rsid w:val="008C53A1"/>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1698"/>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2865"/>
    <w:rsid w:val="0098375B"/>
    <w:rsid w:val="00983E80"/>
    <w:rsid w:val="00985E87"/>
    <w:rsid w:val="0099008F"/>
    <w:rsid w:val="00991077"/>
    <w:rsid w:val="00991CE7"/>
    <w:rsid w:val="00992186"/>
    <w:rsid w:val="00995CDF"/>
    <w:rsid w:val="00996C40"/>
    <w:rsid w:val="00996FAA"/>
    <w:rsid w:val="00997C34"/>
    <w:rsid w:val="00997F11"/>
    <w:rsid w:val="009A0C02"/>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10C"/>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4930"/>
    <w:rsid w:val="00A053E1"/>
    <w:rsid w:val="00A062C3"/>
    <w:rsid w:val="00A06B67"/>
    <w:rsid w:val="00A07454"/>
    <w:rsid w:val="00A07F2A"/>
    <w:rsid w:val="00A1036F"/>
    <w:rsid w:val="00A10777"/>
    <w:rsid w:val="00A10E17"/>
    <w:rsid w:val="00A10EEA"/>
    <w:rsid w:val="00A13A19"/>
    <w:rsid w:val="00A16438"/>
    <w:rsid w:val="00A16D83"/>
    <w:rsid w:val="00A17321"/>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5EF"/>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0DD0"/>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56B9"/>
    <w:rsid w:val="00AB593A"/>
    <w:rsid w:val="00AB6C8C"/>
    <w:rsid w:val="00AB7342"/>
    <w:rsid w:val="00AB76E6"/>
    <w:rsid w:val="00AB7CDA"/>
    <w:rsid w:val="00AC2273"/>
    <w:rsid w:val="00AC23A2"/>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5F8F"/>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368E"/>
    <w:rsid w:val="00B13AAF"/>
    <w:rsid w:val="00B14298"/>
    <w:rsid w:val="00B14796"/>
    <w:rsid w:val="00B14CAB"/>
    <w:rsid w:val="00B1614D"/>
    <w:rsid w:val="00B16B25"/>
    <w:rsid w:val="00B20E2C"/>
    <w:rsid w:val="00B22826"/>
    <w:rsid w:val="00B25000"/>
    <w:rsid w:val="00B260F7"/>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6E71"/>
    <w:rsid w:val="00B47C40"/>
    <w:rsid w:val="00B50BCB"/>
    <w:rsid w:val="00B50C60"/>
    <w:rsid w:val="00B51BA0"/>
    <w:rsid w:val="00B51C7B"/>
    <w:rsid w:val="00B52375"/>
    <w:rsid w:val="00B53C28"/>
    <w:rsid w:val="00B54873"/>
    <w:rsid w:val="00B54FC5"/>
    <w:rsid w:val="00B55130"/>
    <w:rsid w:val="00B560AC"/>
    <w:rsid w:val="00B5692E"/>
    <w:rsid w:val="00B569EF"/>
    <w:rsid w:val="00B576EF"/>
    <w:rsid w:val="00B577DD"/>
    <w:rsid w:val="00B6127F"/>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94860"/>
    <w:rsid w:val="00B94B37"/>
    <w:rsid w:val="00B95548"/>
    <w:rsid w:val="00B967A4"/>
    <w:rsid w:val="00B96883"/>
    <w:rsid w:val="00B96C98"/>
    <w:rsid w:val="00B9799D"/>
    <w:rsid w:val="00BA10D1"/>
    <w:rsid w:val="00BA1612"/>
    <w:rsid w:val="00BA2453"/>
    <w:rsid w:val="00BA2DAB"/>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56BD"/>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2094"/>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4DBD"/>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091"/>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2E98"/>
    <w:rsid w:val="00E533E3"/>
    <w:rsid w:val="00E53464"/>
    <w:rsid w:val="00E537A5"/>
    <w:rsid w:val="00E54225"/>
    <w:rsid w:val="00E54414"/>
    <w:rsid w:val="00E55CEE"/>
    <w:rsid w:val="00E5639A"/>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802DE"/>
    <w:rsid w:val="00E82911"/>
    <w:rsid w:val="00E82F2E"/>
    <w:rsid w:val="00E83E33"/>
    <w:rsid w:val="00E840AD"/>
    <w:rsid w:val="00E853F8"/>
    <w:rsid w:val="00E87B66"/>
    <w:rsid w:val="00E900B5"/>
    <w:rsid w:val="00E90314"/>
    <w:rsid w:val="00E908EB"/>
    <w:rsid w:val="00E9160D"/>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214"/>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5957"/>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1EF6"/>
    <w:rsid w:val="00FA2026"/>
    <w:rsid w:val="00FA2436"/>
    <w:rsid w:val="00FA41E1"/>
    <w:rsid w:val="00FA54BA"/>
    <w:rsid w:val="00FA5A75"/>
    <w:rsid w:val="00FA718A"/>
    <w:rsid w:val="00FA7CCD"/>
    <w:rsid w:val="00FB0270"/>
    <w:rsid w:val="00FB04B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2585"/>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9A8"/>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uiPriority w:val="99"/>
    <w:semiHidden/>
    <w:rPr>
      <w:vertAlign w:val="superscript"/>
    </w:rPr>
  </w:style>
  <w:style w:type="paragraph" w:styleId="Notedebasdepage">
    <w:name w:val="footnote text"/>
    <w:basedOn w:val="Normal"/>
    <w:link w:val="NotedebasdepageCar"/>
    <w:uiPriority w:val="99"/>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uiPriority w:val="99"/>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NormalWeb">
    <w:name w:val="Normal (Web)"/>
    <w:basedOn w:val="Normal"/>
    <w:uiPriority w:val="99"/>
    <w:unhideWhenUsed/>
    <w:rsid w:val="00471ABC"/>
    <w:rPr>
      <w:rFonts w:ascii="Times New Roman" w:hAnsi="Times New Roman"/>
      <w:sz w:val="24"/>
    </w:rPr>
  </w:style>
  <w:style w:type="paragraph" w:customStyle="1" w:styleId="docdata">
    <w:name w:val="docdata"/>
    <w:aliases w:val="docy,v5,4118,bqiaagaaeyqcaaagiaiaaapgdaaabe4maaaaaaaaaaaaaaaaaaaaaaaaaaaaaaaaaaaaaaaaaaaaaaaaaaaaaaaaaaaaaaaaaaaaaaaaaaaaaaaaaaaaaaaaaaaaaaaaaaaaaaaaaaaaaaaaaaaaaaaaaaaaaaaaaaaaaaaaaaaaaaaaaaaaaaaaaaaaaaaaaaaaaaaaaaaaaaaaaaaaaaaaaaaaaaaaaaaaaaaa"/>
    <w:basedOn w:val="Normal"/>
    <w:rsid w:val="00471AB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ecologie.gouv.fr/sites/default/files/Guide_politique_achat_public_zero_deforestation.pdf" TargetMode="Externa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package" Target="embeddings/Feuille_de_calcul_Microsoft_Excel.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mailto:informatique.libertes@expertisefrance.fr" TargetMode="External"/><Relationship Id="rId28" Type="http://schemas.openxmlformats.org/officeDocument/2006/relationships/image" Target="media/image3.emf"/><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footer" Target="footer5.xm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CB0CDE98-45A3-4B01-BB19-7618E308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10701</Words>
  <Characters>58857</Characters>
  <Application>Microsoft Office Word</Application>
  <DocSecurity>0</DocSecurity>
  <Lines>490</Lines>
  <Paragraphs>138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69420</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Sarah FAKHET</cp:lastModifiedBy>
  <cp:revision>2</cp:revision>
  <cp:lastPrinted>2016-12-12T14:17:00Z</cp:lastPrinted>
  <dcterms:created xsi:type="dcterms:W3CDTF">2025-05-26T13:47:00Z</dcterms:created>
  <dcterms:modified xsi:type="dcterms:W3CDTF">2025-05-26T13:47:00Z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